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pacing w:val="0"/>
          <w:sz w:val="44"/>
          <w:szCs w:val="44"/>
          <w:lang w:val="en-US" w:eastAsia="zh-CN"/>
        </w:rPr>
      </w:pPr>
      <w:r>
        <w:rPr>
          <w:rFonts w:hint="default" w:ascii="Times New Roman" w:hAnsi="Times New Roman" w:eastAsia="方正小标宋简体" w:cs="Times New Roman"/>
          <w:spacing w:val="0"/>
          <w:sz w:val="44"/>
          <w:szCs w:val="44"/>
          <w:lang w:val="en-US" w:eastAsia="zh-CN"/>
        </w:rPr>
        <w:t>广州市荔湾区白鹅潭管理委员会</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pacing w:val="0"/>
          <w:sz w:val="44"/>
          <w:szCs w:val="44"/>
          <w:lang w:val="en-US" w:eastAsia="zh-CN"/>
        </w:rPr>
      </w:pPr>
      <w:r>
        <w:rPr>
          <w:rFonts w:hint="default" w:ascii="Times New Roman" w:hAnsi="Times New Roman" w:eastAsia="方正小标宋简体" w:cs="Times New Roman"/>
          <w:spacing w:val="0"/>
          <w:sz w:val="44"/>
          <w:szCs w:val="44"/>
          <w:lang w:val="en-US" w:eastAsia="zh-CN"/>
        </w:rPr>
        <w:t>202</w:t>
      </w:r>
      <w:r>
        <w:rPr>
          <w:rFonts w:hint="eastAsia" w:ascii="Times New Roman" w:hAnsi="Times New Roman" w:eastAsia="方正小标宋简体" w:cs="Times New Roman"/>
          <w:spacing w:val="0"/>
          <w:sz w:val="44"/>
          <w:szCs w:val="44"/>
          <w:lang w:val="en-US" w:eastAsia="zh-CN"/>
        </w:rPr>
        <w:t>1</w:t>
      </w:r>
      <w:r>
        <w:rPr>
          <w:rFonts w:hint="default" w:ascii="Times New Roman" w:hAnsi="Times New Roman" w:eastAsia="方正小标宋简体" w:cs="Times New Roman"/>
          <w:spacing w:val="0"/>
          <w:sz w:val="44"/>
          <w:szCs w:val="44"/>
          <w:lang w:val="en-US" w:eastAsia="zh-CN"/>
        </w:rPr>
        <w:t>年法治政府建设年度报告</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pacing w:val="0"/>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spacing w:val="0"/>
          <w:sz w:val="32"/>
          <w:szCs w:val="32"/>
          <w:lang w:val="en-US" w:eastAsia="zh-CN"/>
        </w:rPr>
        <w:t>202</w:t>
      </w:r>
      <w:r>
        <w:rPr>
          <w:rFonts w:hint="eastAsia" w:ascii="Times New Roman" w:hAnsi="Times New Roman" w:eastAsia="仿宋_GB2312" w:cs="Times New Roman"/>
          <w:spacing w:val="0"/>
          <w:sz w:val="32"/>
          <w:szCs w:val="32"/>
          <w:lang w:val="en-US" w:eastAsia="zh-CN"/>
        </w:rPr>
        <w:t>1</w:t>
      </w:r>
      <w:r>
        <w:rPr>
          <w:rFonts w:hint="default" w:ascii="Times New Roman" w:hAnsi="Times New Roman" w:eastAsia="仿宋_GB2312" w:cs="Times New Roman"/>
          <w:spacing w:val="0"/>
          <w:sz w:val="32"/>
          <w:szCs w:val="32"/>
          <w:lang w:val="en-US" w:eastAsia="zh-CN"/>
        </w:rPr>
        <w:t>年，</w:t>
      </w:r>
      <w:r>
        <w:rPr>
          <w:rFonts w:hint="eastAsia" w:ascii="Times New Roman" w:hAnsi="Times New Roman" w:eastAsia="仿宋_GB2312" w:cs="Times New Roman"/>
          <w:color w:val="auto"/>
          <w:spacing w:val="0"/>
          <w:sz w:val="32"/>
          <w:szCs w:val="32"/>
          <w:lang w:val="en-US" w:eastAsia="zh-CN"/>
        </w:rPr>
        <w:t>区白鹅潭管委会</w:t>
      </w:r>
      <w:r>
        <w:rPr>
          <w:rFonts w:hint="default" w:ascii="Times New Roman" w:hAnsi="Times New Roman" w:eastAsia="仿宋_GB2312" w:cs="Times New Roman"/>
          <w:color w:val="auto"/>
          <w:spacing w:val="0"/>
          <w:sz w:val="32"/>
          <w:szCs w:val="32"/>
          <w:lang w:val="en-US" w:eastAsia="zh-CN"/>
        </w:rPr>
        <w:t>坚持以习近平新时代中国特色社会主义思想为指导，深入学习贯彻习近平法治思想，党的十九大和十九届二中、三中、四中、五中</w:t>
      </w:r>
      <w:r>
        <w:rPr>
          <w:rFonts w:hint="eastAsia" w:ascii="Times New Roman" w:hAnsi="Times New Roman" w:eastAsia="仿宋_GB2312" w:cs="Times New Roman"/>
          <w:color w:val="auto"/>
          <w:spacing w:val="0"/>
          <w:sz w:val="32"/>
          <w:szCs w:val="32"/>
          <w:lang w:val="en-US" w:eastAsia="zh-CN"/>
        </w:rPr>
        <w:t>、六中</w:t>
      </w:r>
      <w:r>
        <w:rPr>
          <w:rFonts w:hint="default" w:ascii="Times New Roman" w:hAnsi="Times New Roman" w:eastAsia="仿宋_GB2312" w:cs="Times New Roman"/>
          <w:color w:val="auto"/>
          <w:spacing w:val="0"/>
          <w:sz w:val="32"/>
          <w:szCs w:val="32"/>
          <w:lang w:val="en-US" w:eastAsia="zh-CN"/>
        </w:rPr>
        <w:t>全会精神，</w:t>
      </w:r>
      <w:r>
        <w:rPr>
          <w:rFonts w:hint="eastAsia" w:ascii="Times New Roman" w:hAnsi="Times New Roman" w:eastAsia="仿宋_GB2312" w:cs="Times New Roman"/>
          <w:color w:val="auto"/>
          <w:spacing w:val="0"/>
          <w:sz w:val="32"/>
          <w:szCs w:val="32"/>
          <w:lang w:val="en-US" w:eastAsia="zh-CN"/>
        </w:rPr>
        <w:t>严格落实</w:t>
      </w:r>
      <w:r>
        <w:rPr>
          <w:rFonts w:hint="default" w:ascii="Times New Roman" w:hAnsi="Times New Roman" w:eastAsia="仿宋_GB2312" w:cs="Times New Roman"/>
          <w:sz w:val="32"/>
          <w:szCs w:val="32"/>
          <w:lang w:val="en-US" w:eastAsia="zh-CN"/>
        </w:rPr>
        <w:t>“谁执法谁普法”“谁主管谁负责”“谁服务谁普法”普法责任</w:t>
      </w:r>
      <w:r>
        <w:rPr>
          <w:rFonts w:hint="eastAsia" w:ascii="Times New Roman" w:hAnsi="Times New Roman" w:eastAsia="仿宋_GB2312" w:cs="Times New Roman"/>
          <w:sz w:val="32"/>
          <w:szCs w:val="32"/>
          <w:lang w:val="en-US" w:eastAsia="zh-CN"/>
        </w:rPr>
        <w:t>制度</w:t>
      </w:r>
      <w:r>
        <w:rPr>
          <w:rFonts w:hint="eastAsia" w:ascii="Times New Roman" w:hAnsi="Times New Roman" w:eastAsia="仿宋_GB2312" w:cs="Times New Roman"/>
          <w:color w:val="auto"/>
          <w:spacing w:val="0"/>
          <w:sz w:val="32"/>
          <w:szCs w:val="32"/>
          <w:lang w:val="en-US" w:eastAsia="zh-CN"/>
        </w:rPr>
        <w:t>，扎实推进法治政府建设各项工作。现将有关情况汇报如下：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黑体"/>
          <w:color w:val="auto"/>
          <w:spacing w:val="0"/>
          <w:sz w:val="32"/>
          <w:szCs w:val="32"/>
          <w:lang w:val="en-US" w:eastAsia="zh-CN"/>
        </w:rPr>
      </w:pPr>
      <w:r>
        <w:rPr>
          <w:rFonts w:hint="eastAsia" w:ascii="Times New Roman" w:hAnsi="Times New Roman" w:eastAsia="黑体" w:cs="黑体"/>
          <w:color w:val="auto"/>
          <w:spacing w:val="0"/>
          <w:sz w:val="32"/>
          <w:szCs w:val="32"/>
          <w:lang w:val="en-US" w:eastAsia="zh-CN"/>
        </w:rPr>
        <w:t>一、</w:t>
      </w:r>
      <w:r>
        <w:rPr>
          <w:rFonts w:hint="eastAsia" w:ascii="Times New Roman" w:hAnsi="Times New Roman" w:eastAsia="黑体" w:cs="黑体"/>
          <w:sz w:val="32"/>
          <w:szCs w:val="32"/>
        </w:rPr>
        <w:t>2021年度推进法治政府建设的主要举措和成效</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楷体_GB2312" w:cs="Times New Roman"/>
          <w:b/>
          <w:bCs/>
          <w:color w:val="000000" w:themeColor="text1"/>
          <w:spacing w:val="0"/>
          <w:sz w:val="32"/>
          <w:szCs w:val="32"/>
          <w:lang w:val="en-US" w:eastAsia="zh-CN"/>
          <w14:textFill>
            <w14:solidFill>
              <w14:schemeClr w14:val="tx1"/>
            </w14:solidFill>
          </w14:textFill>
        </w:rPr>
      </w:pPr>
      <w:r>
        <w:rPr>
          <w:rFonts w:hint="default" w:ascii="Times New Roman" w:hAnsi="Times New Roman" w:eastAsia="楷体_GB2312" w:cs="Times New Roman"/>
          <w:b/>
          <w:bCs/>
          <w:color w:val="000000" w:themeColor="text1"/>
          <w:spacing w:val="0"/>
          <w:sz w:val="32"/>
          <w:szCs w:val="32"/>
          <w:lang w:val="en-US" w:eastAsia="zh-CN"/>
          <w14:textFill>
            <w14:solidFill>
              <w14:schemeClr w14:val="tx1"/>
            </w14:solidFill>
          </w14:textFill>
        </w:rPr>
        <w:t>（一）加强理论学习，夯实依法行政理论基础</w:t>
      </w:r>
      <w:r>
        <w:rPr>
          <w:rFonts w:hint="eastAsia" w:ascii="Times New Roman" w:hAnsi="Times New Roman" w:eastAsia="楷体_GB2312" w:cs="Times New Roman"/>
          <w:b/>
          <w:bCs/>
          <w:color w:val="000000" w:themeColor="text1"/>
          <w:spacing w:val="0"/>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pacing w:val="0"/>
          <w:sz w:val="32"/>
          <w:szCs w:val="32"/>
          <w:lang w:eastAsia="zh-CN"/>
        </w:rPr>
      </w:pPr>
      <w:r>
        <w:rPr>
          <w:rFonts w:hint="eastAsia" w:ascii="Times New Roman" w:hAnsi="Times New Roman" w:eastAsia="仿宋_GB2312" w:cs="仿宋_GB2312"/>
          <w:color w:val="000000"/>
          <w:spacing w:val="0"/>
          <w:w w:val="100"/>
          <w:position w:val="0"/>
          <w:sz w:val="32"/>
          <w:szCs w:val="32"/>
        </w:rPr>
        <w:t>坚持用习近平法治思想统揽</w:t>
      </w:r>
      <w:r>
        <w:rPr>
          <w:rFonts w:hint="eastAsia" w:ascii="Times New Roman" w:hAnsi="Times New Roman" w:eastAsia="仿宋_GB2312" w:cs="仿宋_GB2312"/>
          <w:color w:val="000000"/>
          <w:spacing w:val="0"/>
          <w:w w:val="100"/>
          <w:position w:val="0"/>
          <w:sz w:val="32"/>
          <w:szCs w:val="32"/>
          <w:lang w:eastAsia="zh-CN"/>
        </w:rPr>
        <w:t>法治政府建设</w:t>
      </w:r>
      <w:r>
        <w:rPr>
          <w:rFonts w:hint="eastAsia" w:ascii="Times New Roman" w:hAnsi="Times New Roman" w:eastAsia="仿宋_GB2312" w:cs="仿宋_GB2312"/>
          <w:color w:val="000000"/>
          <w:spacing w:val="0"/>
          <w:w w:val="100"/>
          <w:position w:val="0"/>
          <w:sz w:val="32"/>
          <w:szCs w:val="32"/>
        </w:rPr>
        <w:t>，坚定不移走中国特色社会主义法治道路</w:t>
      </w:r>
      <w:r>
        <w:rPr>
          <w:rFonts w:hint="eastAsia" w:ascii="Times New Roman" w:hAnsi="Times New Roman" w:eastAsia="仿宋_GB2312" w:cs="仿宋_GB2312"/>
          <w:color w:val="000000"/>
          <w:spacing w:val="0"/>
          <w:w w:val="100"/>
          <w:position w:val="0"/>
          <w:sz w:val="32"/>
          <w:szCs w:val="32"/>
          <w:lang w:eastAsia="zh-CN"/>
        </w:rPr>
        <w:t>。</w:t>
      </w:r>
      <w:r>
        <w:rPr>
          <w:rFonts w:hint="eastAsia" w:ascii="Times New Roman" w:hAnsi="Times New Roman" w:eastAsia="仿宋_GB2312" w:cs="仿宋_GB2312"/>
          <w:b/>
          <w:bCs/>
          <w:color w:val="000000"/>
          <w:spacing w:val="0"/>
          <w:w w:val="100"/>
          <w:position w:val="0"/>
          <w:sz w:val="32"/>
          <w:szCs w:val="32"/>
          <w:lang w:eastAsia="zh-CN"/>
        </w:rPr>
        <w:t>一是</w:t>
      </w:r>
      <w:r>
        <w:rPr>
          <w:rFonts w:hint="eastAsia" w:ascii="Times New Roman" w:hAnsi="Times New Roman" w:eastAsia="仿宋_GB2312" w:cs="仿宋_GB2312"/>
          <w:b/>
          <w:bCs/>
          <w:color w:val="000000"/>
          <w:spacing w:val="0"/>
          <w:w w:val="100"/>
          <w:position w:val="0"/>
          <w:sz w:val="32"/>
          <w:szCs w:val="32"/>
        </w:rPr>
        <w:t>深入学习宣传贯彻习近平法治思想。</w:t>
      </w:r>
      <w:r>
        <w:rPr>
          <w:rFonts w:hint="eastAsia" w:ascii="Times New Roman" w:hAnsi="Times New Roman" w:eastAsia="仿宋_GB2312" w:cs="仿宋_GB2312"/>
          <w:color w:val="000000"/>
          <w:spacing w:val="0"/>
          <w:w w:val="100"/>
          <w:position w:val="0"/>
          <w:sz w:val="32"/>
          <w:szCs w:val="32"/>
        </w:rPr>
        <w:t>领导班子把深入学习宣传贯彻习近平法治思想作为重要政治任务</w:t>
      </w:r>
      <w:r>
        <w:rPr>
          <w:rFonts w:hint="eastAsia" w:ascii="Times New Roman" w:hAnsi="Times New Roman" w:eastAsia="仿宋_GB2312" w:cs="仿宋_GB2312"/>
          <w:color w:val="000000"/>
          <w:spacing w:val="0"/>
          <w:w w:val="100"/>
          <w:position w:val="0"/>
          <w:sz w:val="32"/>
          <w:szCs w:val="32"/>
          <w:lang w:eastAsia="zh-CN"/>
        </w:rPr>
        <w:t>和党组理论学习中心组学习</w:t>
      </w:r>
      <w:r>
        <w:rPr>
          <w:rFonts w:hint="eastAsia" w:ascii="Times New Roman" w:hAnsi="Times New Roman" w:eastAsia="仿宋_GB2312" w:cs="仿宋_GB2312"/>
          <w:color w:val="000000"/>
          <w:spacing w:val="0"/>
          <w:w w:val="100"/>
          <w:position w:val="0"/>
          <w:sz w:val="32"/>
          <w:szCs w:val="32"/>
          <w:lang w:val="en-US" w:eastAsia="zh-CN"/>
        </w:rPr>
        <w:t>重要</w:t>
      </w:r>
      <w:r>
        <w:rPr>
          <w:rFonts w:hint="eastAsia" w:ascii="Times New Roman" w:hAnsi="Times New Roman" w:eastAsia="仿宋_GB2312" w:cs="仿宋_GB2312"/>
          <w:color w:val="000000"/>
          <w:spacing w:val="0"/>
          <w:w w:val="100"/>
          <w:position w:val="0"/>
          <w:sz w:val="32"/>
          <w:szCs w:val="32"/>
          <w:lang w:eastAsia="zh-CN"/>
        </w:rPr>
        <w:t>内容，</w:t>
      </w:r>
      <w:r>
        <w:rPr>
          <w:rFonts w:hint="eastAsia" w:ascii="Times New Roman" w:hAnsi="Times New Roman" w:eastAsia="仿宋_GB2312" w:cs="仿宋_GB2312"/>
          <w:color w:val="000000"/>
          <w:spacing w:val="0"/>
          <w:w w:val="100"/>
          <w:position w:val="0"/>
          <w:sz w:val="32"/>
          <w:szCs w:val="32"/>
        </w:rPr>
        <w:t>部署开展多种形式的学习贯彻活动，推动全体党员干部自觉以习近平法治思想武装头脑、指导实践、推动工作。</w:t>
      </w:r>
      <w:r>
        <w:rPr>
          <w:rFonts w:hint="eastAsia" w:ascii="Times New Roman" w:hAnsi="Times New Roman" w:eastAsia="仿宋_GB2312" w:cs="仿宋_GB2312"/>
          <w:b/>
          <w:bCs/>
          <w:color w:val="000000"/>
          <w:spacing w:val="0"/>
          <w:w w:val="100"/>
          <w:position w:val="0"/>
          <w:sz w:val="32"/>
          <w:szCs w:val="32"/>
          <w:lang w:eastAsia="zh-CN"/>
        </w:rPr>
        <w:t>二是严格落实依法治区各项要求。</w:t>
      </w:r>
      <w:r>
        <w:rPr>
          <w:rFonts w:hint="eastAsia" w:ascii="Times New Roman" w:hAnsi="Times New Roman" w:eastAsia="仿宋_GB2312" w:cs="仿宋_GB2312"/>
          <w:color w:val="000000"/>
          <w:spacing w:val="0"/>
          <w:w w:val="100"/>
          <w:position w:val="0"/>
          <w:sz w:val="32"/>
          <w:szCs w:val="32"/>
          <w:lang w:eastAsia="zh-CN"/>
        </w:rPr>
        <w:t>领导班子紧紧围绕《</w:t>
      </w:r>
      <w:r>
        <w:rPr>
          <w:rFonts w:hint="eastAsia" w:ascii="Times New Roman" w:hAnsi="Times New Roman" w:eastAsia="仿宋_GB2312" w:cs="仿宋_GB2312"/>
          <w:color w:val="000000"/>
          <w:spacing w:val="0"/>
          <w:w w:val="100"/>
          <w:position w:val="0"/>
          <w:sz w:val="32"/>
          <w:szCs w:val="32"/>
        </w:rPr>
        <w:t>中共广州市荔湾区委全面依法治区委员会</w:t>
      </w:r>
      <w:r>
        <w:rPr>
          <w:rFonts w:hint="default" w:ascii="Times New Roman" w:hAnsi="Times New Roman" w:eastAsia="仿宋_GB2312" w:cs="Times New Roman"/>
          <w:color w:val="000000"/>
          <w:spacing w:val="0"/>
          <w:w w:val="100"/>
          <w:position w:val="0"/>
          <w:sz w:val="32"/>
          <w:szCs w:val="32"/>
        </w:rPr>
        <w:t>202</w:t>
      </w:r>
      <w:r>
        <w:rPr>
          <w:rFonts w:hint="default" w:ascii="Times New Roman" w:hAnsi="Times New Roman" w:eastAsia="仿宋_GB2312" w:cs="Times New Roman"/>
          <w:color w:val="000000"/>
          <w:spacing w:val="0"/>
          <w:w w:val="100"/>
          <w:position w:val="0"/>
          <w:sz w:val="32"/>
          <w:szCs w:val="32"/>
          <w:lang w:val="en-US" w:eastAsia="zh-CN"/>
        </w:rPr>
        <w:t>1</w:t>
      </w:r>
      <w:r>
        <w:rPr>
          <w:rFonts w:hint="eastAsia" w:ascii="Times New Roman" w:hAnsi="Times New Roman" w:eastAsia="仿宋_GB2312" w:cs="仿宋_GB2312"/>
          <w:color w:val="000000"/>
          <w:spacing w:val="0"/>
          <w:w w:val="100"/>
          <w:position w:val="0"/>
          <w:sz w:val="32"/>
          <w:szCs w:val="32"/>
        </w:rPr>
        <w:t>年工作要点</w:t>
      </w:r>
      <w:r>
        <w:rPr>
          <w:rFonts w:hint="eastAsia" w:ascii="Times New Roman" w:hAnsi="Times New Roman" w:eastAsia="仿宋_GB2312" w:cs="仿宋_GB2312"/>
          <w:color w:val="000000"/>
          <w:spacing w:val="0"/>
          <w:w w:val="100"/>
          <w:position w:val="0"/>
          <w:sz w:val="32"/>
          <w:szCs w:val="32"/>
          <w:lang w:eastAsia="zh-CN"/>
        </w:rPr>
        <w:t>》《</w:t>
      </w:r>
      <w:r>
        <w:rPr>
          <w:rFonts w:hint="default" w:ascii="Times New Roman" w:hAnsi="Times New Roman" w:eastAsia="仿宋_GB2312" w:cs="仿宋_GB2312"/>
          <w:color w:val="000000"/>
          <w:spacing w:val="0"/>
          <w:w w:val="100"/>
          <w:position w:val="0"/>
          <w:sz w:val="32"/>
          <w:szCs w:val="32"/>
          <w:lang w:val="en-US" w:eastAsia="zh-CN"/>
        </w:rPr>
        <w:t>广州市荔湾区</w:t>
      </w:r>
      <w:r>
        <w:rPr>
          <w:rFonts w:hint="default" w:ascii="Times New Roman" w:hAnsi="Times New Roman" w:eastAsia="仿宋_GB2312" w:cs="Times New Roman"/>
          <w:color w:val="000000"/>
          <w:spacing w:val="0"/>
          <w:w w:val="100"/>
          <w:position w:val="0"/>
          <w:sz w:val="32"/>
          <w:szCs w:val="32"/>
          <w:lang w:val="en-US" w:eastAsia="zh-CN"/>
        </w:rPr>
        <w:t>2021</w:t>
      </w:r>
      <w:r>
        <w:rPr>
          <w:rFonts w:hint="default" w:ascii="Times New Roman" w:hAnsi="Times New Roman" w:eastAsia="仿宋_GB2312" w:cs="仿宋_GB2312"/>
          <w:color w:val="000000"/>
          <w:spacing w:val="0"/>
          <w:w w:val="100"/>
          <w:position w:val="0"/>
          <w:sz w:val="32"/>
          <w:szCs w:val="32"/>
          <w:lang w:val="en-US" w:eastAsia="zh-CN"/>
        </w:rPr>
        <w:t>年普法依法治理工作要点</w:t>
      </w:r>
      <w:r>
        <w:rPr>
          <w:rFonts w:hint="eastAsia" w:ascii="Times New Roman" w:hAnsi="Times New Roman" w:eastAsia="仿宋_GB2312" w:cs="仿宋_GB2312"/>
          <w:color w:val="000000"/>
          <w:spacing w:val="0"/>
          <w:w w:val="100"/>
          <w:position w:val="0"/>
          <w:sz w:val="32"/>
          <w:szCs w:val="32"/>
          <w:lang w:val="en-US" w:eastAsia="zh-CN"/>
        </w:rPr>
        <w:t>》，</w:t>
      </w:r>
      <w:r>
        <w:rPr>
          <w:rFonts w:hint="default" w:ascii="Times New Roman" w:hAnsi="Times New Roman" w:eastAsia="仿宋_GB2312" w:cs="Times New Roman"/>
          <w:color w:val="auto"/>
          <w:spacing w:val="0"/>
          <w:sz w:val="32"/>
          <w:szCs w:val="32"/>
          <w:lang w:val="en-US" w:eastAsia="zh-CN"/>
        </w:rPr>
        <w:t>制定《区白鹅潭管委会开展民法典普法工作实施方案》</w:t>
      </w:r>
      <w:r>
        <w:rPr>
          <w:rFonts w:hint="eastAsia" w:ascii="Times New Roman" w:hAnsi="Times New Roman" w:eastAsia="仿宋_GB2312" w:cs="Times New Roman"/>
          <w:color w:val="auto"/>
          <w:spacing w:val="0"/>
          <w:sz w:val="32"/>
          <w:szCs w:val="32"/>
          <w:lang w:val="en-US" w:eastAsia="zh-CN"/>
        </w:rPr>
        <w:t>，</w:t>
      </w:r>
      <w:r>
        <w:rPr>
          <w:rFonts w:hint="default" w:ascii="Times New Roman" w:hAnsi="Times New Roman" w:eastAsia="仿宋_GB2312" w:cs="Times New Roman"/>
          <w:color w:val="auto"/>
          <w:spacing w:val="0"/>
          <w:sz w:val="32"/>
          <w:szCs w:val="32"/>
          <w:lang w:val="en-US" w:eastAsia="zh-CN"/>
        </w:rPr>
        <w:t>进一步强化领导干部带头学法普法的工作职责。</w:t>
      </w:r>
      <w:r>
        <w:rPr>
          <w:rFonts w:hint="eastAsia" w:ascii="Times New Roman" w:hAnsi="Times New Roman" w:eastAsia="仿宋_GB2312" w:cs="Times New Roman"/>
          <w:b/>
          <w:bCs/>
          <w:color w:val="auto"/>
          <w:spacing w:val="0"/>
          <w:sz w:val="32"/>
          <w:szCs w:val="32"/>
          <w:lang w:val="en-US" w:eastAsia="zh-CN"/>
        </w:rPr>
        <w:t>三是将学法成果转化为行政依据。</w:t>
      </w:r>
      <w:r>
        <w:rPr>
          <w:rFonts w:hint="eastAsia" w:ascii="Times New Roman" w:hAnsi="Times New Roman" w:eastAsia="仿宋_GB2312" w:cs="Times New Roman"/>
          <w:color w:val="auto"/>
          <w:spacing w:val="0"/>
          <w:sz w:val="32"/>
          <w:szCs w:val="32"/>
          <w:lang w:val="en-US" w:eastAsia="zh-CN"/>
        </w:rPr>
        <w:t>白鹅潭管委会通过党组理论学习中心组学习会认真学习《广州市人民政府关于印发广州市国有土地上房屋征收与补偿实施办法的通知》</w:t>
      </w:r>
      <w:r>
        <w:rPr>
          <w:rFonts w:hint="eastAsia" w:ascii="Times New Roman" w:hAnsi="Times New Roman" w:eastAsia="仿宋_GB2312" w:cs="仿宋_GB2312"/>
          <w:color w:val="000000"/>
          <w:spacing w:val="0"/>
          <w:w w:val="100"/>
          <w:position w:val="0"/>
          <w:sz w:val="32"/>
          <w:szCs w:val="32"/>
        </w:rPr>
        <w:t>《中华人民共和国土地管理法》</w:t>
      </w:r>
      <w:r>
        <w:rPr>
          <w:rFonts w:hint="eastAsia" w:ascii="Times New Roman" w:hAnsi="Times New Roman" w:eastAsia="仿宋_GB2312" w:cs="仿宋_GB2312"/>
          <w:color w:val="000000"/>
          <w:spacing w:val="0"/>
          <w:w w:val="100"/>
          <w:position w:val="0"/>
          <w:sz w:val="32"/>
          <w:szCs w:val="32"/>
          <w:lang w:eastAsia="zh-CN"/>
        </w:rPr>
        <w:t>《民法典》</w:t>
      </w:r>
      <w:r>
        <w:rPr>
          <w:rFonts w:hint="eastAsia" w:ascii="Times New Roman" w:hAnsi="Times New Roman" w:eastAsia="仿宋_GB2312" w:cs="仿宋_GB2312"/>
          <w:color w:val="000000"/>
          <w:spacing w:val="0"/>
          <w:w w:val="100"/>
          <w:position w:val="0"/>
          <w:sz w:val="32"/>
          <w:szCs w:val="32"/>
        </w:rPr>
        <w:t>等，不断提高运用法治思维和法治方式</w:t>
      </w:r>
      <w:r>
        <w:rPr>
          <w:rFonts w:hint="eastAsia" w:ascii="Times New Roman" w:hAnsi="Times New Roman" w:eastAsia="仿宋_GB2312" w:cs="仿宋_GB2312"/>
          <w:color w:val="000000"/>
          <w:spacing w:val="0"/>
          <w:w w:val="100"/>
          <w:position w:val="0"/>
          <w:sz w:val="32"/>
          <w:szCs w:val="32"/>
          <w:lang w:eastAsia="zh-CN"/>
        </w:rPr>
        <w:t>在白鹅潭商务区开发建设中</w:t>
      </w:r>
      <w:r>
        <w:rPr>
          <w:rFonts w:hint="eastAsia" w:ascii="Times New Roman" w:hAnsi="Times New Roman" w:eastAsia="仿宋_GB2312" w:cs="仿宋_GB2312"/>
          <w:color w:val="000000"/>
          <w:spacing w:val="0"/>
          <w:w w:val="100"/>
          <w:position w:val="0"/>
          <w:sz w:val="32"/>
          <w:szCs w:val="32"/>
        </w:rPr>
        <w:t>深化改革、推动发展、维护稳定的能力，努力建设更高水平的法治</w:t>
      </w:r>
      <w:r>
        <w:rPr>
          <w:rFonts w:hint="eastAsia" w:ascii="Times New Roman" w:hAnsi="Times New Roman" w:eastAsia="仿宋_GB2312" w:cs="仿宋_GB2312"/>
          <w:color w:val="000000"/>
          <w:spacing w:val="0"/>
          <w:w w:val="100"/>
          <w:position w:val="0"/>
          <w:sz w:val="32"/>
          <w:szCs w:val="32"/>
          <w:lang w:val="en-US" w:eastAsia="zh-CN"/>
        </w:rPr>
        <w:t>荔湾</w:t>
      </w:r>
      <w:r>
        <w:rPr>
          <w:rFonts w:hint="eastAsia" w:ascii="Times New Roman" w:hAnsi="Times New Roman" w:eastAsia="仿宋_GB2312" w:cs="仿宋_GB2312"/>
          <w:color w:val="000000"/>
          <w:spacing w:val="0"/>
          <w:w w:val="100"/>
          <w:position w:val="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default" w:ascii="Times New Roman" w:hAnsi="Times New Roman" w:eastAsia="楷体_GB2312" w:cs="Times New Roman"/>
          <w:b/>
          <w:bCs/>
          <w:color w:val="000000" w:themeColor="text1"/>
          <w:spacing w:val="0"/>
          <w:sz w:val="32"/>
          <w:szCs w:val="32"/>
          <w:lang w:val="en-US" w:eastAsia="zh-CN"/>
          <w14:textFill>
            <w14:solidFill>
              <w14:schemeClr w14:val="tx1"/>
            </w14:solidFill>
          </w14:textFill>
        </w:rPr>
      </w:pPr>
      <w:r>
        <w:rPr>
          <w:rFonts w:hint="default" w:ascii="Times New Roman" w:hAnsi="Times New Roman" w:eastAsia="楷体_GB2312" w:cs="Times New Roman"/>
          <w:b/>
          <w:bCs/>
          <w:color w:val="000000" w:themeColor="text1"/>
          <w:spacing w:val="0"/>
          <w:sz w:val="32"/>
          <w:szCs w:val="32"/>
          <w:lang w:eastAsia="zh-CN"/>
          <w14:textFill>
            <w14:solidFill>
              <w14:schemeClr w14:val="tx1"/>
            </w14:solidFill>
          </w14:textFill>
        </w:rPr>
        <w:t>（二）</w:t>
      </w:r>
      <w:r>
        <w:rPr>
          <w:rFonts w:hint="eastAsia" w:ascii="Times New Roman" w:hAnsi="Times New Roman" w:eastAsia="楷体_GB2312" w:cs="Times New Roman"/>
          <w:b/>
          <w:bCs/>
          <w:color w:val="000000" w:themeColor="text1"/>
          <w:spacing w:val="0"/>
          <w:sz w:val="32"/>
          <w:szCs w:val="32"/>
          <w:lang w:val="en-US" w:eastAsia="zh-CN"/>
          <w14:textFill>
            <w14:solidFill>
              <w14:schemeClr w14:val="tx1"/>
            </w14:solidFill>
          </w14:textFill>
        </w:rPr>
        <w:t>坚持</w:t>
      </w:r>
      <w:r>
        <w:rPr>
          <w:rFonts w:hint="default" w:ascii="Times New Roman" w:hAnsi="Times New Roman" w:eastAsia="楷体_GB2312" w:cs="Times New Roman"/>
          <w:b/>
          <w:bCs/>
          <w:color w:val="000000" w:themeColor="text1"/>
          <w:spacing w:val="0"/>
          <w:sz w:val="32"/>
          <w:szCs w:val="32"/>
          <w:lang w:eastAsia="zh-CN"/>
          <w14:textFill>
            <w14:solidFill>
              <w14:schemeClr w14:val="tx1"/>
            </w14:solidFill>
          </w14:textFill>
        </w:rPr>
        <w:t>依法行政，确保决策的合法性和科学性。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val="0"/>
          <w:bCs w:val="0"/>
          <w:spacing w:val="0"/>
          <w:sz w:val="32"/>
          <w:szCs w:val="32"/>
          <w:lang w:eastAsia="zh-CN"/>
        </w:rPr>
      </w:pP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聚焦依法征收、依法招商、依法行政等重点领域，着力提高决策法治化水平。</w:t>
      </w:r>
      <w:r>
        <w:rPr>
          <w:rFonts w:hint="eastAsia" w:ascii="Times New Roman" w:hAnsi="Times New Roman" w:eastAsia="仿宋_GB2312" w:cs="Times New Roman"/>
          <w:b/>
          <w:bCs/>
          <w:color w:val="auto"/>
          <w:spacing w:val="0"/>
          <w:sz w:val="32"/>
          <w:szCs w:val="32"/>
          <w:lang w:eastAsia="zh-CN"/>
        </w:rPr>
        <w:t>一是强化依法征收。</w:t>
      </w:r>
      <w:r>
        <w:rPr>
          <w:rFonts w:hint="eastAsia" w:ascii="Times New Roman" w:hAnsi="Times New Roman" w:eastAsia="仿宋_GB2312" w:cs="Times New Roman"/>
          <w:color w:val="auto"/>
          <w:spacing w:val="0"/>
          <w:sz w:val="32"/>
          <w:szCs w:val="32"/>
          <w:lang w:eastAsia="zh-CN"/>
        </w:rPr>
        <w:t>结合新隆沙、“三馆合一”项目等征收工作经验，为更好地依法依规依程序开展白鹅潭商务区内各组团的征收工作，由司法局牵头，我单位配合，聘请专业的律师团队，主要负责解决整备开发全过程中遇到的各种法务问题（包括向被征收人提供法律解释、与法院进行沟通联系、各种法务文书起草、整理工作等）。</w:t>
      </w:r>
      <w:r>
        <w:rPr>
          <w:rFonts w:hint="eastAsia" w:ascii="Times New Roman" w:hAnsi="Times New Roman" w:eastAsia="仿宋_GB2312" w:cs="Times New Roman"/>
          <w:b/>
          <w:bCs/>
          <w:color w:val="auto"/>
          <w:spacing w:val="0"/>
          <w:sz w:val="32"/>
          <w:szCs w:val="32"/>
          <w:lang w:val="en-US" w:eastAsia="zh-CN"/>
        </w:rPr>
        <w:t>二是强化依法招商。</w:t>
      </w:r>
      <w:r>
        <w:rPr>
          <w:rFonts w:hint="eastAsia" w:ascii="Times New Roman" w:hAnsi="Times New Roman" w:eastAsia="仿宋_GB2312" w:cs="Times New Roman"/>
          <w:color w:val="auto"/>
          <w:spacing w:val="0"/>
          <w:sz w:val="32"/>
          <w:szCs w:val="32"/>
          <w:lang w:val="en-US" w:eastAsia="zh-CN"/>
        </w:rPr>
        <w:t>在引进项目的过程中，严格按照《中华人民共和国公司法》《中华人民共和国会计法》《中华人民共和国民法典》等法律法规，对意向企业主体资质、资产负债、重大合同、关联关系等风险点开展尽职调查，避免未来可能引发的法律风险。依照《中华人民共和国土地管理法》《招标拍卖挂牌出让国有建设用地使用权规定》等法律文件要求，拟定地块出让条件和监管协议相关条款，确保招商工作全流程纳入法制化轨道。</w:t>
      </w:r>
      <w:r>
        <w:rPr>
          <w:rFonts w:hint="eastAsia" w:ascii="Times New Roman" w:hAnsi="Times New Roman" w:eastAsia="仿宋_GB2312" w:cs="Times New Roman"/>
          <w:b/>
          <w:bCs/>
          <w:color w:val="auto"/>
          <w:spacing w:val="0"/>
          <w:sz w:val="32"/>
          <w:szCs w:val="32"/>
          <w:lang w:val="en-US" w:eastAsia="zh-CN"/>
        </w:rPr>
        <w:t>三是强化依法行政。</w:t>
      </w:r>
      <w:r>
        <w:rPr>
          <w:rFonts w:hint="eastAsia" w:ascii="Times New Roman" w:hAnsi="Times New Roman" w:eastAsia="仿宋_GB2312" w:cs="Times New Roman"/>
          <w:color w:val="auto"/>
          <w:spacing w:val="0"/>
          <w:sz w:val="32"/>
          <w:szCs w:val="32"/>
          <w:lang w:val="en-US" w:eastAsia="zh-CN"/>
        </w:rPr>
        <w:t>行政复议、行政诉讼工作是依法行政工作的“晴雨表”，直接反映了政府依法行政工作的水平。本单位积极做好复议应诉工作，制定了行政复议机关与人民法院的定期交流工作机制，发挥法律顾问和代理律师在协助复议、应诉事务方面的智力支撑作用。大力推进行政复议、行政诉讼规范化建设，在机构设置、人员配备、经费保障、办案保障、办案场所等方面给予倾斜，确保有充分的人员力量、智力资源，办好每一起行政复议、行政诉讼案件。定期分析从行政复议、行政诉讼案件中反映出土地征收工作中存在的普遍性问题，从源头上减少行政争议的产生。</w:t>
      </w:r>
      <w:r>
        <w:rPr>
          <w:rFonts w:hint="eastAsia" w:ascii="Times New Roman" w:hAnsi="Times New Roman" w:eastAsia="仿宋_GB2312" w:cs="Times New Roman"/>
          <w:b/>
          <w:bCs/>
          <w:spacing w:val="0"/>
          <w:sz w:val="32"/>
          <w:szCs w:val="32"/>
          <w:lang w:val="en-US" w:eastAsia="zh-CN"/>
        </w:rPr>
        <w:t>四是</w:t>
      </w:r>
      <w:r>
        <w:rPr>
          <w:rFonts w:hint="default" w:ascii="Times New Roman" w:hAnsi="Times New Roman" w:eastAsia="仿宋_GB2312" w:cs="Times New Roman"/>
          <w:b/>
          <w:bCs/>
          <w:spacing w:val="0"/>
          <w:sz w:val="32"/>
          <w:szCs w:val="32"/>
          <w:lang w:eastAsia="zh-CN"/>
        </w:rPr>
        <w:t>有效化解矛盾纠纷。</w:t>
      </w:r>
      <w:r>
        <w:rPr>
          <w:rFonts w:hint="default" w:ascii="Times New Roman" w:hAnsi="Times New Roman" w:eastAsia="仿宋_GB2312" w:cs="Times New Roman"/>
          <w:b w:val="0"/>
          <w:bCs w:val="0"/>
          <w:spacing w:val="0"/>
          <w:sz w:val="32"/>
          <w:szCs w:val="32"/>
          <w:lang w:eastAsia="zh-CN"/>
        </w:rPr>
        <w:t>积极妥善处理广州12345政府服务热线平台转件的反馈问题，做到依法依规、认真受理和及时回复。截至2021年10月，共受理12345云信访平台转件约262宗，积极化解与群众利益密切相关的行政争议，切实做到让群众放心和满意。</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Times New Roman" w:hAnsi="Times New Roman" w:eastAsia="楷体_GB2312" w:cs="楷体_GB2312"/>
          <w:b/>
          <w:bCs/>
          <w:color w:val="000000" w:themeColor="text1"/>
          <w:spacing w:val="0"/>
          <w:sz w:val="32"/>
          <w:szCs w:val="32"/>
          <w:lang w:eastAsia="zh-CN"/>
          <w14:textFill>
            <w14:solidFill>
              <w14:schemeClr w14:val="tx1"/>
            </w14:solidFill>
          </w14:textFill>
        </w:rPr>
      </w:pPr>
      <w:r>
        <w:rPr>
          <w:rFonts w:hint="eastAsia" w:ascii="Times New Roman" w:hAnsi="Times New Roman" w:eastAsia="楷体_GB2312" w:cs="楷体_GB2312"/>
          <w:b/>
          <w:bCs/>
          <w:color w:val="000000" w:themeColor="text1"/>
          <w:spacing w:val="0"/>
          <w:sz w:val="32"/>
          <w:szCs w:val="32"/>
          <w:lang w:eastAsia="zh-CN"/>
          <w14:textFill>
            <w14:solidFill>
              <w14:schemeClr w14:val="tx1"/>
            </w14:solidFill>
          </w14:textFill>
        </w:rPr>
        <w:t>（三）深化学法用法，提升干部职工依法行政能力。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b w:val="0"/>
          <w:bCs w:val="0"/>
          <w:spacing w:val="0"/>
          <w:sz w:val="32"/>
          <w:szCs w:val="32"/>
          <w:lang w:eastAsia="zh-CN"/>
        </w:rPr>
      </w:pPr>
      <w:r>
        <w:rPr>
          <w:rFonts w:hint="eastAsia" w:ascii="Times New Roman" w:hAnsi="Times New Roman" w:eastAsia="仿宋_GB2312" w:cs="Times New Roman"/>
          <w:b/>
          <w:bCs/>
          <w:spacing w:val="0"/>
          <w:sz w:val="32"/>
          <w:szCs w:val="32"/>
          <w:lang w:eastAsia="zh-CN"/>
        </w:rPr>
        <w:t>一是积极</w:t>
      </w:r>
      <w:r>
        <w:rPr>
          <w:rFonts w:hint="eastAsia" w:ascii="Times New Roman" w:hAnsi="Times New Roman" w:eastAsia="仿宋_GB2312" w:cs="Times New Roman"/>
          <w:b/>
          <w:bCs/>
          <w:spacing w:val="0"/>
          <w:sz w:val="32"/>
          <w:szCs w:val="32"/>
          <w:lang w:val="en-US" w:eastAsia="zh-CN"/>
        </w:rPr>
        <w:t>参加</w:t>
      </w:r>
      <w:r>
        <w:rPr>
          <w:rFonts w:hint="eastAsia" w:ascii="Times New Roman" w:hAnsi="Times New Roman" w:eastAsia="仿宋_GB2312" w:cs="Times New Roman"/>
          <w:b/>
          <w:bCs/>
          <w:spacing w:val="0"/>
          <w:sz w:val="32"/>
          <w:szCs w:val="32"/>
          <w:lang w:eastAsia="zh-CN"/>
        </w:rPr>
        <w:t>学法</w:t>
      </w:r>
      <w:r>
        <w:rPr>
          <w:rFonts w:hint="eastAsia" w:ascii="Times New Roman" w:hAnsi="Times New Roman" w:eastAsia="仿宋_GB2312" w:cs="Times New Roman"/>
          <w:b/>
          <w:bCs/>
          <w:spacing w:val="0"/>
          <w:sz w:val="32"/>
          <w:szCs w:val="32"/>
          <w:lang w:val="en-US" w:eastAsia="zh-CN"/>
        </w:rPr>
        <w:t>考试</w:t>
      </w:r>
      <w:r>
        <w:rPr>
          <w:rFonts w:hint="eastAsia" w:ascii="Times New Roman" w:hAnsi="Times New Roman" w:eastAsia="仿宋_GB2312" w:cs="Times New Roman"/>
          <w:b/>
          <w:bCs/>
          <w:spacing w:val="0"/>
          <w:sz w:val="32"/>
          <w:szCs w:val="32"/>
          <w:lang w:eastAsia="zh-CN"/>
        </w:rPr>
        <w:t>。</w:t>
      </w:r>
      <w:r>
        <w:rPr>
          <w:rFonts w:hint="eastAsia" w:ascii="Times New Roman" w:hAnsi="Times New Roman" w:eastAsia="仿宋_GB2312" w:cs="Times New Roman"/>
          <w:b w:val="0"/>
          <w:bCs w:val="0"/>
          <w:spacing w:val="0"/>
          <w:sz w:val="32"/>
          <w:szCs w:val="32"/>
          <w:lang w:val="en-US" w:eastAsia="zh-CN"/>
        </w:rPr>
        <w:t>通过公务员网络大学堂、广州市普法办微信学法考试平台等途径参加2021年度学法考试38人，</w:t>
      </w:r>
      <w:r>
        <w:rPr>
          <w:rFonts w:hint="default" w:ascii="Times New Roman" w:hAnsi="Times New Roman" w:eastAsia="仿宋_GB2312" w:cs="Times New Roman"/>
          <w:b w:val="0"/>
          <w:bCs w:val="0"/>
          <w:spacing w:val="0"/>
          <w:sz w:val="32"/>
          <w:szCs w:val="32"/>
          <w:lang w:eastAsia="zh-CN"/>
        </w:rPr>
        <w:t>通过率100%，优秀率100%。</w:t>
      </w:r>
      <w:r>
        <w:rPr>
          <w:rFonts w:hint="eastAsia" w:ascii="Times New Roman" w:hAnsi="Times New Roman" w:eastAsia="仿宋_GB2312" w:cs="Times New Roman"/>
          <w:b/>
          <w:bCs/>
          <w:spacing w:val="0"/>
          <w:sz w:val="32"/>
          <w:szCs w:val="32"/>
          <w:lang w:val="en-US" w:eastAsia="zh-CN"/>
        </w:rPr>
        <w:t>二是</w:t>
      </w:r>
      <w:r>
        <w:rPr>
          <w:rFonts w:hint="default" w:ascii="Times New Roman" w:hAnsi="Times New Roman" w:eastAsia="仿宋_GB2312" w:cs="Times New Roman"/>
          <w:b/>
          <w:bCs/>
          <w:spacing w:val="0"/>
          <w:sz w:val="32"/>
          <w:szCs w:val="32"/>
          <w:lang w:eastAsia="zh-CN"/>
        </w:rPr>
        <w:t>提升重点领域学法用法能力。</w:t>
      </w:r>
      <w:r>
        <w:rPr>
          <w:rFonts w:hint="default" w:ascii="Times New Roman" w:hAnsi="Times New Roman" w:eastAsia="仿宋_GB2312" w:cs="Times New Roman"/>
          <w:b w:val="0"/>
          <w:bCs w:val="0"/>
          <w:color w:val="auto"/>
          <w:spacing w:val="0"/>
          <w:sz w:val="32"/>
          <w:szCs w:val="32"/>
          <w:lang w:eastAsia="zh-CN"/>
        </w:rPr>
        <w:t>举办“</w:t>
      </w:r>
      <w:r>
        <w:rPr>
          <w:rFonts w:hint="default" w:ascii="Times New Roman" w:hAnsi="Times New Roman" w:eastAsia="仿宋_GB2312" w:cs="Times New Roman"/>
          <w:b w:val="0"/>
          <w:bCs w:val="0"/>
          <w:spacing w:val="0"/>
          <w:sz w:val="32"/>
          <w:szCs w:val="32"/>
          <w:lang w:eastAsia="zh-CN"/>
        </w:rPr>
        <w:t>《民法典》普法教育专题讲座暨房屋征收与补偿工作经验交流会”，邀请国有土地上房屋征收、“三旧”改造领域专业律师进行专题培训，提高一线动迁人员的业务本领和法律素养，为依法依规推进白鹅潭商务区土地整备及开发工作打下坚实基础。</w:t>
      </w:r>
      <w:r>
        <w:rPr>
          <w:rFonts w:hint="eastAsia" w:ascii="Times New Roman" w:hAnsi="Times New Roman" w:eastAsia="仿宋_GB2312" w:cs="Times New Roman"/>
          <w:b/>
          <w:bCs/>
          <w:spacing w:val="0"/>
          <w:sz w:val="32"/>
          <w:szCs w:val="32"/>
          <w:lang w:val="en-US" w:eastAsia="zh-CN"/>
        </w:rPr>
        <w:t>三是积极参加专业培训。</w:t>
      </w:r>
      <w:r>
        <w:rPr>
          <w:rFonts w:hint="eastAsia" w:ascii="Times New Roman" w:hAnsi="Times New Roman" w:eastAsia="仿宋_GB2312" w:cs="Times New Roman"/>
          <w:b w:val="0"/>
          <w:bCs w:val="0"/>
          <w:spacing w:val="0"/>
          <w:sz w:val="32"/>
          <w:szCs w:val="32"/>
          <w:lang w:val="en-US" w:eastAsia="zh-CN"/>
        </w:rPr>
        <w:t>组织征收</w:t>
      </w:r>
      <w:r>
        <w:rPr>
          <w:rFonts w:hint="default" w:ascii="Times New Roman" w:hAnsi="Times New Roman" w:eastAsia="仿宋_GB2312" w:cs="Times New Roman"/>
          <w:b w:val="0"/>
          <w:bCs w:val="0"/>
          <w:spacing w:val="0"/>
          <w:sz w:val="32"/>
          <w:szCs w:val="32"/>
          <w:lang w:eastAsia="zh-CN"/>
        </w:rPr>
        <w:t>业务骨干参加由广州市房屋征收办举办的《国有土地上房屋征收工作培训班》，不断提高征收从业人员的综合素质、政策理论水平和学法用法能力以及公职人员依法决策、依法行政、依法管理的能力。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Times New Roman" w:hAnsi="Times New Roman" w:eastAsia="黑体" w:cs="黑体"/>
          <w:color w:val="000000" w:themeColor="text1"/>
          <w:spacing w:val="0"/>
          <w:sz w:val="32"/>
          <w:szCs w:val="32"/>
          <w:lang w:val="en-US" w:eastAsia="zh-CN"/>
          <w14:textFill>
            <w14:solidFill>
              <w14:schemeClr w14:val="tx1"/>
            </w14:solidFill>
          </w14:textFill>
        </w:rPr>
      </w:pPr>
      <w:r>
        <w:rPr>
          <w:rFonts w:hint="eastAsia" w:ascii="Times New Roman" w:hAnsi="Times New Roman" w:eastAsia="黑体" w:cs="黑体"/>
          <w:color w:val="000000" w:themeColor="text1"/>
          <w:spacing w:val="0"/>
          <w:sz w:val="32"/>
          <w:szCs w:val="32"/>
          <w:lang w:val="en-US" w:eastAsia="zh-CN"/>
          <w14:textFill>
            <w14:solidFill>
              <w14:schemeClr w14:val="tx1"/>
            </w14:solidFill>
          </w14:textFill>
        </w:rPr>
        <w:t>二、</w:t>
      </w:r>
      <w:r>
        <w:rPr>
          <w:rFonts w:hint="eastAsia" w:ascii="Times New Roman" w:hAnsi="Times New Roman" w:eastAsia="黑体" w:cs="黑体"/>
          <w:sz w:val="32"/>
          <w:szCs w:val="32"/>
        </w:rPr>
        <w:t>2021年度推进法治政府建设存在的不足和原因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Times New Roman" w:hAnsi="Times New Roman" w:eastAsia="仿宋_GB2312" w:cs="Times New Roman"/>
          <w:color w:val="auto"/>
          <w:spacing w:val="0"/>
          <w:sz w:val="32"/>
          <w:szCs w:val="32"/>
          <w:lang w:val="en-US" w:eastAsia="zh-CN"/>
        </w:rPr>
      </w:pPr>
      <w:r>
        <w:rPr>
          <w:rFonts w:hint="eastAsia" w:ascii="Times New Roman" w:hAnsi="Times New Roman" w:eastAsia="仿宋_GB2312" w:cs="Times New Roman"/>
          <w:color w:val="auto"/>
          <w:spacing w:val="0"/>
          <w:sz w:val="32"/>
          <w:szCs w:val="32"/>
          <w:lang w:val="en-US" w:eastAsia="zh-CN"/>
        </w:rPr>
        <w:t>白鹅潭管委会</w:t>
      </w:r>
      <w:r>
        <w:rPr>
          <w:rFonts w:hint="default" w:ascii="Times New Roman" w:hAnsi="Times New Roman" w:eastAsia="仿宋_GB2312" w:cs="Times New Roman"/>
          <w:color w:val="auto"/>
          <w:spacing w:val="0"/>
          <w:sz w:val="32"/>
          <w:szCs w:val="32"/>
          <w:lang w:val="en-US" w:eastAsia="zh-CN"/>
        </w:rPr>
        <w:t>法治政府建设工作</w:t>
      </w:r>
      <w:r>
        <w:rPr>
          <w:rFonts w:hint="eastAsia" w:ascii="Times New Roman" w:hAnsi="Times New Roman" w:eastAsia="仿宋_GB2312" w:cs="Times New Roman"/>
          <w:color w:val="auto"/>
          <w:spacing w:val="0"/>
          <w:sz w:val="32"/>
          <w:szCs w:val="32"/>
          <w:lang w:val="en-US" w:eastAsia="zh-CN"/>
        </w:rPr>
        <w:t>虽取得一定成绩，</w:t>
      </w:r>
      <w:r>
        <w:rPr>
          <w:rFonts w:hint="default" w:ascii="Times New Roman" w:hAnsi="Times New Roman" w:eastAsia="仿宋_GB2312" w:cs="Times New Roman"/>
          <w:color w:val="auto"/>
          <w:spacing w:val="0"/>
          <w:sz w:val="32"/>
          <w:szCs w:val="32"/>
          <w:lang w:val="en-US" w:eastAsia="zh-CN"/>
        </w:rPr>
        <w:t>但距离上级的要求仍有一定的差距，主要表现在：一是个别干部职工运用法律手段解决问题的意识不强。二是个别</w:t>
      </w:r>
      <w:r>
        <w:rPr>
          <w:rFonts w:hint="eastAsia" w:ascii="Times New Roman" w:hAnsi="Times New Roman" w:eastAsia="仿宋_GB2312" w:cs="Times New Roman"/>
          <w:color w:val="auto"/>
          <w:spacing w:val="0"/>
          <w:sz w:val="32"/>
          <w:szCs w:val="32"/>
          <w:lang w:val="en-US" w:eastAsia="zh-CN"/>
        </w:rPr>
        <w:t>干部</w:t>
      </w:r>
      <w:r>
        <w:rPr>
          <w:rFonts w:hint="default" w:ascii="Times New Roman" w:hAnsi="Times New Roman" w:eastAsia="仿宋_GB2312" w:cs="Times New Roman"/>
          <w:color w:val="auto"/>
          <w:spacing w:val="0"/>
          <w:sz w:val="32"/>
          <w:szCs w:val="32"/>
          <w:lang w:val="en-US" w:eastAsia="zh-CN"/>
        </w:rPr>
        <w:t>法律素养亟待提升。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Times New Roman" w:hAnsi="Times New Roman" w:eastAsia="黑体" w:cs="黑体"/>
          <w:color w:val="000000" w:themeColor="text1"/>
          <w:spacing w:val="0"/>
          <w:sz w:val="32"/>
          <w:szCs w:val="32"/>
          <w:lang w:val="en-US" w:eastAsia="zh-CN"/>
          <w14:textFill>
            <w14:solidFill>
              <w14:schemeClr w14:val="tx1"/>
            </w14:solidFill>
          </w14:textFill>
        </w:rPr>
      </w:pPr>
      <w:r>
        <w:rPr>
          <w:rFonts w:hint="eastAsia" w:ascii="Times New Roman" w:hAnsi="Times New Roman" w:eastAsia="黑体" w:cs="黑体"/>
          <w:color w:val="000000" w:themeColor="text1"/>
          <w:spacing w:val="0"/>
          <w:sz w:val="32"/>
          <w:szCs w:val="32"/>
          <w:lang w:val="en-US" w:eastAsia="zh-CN"/>
          <w14:textFill>
            <w14:solidFill>
              <w14:schemeClr w14:val="tx1"/>
            </w14:solidFill>
          </w14:textFill>
        </w:rPr>
        <w:t>三、</w:t>
      </w:r>
      <w:r>
        <w:rPr>
          <w:rFonts w:hint="eastAsia" w:ascii="Times New Roman" w:hAnsi="Times New Roman" w:eastAsia="黑体" w:cs="黑体"/>
          <w:sz w:val="32"/>
          <w:szCs w:val="32"/>
        </w:rPr>
        <w:t>2021年度主要负责人履行推进法治建设第一责任人职责，加强法治政府建设的有关情况</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白鹅潭管委会主要负责人高度重视履行推进法治建设第一责任人职责，将法治建设摆在重要位置，强化统筹、部署、推进法治建设工作。</w:t>
      </w:r>
      <w:r>
        <w:rPr>
          <w:rFonts w:hint="eastAsia" w:ascii="Times New Roman" w:hAnsi="Times New Roman" w:eastAsia="仿宋_GB2312" w:cs="Times New Roman"/>
          <w:b/>
          <w:bCs/>
          <w:color w:val="000000" w:themeColor="text1"/>
          <w:spacing w:val="0"/>
          <w:sz w:val="32"/>
          <w:szCs w:val="32"/>
          <w:lang w:val="en-US" w:eastAsia="zh-CN"/>
          <w14:textFill>
            <w14:solidFill>
              <w14:schemeClr w14:val="tx1"/>
            </w14:solidFill>
          </w14:textFill>
        </w:rPr>
        <w:t>一是加强法治政府建设组织领导。</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形成主要领导全面负责，分管领导具体负责、综合科牵头，各科室（下属单位）共同参与的法治政府建设工作格局。</w:t>
      </w:r>
      <w:r>
        <w:rPr>
          <w:rFonts w:hint="eastAsia" w:ascii="Times New Roman" w:hAnsi="Times New Roman" w:eastAsia="仿宋_GB2312" w:cs="Times New Roman"/>
          <w:b/>
          <w:bCs/>
          <w:color w:val="000000" w:themeColor="text1"/>
          <w:spacing w:val="0"/>
          <w:sz w:val="32"/>
          <w:szCs w:val="32"/>
          <w:lang w:val="en-US" w:eastAsia="zh-CN"/>
          <w14:textFill>
            <w14:solidFill>
              <w14:schemeClr w14:val="tx1"/>
            </w14:solidFill>
          </w14:textFill>
        </w:rPr>
        <w:t>二是贯彻落实区委区政府法治建设决策部署。</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统筹制定2021年法治政府建设重点工作安排，谋划部署年度法治建设工作。</w:t>
      </w:r>
      <w:r>
        <w:rPr>
          <w:rFonts w:hint="eastAsia" w:ascii="Times New Roman" w:hAnsi="Times New Roman" w:eastAsia="仿宋_GB2312" w:cs="Times New Roman"/>
          <w:b/>
          <w:bCs/>
          <w:color w:val="000000" w:themeColor="text1"/>
          <w:spacing w:val="0"/>
          <w:sz w:val="32"/>
          <w:szCs w:val="32"/>
          <w:lang w:val="en-US" w:eastAsia="zh-CN"/>
          <w14:textFill>
            <w14:solidFill>
              <w14:schemeClr w14:val="tx1"/>
            </w14:solidFill>
          </w14:textFill>
        </w:rPr>
        <w:t>三是严格依法依规决策。</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落实法律顾问制度，督促指导加强对重大决策的合法合规性审查等工作。</w:t>
      </w:r>
      <w:r>
        <w:rPr>
          <w:rFonts w:hint="eastAsia" w:ascii="Times New Roman" w:hAnsi="Times New Roman" w:eastAsia="仿宋_GB2312" w:cs="Times New Roman"/>
          <w:b/>
          <w:bCs/>
          <w:color w:val="000000" w:themeColor="text1"/>
          <w:spacing w:val="0"/>
          <w:sz w:val="32"/>
          <w:szCs w:val="32"/>
          <w:lang w:val="en-US" w:eastAsia="zh-CN"/>
          <w14:textFill>
            <w14:solidFill>
              <w14:schemeClr w14:val="tx1"/>
            </w14:solidFill>
          </w14:textFill>
        </w:rPr>
        <w:t>四是支持区人大、政府、政协、法院、检察院依法依章程履行职能、开展工作，督促领导班子其他成员依法办事。五是自觉维护司法权威。</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认真落实行政机关出庭应诉、支持法院受理行政案件、尊重并执行法院生效裁判的制度。</w:t>
      </w:r>
      <w:r>
        <w:rPr>
          <w:rFonts w:hint="eastAsia" w:ascii="Times New Roman" w:hAnsi="Times New Roman" w:eastAsia="仿宋_GB2312" w:cs="Times New Roman"/>
          <w:b/>
          <w:bCs/>
          <w:color w:val="000000" w:themeColor="text1"/>
          <w:spacing w:val="0"/>
          <w:sz w:val="32"/>
          <w:szCs w:val="32"/>
          <w:lang w:val="en-US" w:eastAsia="zh-CN"/>
          <w14:textFill>
            <w14:solidFill>
              <w14:schemeClr w14:val="tx1"/>
            </w14:solidFill>
          </w14:textFill>
        </w:rPr>
        <w:t>六是部署和参加领导干部法治专题学习活动。</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学习宪法等重要法律法规，支持开展城市更新、土地整备政策宣传活动。</w:t>
      </w:r>
      <w:r>
        <w:rPr>
          <w:rFonts w:hint="eastAsia" w:ascii="Times New Roman" w:hAnsi="Times New Roman" w:eastAsia="仿宋_GB2312" w:cs="Times New Roman"/>
          <w:b/>
          <w:bCs/>
          <w:color w:val="000000" w:themeColor="text1"/>
          <w:spacing w:val="0"/>
          <w:sz w:val="32"/>
          <w:szCs w:val="32"/>
          <w:lang w:val="en-US" w:eastAsia="zh-CN"/>
          <w14:textFill>
            <w14:solidFill>
              <w14:schemeClr w14:val="tx1"/>
            </w14:solidFill>
          </w14:textFill>
        </w:rPr>
        <w:t>七是树立鲜明的用人导向。</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将法治政府建设纳入了综合考核指标体系，加大了考核力度,使其作为考察使用干部、推进干部能上能下的重要依据。</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eastAsia" w:ascii="Times New Roman" w:hAnsi="Times New Roman" w:eastAsia="黑体" w:cs="黑体"/>
          <w:spacing w:val="0"/>
          <w:sz w:val="32"/>
          <w:szCs w:val="32"/>
          <w:lang w:eastAsia="zh-CN"/>
        </w:rPr>
      </w:pPr>
      <w:r>
        <w:rPr>
          <w:rFonts w:hint="eastAsia" w:ascii="Times New Roman" w:hAnsi="Times New Roman" w:eastAsia="黑体" w:cs="黑体"/>
          <w:spacing w:val="0"/>
          <w:sz w:val="32"/>
          <w:szCs w:val="32"/>
          <w:lang w:eastAsia="zh-CN"/>
        </w:rPr>
        <w:t>四、</w:t>
      </w:r>
      <w:r>
        <w:rPr>
          <w:rFonts w:hint="eastAsia" w:ascii="Times New Roman" w:hAnsi="Times New Roman" w:eastAsia="黑体" w:cs="黑体"/>
          <w:sz w:val="32"/>
          <w:szCs w:val="32"/>
        </w:rPr>
        <w:t>下一年度推进法治政府建设的主要安排</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spacing w:val="0"/>
          <w:sz w:val="32"/>
          <w:szCs w:val="32"/>
          <w:lang w:val="en-US" w:eastAsia="zh-CN"/>
        </w:rPr>
        <w:t>202</w:t>
      </w:r>
      <w:r>
        <w:rPr>
          <w:rFonts w:hint="eastAsia" w:ascii="Times New Roman" w:hAnsi="Times New Roman" w:eastAsia="仿宋_GB2312" w:cs="Times New Roman"/>
          <w:spacing w:val="0"/>
          <w:sz w:val="32"/>
          <w:szCs w:val="32"/>
          <w:lang w:val="en-US" w:eastAsia="zh-CN"/>
        </w:rPr>
        <w:t>2</w:t>
      </w:r>
      <w:r>
        <w:rPr>
          <w:rFonts w:hint="default" w:ascii="Times New Roman" w:hAnsi="Times New Roman" w:eastAsia="仿宋_GB2312" w:cs="Times New Roman"/>
          <w:spacing w:val="0"/>
          <w:sz w:val="32"/>
          <w:szCs w:val="32"/>
          <w:lang w:val="en-US" w:eastAsia="zh-CN"/>
        </w:rPr>
        <w:t>年，</w:t>
      </w:r>
      <w:r>
        <w:rPr>
          <w:rFonts w:hint="eastAsia" w:ascii="Times New Roman" w:hAnsi="Times New Roman" w:eastAsia="仿宋_GB2312" w:cs="Times New Roman"/>
          <w:spacing w:val="0"/>
          <w:sz w:val="32"/>
          <w:szCs w:val="32"/>
          <w:lang w:val="en-US" w:eastAsia="zh-CN"/>
        </w:rPr>
        <w:t>白鹅潭管委会</w:t>
      </w:r>
      <w:r>
        <w:rPr>
          <w:rFonts w:hint="default" w:ascii="Times New Roman" w:hAnsi="Times New Roman" w:eastAsia="仿宋_GB2312" w:cs="Times New Roman"/>
          <w:spacing w:val="0"/>
          <w:sz w:val="32"/>
          <w:szCs w:val="32"/>
          <w:lang w:val="en-US" w:eastAsia="zh-CN"/>
        </w:rPr>
        <w:t>将坚持以习近平新时代中国特色社会主义思想为指导，深入学习领会习近平总书记全面依法治国新理念新思想新战略，进一步做好党员干部的普法工作，依法依规推进白鹅潭商务区开发建设。</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Times New Roman"/>
          <w:b w:val="0"/>
          <w:bCs w:val="0"/>
          <w:spacing w:val="0"/>
          <w:sz w:val="32"/>
          <w:szCs w:val="32"/>
          <w:lang w:val="en-US" w:eastAsia="zh-CN"/>
        </w:rPr>
        <w:t>（一）进一步加强制度建设，推动房屋征收规范化。将</w:t>
      </w:r>
      <w:r>
        <w:rPr>
          <w:rFonts w:hint="default" w:ascii="Times New Roman" w:hAnsi="Times New Roman" w:eastAsia="仿宋_GB2312" w:cs="Times New Roman"/>
          <w:b w:val="0"/>
          <w:bCs w:val="0"/>
          <w:spacing w:val="0"/>
          <w:sz w:val="32"/>
          <w:szCs w:val="32"/>
          <w:lang w:val="en-US" w:eastAsia="zh-CN"/>
        </w:rPr>
        <w:t>《土地管理法》《土地管理法实施条例》</w:t>
      </w:r>
      <w:r>
        <w:rPr>
          <w:rFonts w:hint="eastAsia" w:ascii="Times New Roman" w:hAnsi="Times New Roman" w:eastAsia="仿宋_GB2312" w:cs="Times New Roman"/>
          <w:b w:val="0"/>
          <w:bCs w:val="0"/>
          <w:spacing w:val="0"/>
          <w:sz w:val="32"/>
          <w:szCs w:val="32"/>
          <w:lang w:val="en-US" w:eastAsia="zh-CN"/>
        </w:rPr>
        <w:t>《</w:t>
      </w:r>
      <w:r>
        <w:rPr>
          <w:rFonts w:hint="default" w:ascii="Times New Roman" w:hAnsi="Times New Roman" w:eastAsia="仿宋_GB2312" w:cs="Times New Roman"/>
          <w:b w:val="0"/>
          <w:bCs w:val="0"/>
          <w:spacing w:val="0"/>
          <w:sz w:val="32"/>
          <w:szCs w:val="32"/>
          <w:lang w:val="en-US" w:eastAsia="zh-CN"/>
        </w:rPr>
        <w:t>广州市人民政府关于印发广州市国有土地上房屋征收与补偿实施办法的通知</w:t>
      </w:r>
      <w:r>
        <w:rPr>
          <w:rFonts w:hint="eastAsia" w:ascii="Times New Roman" w:hAnsi="Times New Roman" w:eastAsia="仿宋_GB2312" w:cs="Times New Roman"/>
          <w:b w:val="0"/>
          <w:bCs w:val="0"/>
          <w:spacing w:val="0"/>
          <w:sz w:val="32"/>
          <w:szCs w:val="32"/>
          <w:lang w:val="en-US" w:eastAsia="zh-CN"/>
        </w:rPr>
        <w:t>》等法律法规与白鹅潭商务区开发建设工作中涉及的管理办法相结合，进行重新梳理、修订及完善，及时消除现有工作流程中滞后的事项。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Times New Roman"/>
          <w:b w:val="0"/>
          <w:bCs w:val="0"/>
          <w:spacing w:val="0"/>
          <w:sz w:val="32"/>
          <w:szCs w:val="32"/>
          <w:lang w:val="en-US" w:eastAsia="zh-CN"/>
        </w:rPr>
        <w:t>（二）强化法治培训，提升征收人员工作水平。结合新修订的部分法律法规，对项目一线动迁人员定期开展专题教育培训，提升动迁人员房屋征收水平及业务能力。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Times New Roman"/>
          <w:b w:val="0"/>
          <w:bCs w:val="0"/>
          <w:spacing w:val="0"/>
          <w:sz w:val="32"/>
          <w:szCs w:val="32"/>
          <w:lang w:val="en-US" w:eastAsia="zh-CN"/>
        </w:rPr>
        <w:t>（三）抓好法治宣传教育，形成支持依法征收氛围。增强群众法治观念，推动法治社会建设，形成学法用法尊法守法的法治社会，进一步落实“谁执法谁普法、谁主管谁普法”的宣传制度，大力争取群众对征收工作的理解、支持和配合。</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default"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（四）健全完善机制，完善决策流程。深入研究</w:t>
      </w:r>
      <w:r>
        <w:rPr>
          <w:rFonts w:hint="default"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白鹅潭商务区开发建设和招商引资的机制</w:t>
      </w:r>
      <w:r>
        <w:rPr>
          <w:rFonts w:hint="eastAsia" w:ascii="Times New Roman" w:hAnsi="Times New Roman" w:eastAsia="仿宋_GB2312" w:cs="Times New Roman"/>
          <w:b w:val="0"/>
          <w:bCs w:val="0"/>
          <w:color w:val="000000" w:themeColor="text1"/>
          <w:spacing w:val="0"/>
          <w:sz w:val="32"/>
          <w:szCs w:val="32"/>
          <w:lang w:val="en-US" w:eastAsia="zh-CN"/>
          <w14:textFill>
            <w14:solidFill>
              <w14:schemeClr w14:val="tx1"/>
            </w14:solidFill>
          </w14:textFill>
        </w:rPr>
        <w:t>，项目监管机制，固定资产投资统计机制等，推动各项工作高效运转。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Times New Roman"/>
          <w:b w:val="0"/>
          <w:bCs w:val="0"/>
          <w:spacing w:val="0"/>
          <w:sz w:val="32"/>
          <w:szCs w:val="32"/>
          <w:lang w:val="en-US" w:eastAsia="zh-CN"/>
        </w:rPr>
        <w:t>（五）健全学法制度，提升决策水平</w:t>
      </w:r>
      <w:bookmarkStart w:id="0" w:name="_GoBack"/>
      <w:bookmarkEnd w:id="0"/>
      <w:r>
        <w:rPr>
          <w:rFonts w:hint="eastAsia" w:ascii="Times New Roman" w:hAnsi="Times New Roman" w:eastAsia="仿宋_GB2312" w:cs="Times New Roman"/>
          <w:b w:val="0"/>
          <w:bCs w:val="0"/>
          <w:spacing w:val="0"/>
          <w:sz w:val="32"/>
          <w:szCs w:val="32"/>
          <w:lang w:val="en-US" w:eastAsia="zh-CN"/>
        </w:rPr>
        <w:t>。继续抓好领导干部学法用法机制及本单位学法机制建设。进一步提升领导班子科学决策、依法决策水平，提升全体干部职工用法、守法力度。发挥法治人才的作用，完善法律顾问制度建设。在行政决策、环节，充分发挥法律顾问及法制机构的参与、保障作用，共同做好行政复议、行政诉讼的应对，加大行政调解力度，减少行政败诉的发生机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Times New Roman" w:hAnsi="Times New Roman" w:eastAsia="黑体" w:cs="黑体"/>
          <w:sz w:val="32"/>
          <w:szCs w:val="32"/>
        </w:rPr>
      </w:pPr>
      <w:r>
        <w:rPr>
          <w:rFonts w:hint="eastAsia" w:ascii="Times New Roman" w:hAnsi="Times New Roman" w:eastAsia="黑体" w:cs="黑体"/>
          <w:sz w:val="32"/>
          <w:szCs w:val="32"/>
          <w:lang w:eastAsia="zh-CN"/>
        </w:rPr>
        <w:t>五、</w:t>
      </w:r>
      <w:r>
        <w:rPr>
          <w:rFonts w:hint="eastAsia" w:ascii="Times New Roman" w:hAnsi="Times New Roman" w:eastAsia="黑体" w:cs="黑体"/>
          <w:sz w:val="32"/>
          <w:szCs w:val="32"/>
        </w:rPr>
        <w:t>其他需要报告的情况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outlineLvl w:val="9"/>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outlineLvl w:val="9"/>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outlineLvl w:val="9"/>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outlineLvl w:val="9"/>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t>广州市荔湾区白鹅潭管理委员会</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pacing w:val="0"/>
          <w:sz w:val="32"/>
          <w:szCs w:val="32"/>
          <w:lang w:val="en-US" w:eastAsia="zh-CN"/>
        </w:rPr>
        <w:t>202</w:t>
      </w:r>
      <w:r>
        <w:rPr>
          <w:rFonts w:hint="eastAsia" w:ascii="Times New Roman" w:hAnsi="Times New Roman" w:eastAsia="仿宋_GB2312" w:cs="Times New Roman"/>
          <w:color w:val="auto"/>
          <w:spacing w:val="0"/>
          <w:sz w:val="32"/>
          <w:szCs w:val="32"/>
          <w:lang w:val="en-US" w:eastAsia="zh-CN"/>
        </w:rPr>
        <w:t>1</w:t>
      </w:r>
      <w:r>
        <w:rPr>
          <w:rFonts w:hint="default" w:ascii="Times New Roman" w:hAnsi="Times New Roman" w:eastAsia="仿宋_GB2312" w:cs="Times New Roman"/>
          <w:color w:val="auto"/>
          <w:spacing w:val="0"/>
          <w:sz w:val="32"/>
          <w:szCs w:val="32"/>
          <w:lang w:val="en-US" w:eastAsia="zh-CN"/>
        </w:rPr>
        <w:t>年</w:t>
      </w:r>
      <w:r>
        <w:rPr>
          <w:rFonts w:hint="eastAsia" w:ascii="Times New Roman" w:hAnsi="Times New Roman" w:eastAsia="仿宋_GB2312" w:cs="Times New Roman"/>
          <w:color w:val="auto"/>
          <w:spacing w:val="0"/>
          <w:sz w:val="32"/>
          <w:szCs w:val="32"/>
          <w:lang w:val="en-US" w:eastAsia="zh-CN"/>
        </w:rPr>
        <w:t>11</w:t>
      </w:r>
      <w:r>
        <w:rPr>
          <w:rFonts w:hint="default" w:ascii="Times New Roman" w:hAnsi="Times New Roman" w:eastAsia="仿宋_GB2312" w:cs="Times New Roman"/>
          <w:color w:val="auto"/>
          <w:spacing w:val="0"/>
          <w:sz w:val="32"/>
          <w:szCs w:val="32"/>
          <w:lang w:val="en-US" w:eastAsia="zh-CN"/>
        </w:rPr>
        <w:t>月</w:t>
      </w:r>
      <w:r>
        <w:rPr>
          <w:rFonts w:hint="eastAsia" w:ascii="Times New Roman" w:hAnsi="Times New Roman" w:eastAsia="仿宋_GB2312" w:cs="Times New Roman"/>
          <w:color w:val="auto"/>
          <w:spacing w:val="0"/>
          <w:sz w:val="32"/>
          <w:szCs w:val="32"/>
          <w:lang w:val="en-US" w:eastAsia="zh-CN"/>
        </w:rPr>
        <w:t>9</w:t>
      </w:r>
      <w:r>
        <w:rPr>
          <w:rFonts w:hint="default" w:ascii="Times New Roman" w:hAnsi="Times New Roman" w:eastAsia="仿宋_GB2312" w:cs="Times New Roman"/>
          <w:color w:val="auto"/>
          <w:spacing w:val="0"/>
          <w:sz w:val="32"/>
          <w:szCs w:val="32"/>
          <w:lang w:val="en-US" w:eastAsia="zh-CN"/>
        </w:rPr>
        <w:t>日</w:t>
      </w:r>
      <w:r>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258DF"/>
    <w:rsid w:val="00AE7957"/>
    <w:rsid w:val="03641FE7"/>
    <w:rsid w:val="05080BD4"/>
    <w:rsid w:val="061C28B9"/>
    <w:rsid w:val="06D914B4"/>
    <w:rsid w:val="07F47408"/>
    <w:rsid w:val="08E51957"/>
    <w:rsid w:val="0B9440C2"/>
    <w:rsid w:val="0D6806E4"/>
    <w:rsid w:val="0E8E150E"/>
    <w:rsid w:val="0ED05A97"/>
    <w:rsid w:val="118C0CE1"/>
    <w:rsid w:val="12412D7B"/>
    <w:rsid w:val="13BD6EF5"/>
    <w:rsid w:val="1544579C"/>
    <w:rsid w:val="16B01D7E"/>
    <w:rsid w:val="17A13026"/>
    <w:rsid w:val="18534A78"/>
    <w:rsid w:val="1A482DB2"/>
    <w:rsid w:val="1C341F56"/>
    <w:rsid w:val="1DFA1254"/>
    <w:rsid w:val="255675FA"/>
    <w:rsid w:val="3A920FD3"/>
    <w:rsid w:val="3BC11BE4"/>
    <w:rsid w:val="3DC11C42"/>
    <w:rsid w:val="3DF87FC8"/>
    <w:rsid w:val="3E9E2793"/>
    <w:rsid w:val="40B74F27"/>
    <w:rsid w:val="412A6CBE"/>
    <w:rsid w:val="414A1BAE"/>
    <w:rsid w:val="4A8E4FBC"/>
    <w:rsid w:val="51A9579C"/>
    <w:rsid w:val="544E0286"/>
    <w:rsid w:val="5B8F4247"/>
    <w:rsid w:val="5DD52FDF"/>
    <w:rsid w:val="5E9F5765"/>
    <w:rsid w:val="5F771BA0"/>
    <w:rsid w:val="622B624F"/>
    <w:rsid w:val="63C258DF"/>
    <w:rsid w:val="6C24494C"/>
    <w:rsid w:val="78AB2594"/>
    <w:rsid w:val="791407F4"/>
    <w:rsid w:val="7CDE72A4"/>
    <w:rsid w:val="7D617256"/>
    <w:rsid w:val="7E017016"/>
    <w:rsid w:val="7E2569C7"/>
    <w:rsid w:val="7FB24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customStyle="1" w:styleId="5">
    <w:name w:val="Body text|1"/>
    <w:qFormat/>
    <w:uiPriority w:val="0"/>
    <w:pPr>
      <w:widowControl w:val="0"/>
      <w:shd w:val="clear" w:color="auto" w:fill="auto"/>
      <w:spacing w:line="391" w:lineRule="auto"/>
      <w:ind w:firstLine="400"/>
      <w:jc w:val="both"/>
    </w:pPr>
    <w:rPr>
      <w:rFonts w:ascii="宋体" w:hAnsi="宋体" w:eastAsia="宋体" w:cs="宋体"/>
      <w:kern w:val="2"/>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95</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2020-04-08T09:22:00Z</dcterms:created>
  <dc:creator>罗锐</dc:creator>
  <cp:lastModifiedBy>梁伟铿</cp:lastModifiedBy>
  <cp:lastPrinted>2022-03-08T02:03:00Z</cp:lastPrinted>
  <dcterms:modified xsi:type="dcterms:W3CDTF">2022-03-21T03:16:17Z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F4D6265F9C1C40C6AC65AA48C5D3E559</vt:lpwstr>
  </property>
</Properties>
</file>