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hint="default" w:ascii="Times New Roman" w:hAnsi="Times New Roman" w:eastAsia="仿宋_GB2312" w:cs="Times New Roman"/>
          <w:b/>
          <w:sz w:val="32"/>
        </w:rPr>
        <w:id w:val="147451249"/>
        <w15:color w:val="DBDBDB"/>
        <w:docPartObj>
          <w:docPartGallery w:val="Table of Contents"/>
          <w:docPartUnique/>
        </w:docPartObj>
      </w:sdtPr>
      <w:sdtEndPr>
        <w:rPr>
          <w:rFonts w:hint="default" w:ascii="Times New Roman" w:hAnsi="Times New Roman" w:eastAsia="仿宋_GB2312" w:cs="Times New Roman"/>
          <w:b/>
          <w:sz w:val="32"/>
        </w:rPr>
      </w:sdtEndPr>
      <w:sdtContent>
        <w:p>
          <w:pPr>
            <w:spacing w:line="540" w:lineRule="exact"/>
            <w:jc w:val="center"/>
            <w:rPr>
              <w:rFonts w:hint="eastAsia" w:ascii="方正小标宋简体" w:hAnsi="方正小标宋简体" w:eastAsia="方正小标宋简体" w:cs="方正小标宋简体"/>
              <w:b w:val="0"/>
              <w:bCs/>
              <w:sz w:val="44"/>
              <w:szCs w:val="44"/>
              <w:lang w:eastAsia="zh-CN"/>
            </w:rPr>
          </w:pPr>
          <w:bookmarkStart w:id="495" w:name="_GoBack"/>
          <w:bookmarkEnd w:id="495"/>
          <w:r>
            <w:rPr>
              <w:rFonts w:hint="eastAsia" w:ascii="方正小标宋简体" w:hAnsi="方正小标宋简体" w:eastAsia="方正小标宋简体" w:cs="方正小标宋简体"/>
              <w:b w:val="0"/>
              <w:bCs/>
              <w:sz w:val="44"/>
              <w:szCs w:val="44"/>
              <w:lang w:eastAsia="zh-CN"/>
            </w:rPr>
            <w:t>广州市荔湾区辐射事故应急预案</w:t>
          </w:r>
        </w:p>
        <w:p>
          <w:pPr>
            <w:spacing w:line="540" w:lineRule="exact"/>
            <w:jc w:val="center"/>
            <w:rPr>
              <w:rFonts w:hint="default" w:ascii="Times New Roman" w:hAnsi="Times New Roman" w:eastAsia="仿宋_GB2312" w:cs="Times New Roman"/>
              <w:b/>
              <w:sz w:val="32"/>
            </w:rPr>
          </w:pPr>
        </w:p>
        <w:p>
          <w:pPr>
            <w:spacing w:line="540" w:lineRule="exact"/>
            <w:jc w:val="center"/>
            <w:rPr>
              <w:rFonts w:hint="eastAsia" w:ascii="黑体" w:hAnsi="黑体" w:eastAsia="黑体" w:cs="黑体"/>
              <w:b/>
              <w:bCs w:val="0"/>
              <w:sz w:val="32"/>
              <w:szCs w:val="32"/>
            </w:rPr>
          </w:pPr>
          <w:r>
            <w:rPr>
              <w:rFonts w:hint="eastAsia" w:ascii="黑体" w:hAnsi="黑体" w:eastAsia="黑体" w:cs="黑体"/>
              <w:b/>
              <w:bCs w:val="0"/>
              <w:sz w:val="32"/>
              <w:szCs w:val="32"/>
            </w:rPr>
            <w:t>目  录</w:t>
          </w:r>
        </w:p>
        <w:p>
          <w:pPr>
            <w:spacing w:line="540" w:lineRule="exact"/>
            <w:jc w:val="center"/>
            <w:rPr>
              <w:rFonts w:hint="default" w:ascii="Times New Roman" w:hAnsi="Times New Roman" w:eastAsia="仿宋_GB2312" w:cs="Times New Roman"/>
              <w:b/>
              <w:sz w:val="32"/>
              <w:szCs w:val="32"/>
            </w:rPr>
          </w:pPr>
        </w:p>
        <w:p>
          <w:pPr>
            <w:pStyle w:val="12"/>
            <w:tabs>
              <w:tab w:val="left" w:pos="420"/>
              <w:tab w:val="right" w:leader="dot" w:pos="8834"/>
            </w:tabs>
            <w:spacing w:line="360" w:lineRule="auto"/>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TOC \o "1-3" \h \u </w:instrText>
          </w:r>
          <w:r>
            <w:rPr>
              <w:rFonts w:hint="default" w:ascii="Times New Roman" w:hAnsi="Times New Roman" w:eastAsia="仿宋_GB2312" w:cs="Times New Roman"/>
              <w:sz w:val="32"/>
              <w:szCs w:val="32"/>
            </w:rPr>
            <w:fldChar w:fldCharType="separate"/>
          </w:r>
          <w:r>
            <w:rPr>
              <w:rFonts w:hint="default" w:ascii="Times New Roman" w:hAnsi="Times New Roman" w:cs="Times New Roman"/>
            </w:rPr>
            <w:fldChar w:fldCharType="begin"/>
          </w:r>
          <w:r>
            <w:rPr>
              <w:rFonts w:hint="default" w:ascii="Times New Roman" w:hAnsi="Times New Roman" w:cs="Times New Roman"/>
            </w:rPr>
            <w:instrText xml:space="preserve"> HYPERLINK \l "_Toc215170909" </w:instrText>
          </w:r>
          <w:r>
            <w:rPr>
              <w:rFonts w:hint="default" w:ascii="Times New Roman" w:hAnsi="Times New Roman" w:cs="Times New Roman"/>
            </w:rPr>
            <w:fldChar w:fldCharType="separate"/>
          </w:r>
          <w:r>
            <w:rPr>
              <w:rStyle w:val="26"/>
              <w:rFonts w:hint="default" w:ascii="Times New Roman" w:hAnsi="Times New Roman" w:eastAsia="仿宋_GB2312" w:cs="Times New Roman"/>
              <w:sz w:val="28"/>
              <w:szCs w:val="28"/>
            </w:rPr>
            <w:t>1</w:t>
          </w:r>
          <w:r>
            <w:rPr>
              <w:rFonts w:hint="default" w:ascii="Times New Roman" w:hAnsi="Times New Roman" w:eastAsia="仿宋_GB2312" w:cs="Times New Roman"/>
              <w:sz w:val="28"/>
              <w:szCs w:val="28"/>
              <w14:ligatures w14:val="standardContextual"/>
            </w:rPr>
            <w:tab/>
          </w:r>
          <w:r>
            <w:rPr>
              <w:rStyle w:val="26"/>
              <w:rFonts w:hint="default" w:ascii="Times New Roman" w:hAnsi="Times New Roman" w:eastAsia="仿宋_GB2312" w:cs="Times New Roman"/>
              <w:sz w:val="28"/>
              <w:szCs w:val="28"/>
            </w:rPr>
            <w:t>总则</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_Toc215170909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- 1 -</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"_Toc215170910"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1.1</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编制目的</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_Toc215170910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- 1 -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"_Toc215170911"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1.2</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编制依据</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_Toc215170911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- 1 -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"_Toc215170912"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1.3</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工作原则</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_Toc215170912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- 2 -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"_Toc215170913"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1.4</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适用范围</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_Toc215170913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- 4 -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12"/>
            <w:tabs>
              <w:tab w:val="left" w:pos="420"/>
              <w:tab w:val="right" w:leader="dot" w:pos="8834"/>
            </w:tabs>
            <w:spacing w:line="360" w:lineRule="auto"/>
            <w:rPr>
              <w:rFonts w:hint="default" w:ascii="Times New Roman" w:hAnsi="Times New Roman" w:eastAsia="仿宋_GB2312" w:cs="Times New Roman"/>
              <w:sz w:val="28"/>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"_Toc215170914" </w:instrText>
          </w:r>
          <w:r>
            <w:rPr>
              <w:rFonts w:hint="default" w:ascii="Times New Roman" w:hAnsi="Times New Roman" w:cs="Times New Roman"/>
            </w:rPr>
            <w:fldChar w:fldCharType="separate"/>
          </w:r>
          <w:r>
            <w:rPr>
              <w:rStyle w:val="26"/>
              <w:rFonts w:hint="default" w:ascii="Times New Roman" w:hAnsi="Times New Roman" w:eastAsia="仿宋_GB2312" w:cs="Times New Roman"/>
              <w:sz w:val="28"/>
              <w:szCs w:val="28"/>
            </w:rPr>
            <w:t>2</w:t>
          </w:r>
          <w:r>
            <w:rPr>
              <w:rFonts w:hint="default" w:ascii="Times New Roman" w:hAnsi="Times New Roman" w:eastAsia="仿宋_GB2312" w:cs="Times New Roman"/>
              <w:sz w:val="28"/>
              <w:szCs w:val="28"/>
              <w14:ligatures w14:val="standardContextual"/>
            </w:rPr>
            <w:tab/>
          </w:r>
          <w:r>
            <w:rPr>
              <w:rStyle w:val="26"/>
              <w:rFonts w:hint="default" w:ascii="Times New Roman" w:hAnsi="Times New Roman" w:eastAsia="仿宋_GB2312" w:cs="Times New Roman"/>
              <w:sz w:val="28"/>
              <w:szCs w:val="28"/>
            </w:rPr>
            <w:t>事故分级</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_Toc215170914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- 5 -</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"_Toc215170915"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2.1</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特别重大（Ⅰ级）辐射事故</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_Toc215170915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- 5 -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"_Toc215170916"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2.2</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重大（Ⅱ级）辐射事故</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_Toc215170916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- 5 -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"_Toc215170917"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2.3</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较大（Ⅲ级）辐射事故</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_Toc215170917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- 5 -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"_Toc215170918"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2.4</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一般（Ⅳ级）辐射事故</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_Toc215170918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- 6 -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12"/>
            <w:tabs>
              <w:tab w:val="left" w:pos="420"/>
              <w:tab w:val="right" w:leader="dot" w:pos="8834"/>
            </w:tabs>
            <w:spacing w:line="360" w:lineRule="auto"/>
            <w:rPr>
              <w:rFonts w:hint="default" w:ascii="Times New Roman" w:hAnsi="Times New Roman" w:eastAsia="仿宋_GB2312" w:cs="Times New Roman"/>
              <w:sz w:val="28"/>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"_Toc215170919" </w:instrText>
          </w:r>
          <w:r>
            <w:rPr>
              <w:rFonts w:hint="default" w:ascii="Times New Roman" w:hAnsi="Times New Roman" w:cs="Times New Roman"/>
            </w:rPr>
            <w:fldChar w:fldCharType="separate"/>
          </w:r>
          <w:r>
            <w:rPr>
              <w:rStyle w:val="26"/>
              <w:rFonts w:hint="default" w:ascii="Times New Roman" w:hAnsi="Times New Roman" w:eastAsia="仿宋_GB2312" w:cs="Times New Roman"/>
              <w:sz w:val="28"/>
              <w:szCs w:val="28"/>
            </w:rPr>
            <w:t>3</w:t>
          </w:r>
          <w:r>
            <w:rPr>
              <w:rFonts w:hint="default" w:ascii="Times New Roman" w:hAnsi="Times New Roman" w:eastAsia="仿宋_GB2312" w:cs="Times New Roman"/>
              <w:sz w:val="28"/>
              <w:szCs w:val="28"/>
              <w14:ligatures w14:val="standardContextual"/>
            </w:rPr>
            <w:tab/>
          </w:r>
          <w:r>
            <w:rPr>
              <w:rStyle w:val="26"/>
              <w:rFonts w:hint="default" w:ascii="Times New Roman" w:hAnsi="Times New Roman" w:eastAsia="仿宋_GB2312" w:cs="Times New Roman"/>
              <w:sz w:val="28"/>
              <w:szCs w:val="28"/>
            </w:rPr>
            <w:t>应急组织体系</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_Toc215170919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- 6 -</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"_Toc215170920"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3.1</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应急指挥机构</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_Toc215170920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- 6 -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16"/>
            <w:tabs>
              <w:tab w:val="left" w:pos="2291"/>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"_Toc215170925" </w:instrText>
          </w:r>
          <w:r>
            <w:rPr>
              <w:rFonts w:hint="default" w:ascii="Times New Roman" w:hAnsi="Times New Roman" w:cs="Times New Roman"/>
            </w:rPr>
            <w:fldChar w:fldCharType="separate"/>
          </w:r>
          <w:r>
            <w:rPr>
              <w:rStyle w:val="26"/>
              <w:rFonts w:hint="default" w:ascii="Times New Roman" w:hAnsi="Times New Roman" w:eastAsia="仿宋_GB2312" w:cs="Times New Roman"/>
              <w:bCs/>
              <w:szCs w:val="28"/>
            </w:rPr>
            <w:t>3.1.1</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bCs/>
              <w:szCs w:val="28"/>
            </w:rPr>
            <w:t>应急指挥部</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_Toc215170925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- 6 -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16"/>
            <w:tabs>
              <w:tab w:val="left" w:pos="2291"/>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"_Toc215170926" </w:instrText>
          </w:r>
          <w:r>
            <w:rPr>
              <w:rFonts w:hint="default" w:ascii="Times New Roman" w:hAnsi="Times New Roman" w:cs="Times New Roman"/>
            </w:rPr>
            <w:fldChar w:fldCharType="separate"/>
          </w:r>
          <w:r>
            <w:rPr>
              <w:rStyle w:val="26"/>
              <w:rFonts w:hint="default" w:ascii="Times New Roman" w:hAnsi="Times New Roman" w:eastAsia="仿宋_GB2312" w:cs="Times New Roman"/>
              <w:bCs/>
              <w:szCs w:val="28"/>
            </w:rPr>
            <w:t>3.1.2</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bCs/>
              <w:szCs w:val="28"/>
            </w:rPr>
            <w:t>应急指挥部办公室</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_Toc215170926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- 10 -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16"/>
            <w:tabs>
              <w:tab w:val="left" w:pos="2291"/>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"_Toc215170927" </w:instrText>
          </w:r>
          <w:r>
            <w:rPr>
              <w:rFonts w:hint="default" w:ascii="Times New Roman" w:hAnsi="Times New Roman" w:cs="Times New Roman"/>
            </w:rPr>
            <w:fldChar w:fldCharType="separate"/>
          </w:r>
          <w:r>
            <w:rPr>
              <w:rStyle w:val="26"/>
              <w:rFonts w:hint="default" w:ascii="Times New Roman" w:hAnsi="Times New Roman" w:eastAsia="仿宋_GB2312" w:cs="Times New Roman"/>
              <w:bCs/>
              <w:szCs w:val="28"/>
            </w:rPr>
            <w:t>3.1.3</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bCs/>
              <w:szCs w:val="28"/>
            </w:rPr>
            <w:t>应急工作组</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_Toc215170927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- 11 -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"_Toc215170928"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3.2</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专家组及职责</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_Toc215170928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- 13 -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"_Toc215170929"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3.3</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事故责任单位</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_Toc215170929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- 14 -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12"/>
            <w:tabs>
              <w:tab w:val="left" w:pos="420"/>
              <w:tab w:val="right" w:leader="dot" w:pos="8834"/>
            </w:tabs>
            <w:spacing w:line="360" w:lineRule="auto"/>
            <w:rPr>
              <w:rFonts w:hint="default" w:ascii="Times New Roman" w:hAnsi="Times New Roman" w:eastAsia="仿宋_GB2312" w:cs="Times New Roman"/>
              <w:sz w:val="28"/>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"_Toc215170930" </w:instrText>
          </w:r>
          <w:r>
            <w:rPr>
              <w:rFonts w:hint="default" w:ascii="Times New Roman" w:hAnsi="Times New Roman" w:cs="Times New Roman"/>
            </w:rPr>
            <w:fldChar w:fldCharType="separate"/>
          </w:r>
          <w:r>
            <w:rPr>
              <w:rStyle w:val="26"/>
              <w:rFonts w:hint="default" w:ascii="Times New Roman" w:hAnsi="Times New Roman" w:eastAsia="仿宋_GB2312" w:cs="Times New Roman"/>
              <w:sz w:val="28"/>
              <w:szCs w:val="28"/>
            </w:rPr>
            <w:t>4</w:t>
          </w:r>
          <w:r>
            <w:rPr>
              <w:rFonts w:hint="default" w:ascii="Times New Roman" w:hAnsi="Times New Roman" w:eastAsia="仿宋_GB2312" w:cs="Times New Roman"/>
              <w:sz w:val="28"/>
              <w:szCs w:val="28"/>
              <w14:ligatures w14:val="standardContextual"/>
            </w:rPr>
            <w:tab/>
          </w:r>
          <w:r>
            <w:rPr>
              <w:rStyle w:val="26"/>
              <w:rFonts w:hint="default" w:ascii="Times New Roman" w:hAnsi="Times New Roman" w:eastAsia="仿宋_GB2312" w:cs="Times New Roman"/>
              <w:sz w:val="28"/>
              <w:szCs w:val="28"/>
            </w:rPr>
            <w:t>应急响应机制</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_Toc215170930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- 14 -</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"_Toc215170931"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4.1</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事故预警</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_Toc215170931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- 14 -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"_Toc215170932"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4.2</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应急响应</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_Toc215170932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- 15 -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16"/>
            <w:tabs>
              <w:tab w:val="left" w:pos="2291"/>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"_Toc215170936" </w:instrText>
          </w:r>
          <w:r>
            <w:rPr>
              <w:rFonts w:hint="default" w:ascii="Times New Roman" w:hAnsi="Times New Roman" w:cs="Times New Roman"/>
            </w:rPr>
            <w:fldChar w:fldCharType="separate"/>
          </w:r>
          <w:r>
            <w:rPr>
              <w:rStyle w:val="26"/>
              <w:rFonts w:hint="default" w:ascii="Times New Roman" w:hAnsi="Times New Roman" w:eastAsia="仿宋_GB2312" w:cs="Times New Roman"/>
              <w:bCs/>
              <w:szCs w:val="28"/>
            </w:rPr>
            <w:t>4.2.1</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bCs/>
              <w:szCs w:val="28"/>
            </w:rPr>
            <w:t>响应级别</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_Toc215170936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- 15 -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16"/>
            <w:tabs>
              <w:tab w:val="left" w:pos="2291"/>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"_Toc215170937" </w:instrText>
          </w:r>
          <w:r>
            <w:rPr>
              <w:rFonts w:hint="default" w:ascii="Times New Roman" w:hAnsi="Times New Roman" w:cs="Times New Roman"/>
            </w:rPr>
            <w:fldChar w:fldCharType="separate"/>
          </w:r>
          <w:r>
            <w:rPr>
              <w:rStyle w:val="26"/>
              <w:rFonts w:hint="default" w:ascii="Times New Roman" w:hAnsi="Times New Roman" w:eastAsia="仿宋_GB2312" w:cs="Times New Roman"/>
              <w:bCs/>
              <w:szCs w:val="28"/>
            </w:rPr>
            <w:t>4.2.2</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bCs/>
              <w:szCs w:val="28"/>
            </w:rPr>
            <w:t>应急响应与程序</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_Toc215170937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- 15 -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"_Toc215170938"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4.3</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现场处置</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_Toc215170938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- 17 -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16"/>
            <w:tabs>
              <w:tab w:val="left" w:pos="2291"/>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"_Toc215170940" </w:instrText>
          </w:r>
          <w:r>
            <w:rPr>
              <w:rFonts w:hint="default" w:ascii="Times New Roman" w:hAnsi="Times New Roman" w:cs="Times New Roman"/>
            </w:rPr>
            <w:fldChar w:fldCharType="separate"/>
          </w:r>
          <w:r>
            <w:rPr>
              <w:rStyle w:val="26"/>
              <w:rFonts w:hint="default" w:ascii="Times New Roman" w:hAnsi="Times New Roman" w:eastAsia="仿宋_GB2312" w:cs="Times New Roman"/>
              <w:bCs/>
              <w:szCs w:val="28"/>
            </w:rPr>
            <w:t>4.3.1</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bCs/>
              <w:szCs w:val="28"/>
            </w:rPr>
            <w:t>应急监测</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_Toc215170940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- 17 -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16"/>
            <w:tabs>
              <w:tab w:val="left" w:pos="2291"/>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"_Toc215170941" </w:instrText>
          </w:r>
          <w:r>
            <w:rPr>
              <w:rFonts w:hint="default" w:ascii="Times New Roman" w:hAnsi="Times New Roman" w:cs="Times New Roman"/>
            </w:rPr>
            <w:fldChar w:fldCharType="separate"/>
          </w:r>
          <w:r>
            <w:rPr>
              <w:rStyle w:val="26"/>
              <w:rFonts w:hint="default" w:ascii="Times New Roman" w:hAnsi="Times New Roman" w:eastAsia="仿宋_GB2312" w:cs="Times New Roman"/>
              <w:bCs/>
              <w:szCs w:val="28"/>
            </w:rPr>
            <w:t>4.3.2</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bCs/>
              <w:szCs w:val="28"/>
            </w:rPr>
            <w:t>应急处置</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_Toc215170941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- 18 -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16"/>
            <w:tabs>
              <w:tab w:val="left" w:pos="2291"/>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"_Toc215170942" </w:instrText>
          </w:r>
          <w:r>
            <w:rPr>
              <w:rFonts w:hint="default" w:ascii="Times New Roman" w:hAnsi="Times New Roman" w:cs="Times New Roman"/>
            </w:rPr>
            <w:fldChar w:fldCharType="separate"/>
          </w:r>
          <w:r>
            <w:rPr>
              <w:rStyle w:val="26"/>
              <w:rFonts w:hint="default" w:ascii="Times New Roman" w:hAnsi="Times New Roman" w:eastAsia="仿宋_GB2312" w:cs="Times New Roman"/>
              <w:bCs/>
              <w:szCs w:val="28"/>
            </w:rPr>
            <w:t>4.3.3</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bCs/>
              <w:szCs w:val="28"/>
            </w:rPr>
            <w:t>现场管控</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_Toc215170942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- 18 -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16"/>
            <w:tabs>
              <w:tab w:val="left" w:pos="2291"/>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"_Toc215170943" </w:instrText>
          </w:r>
          <w:r>
            <w:rPr>
              <w:rFonts w:hint="default" w:ascii="Times New Roman" w:hAnsi="Times New Roman" w:cs="Times New Roman"/>
            </w:rPr>
            <w:fldChar w:fldCharType="separate"/>
          </w:r>
          <w:r>
            <w:rPr>
              <w:rStyle w:val="26"/>
              <w:rFonts w:hint="default" w:ascii="Times New Roman" w:hAnsi="Times New Roman" w:eastAsia="仿宋_GB2312" w:cs="Times New Roman"/>
              <w:bCs/>
              <w:szCs w:val="28"/>
            </w:rPr>
            <w:t>4.3.4</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bCs/>
              <w:szCs w:val="28"/>
            </w:rPr>
            <w:t>医疗救护</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_Toc215170943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- 18 -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"_Toc215170944"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4.4</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事故报告及信息发布</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_Toc215170944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- 19 -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16"/>
            <w:tabs>
              <w:tab w:val="left" w:pos="2291"/>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"_Toc215170946" </w:instrText>
          </w:r>
          <w:r>
            <w:rPr>
              <w:rFonts w:hint="default" w:ascii="Times New Roman" w:hAnsi="Times New Roman" w:cs="Times New Roman"/>
            </w:rPr>
            <w:fldChar w:fldCharType="separate"/>
          </w:r>
          <w:r>
            <w:rPr>
              <w:rStyle w:val="26"/>
              <w:rFonts w:hint="default" w:ascii="Times New Roman" w:hAnsi="Times New Roman" w:eastAsia="仿宋_GB2312" w:cs="Times New Roman"/>
              <w:bCs/>
              <w:szCs w:val="28"/>
            </w:rPr>
            <w:t>4.4.1</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bCs/>
              <w:szCs w:val="28"/>
            </w:rPr>
            <w:t>报告流程及时限</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_Toc215170946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- 19 -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16"/>
            <w:tabs>
              <w:tab w:val="left" w:pos="2291"/>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"_Toc215170947" </w:instrText>
          </w:r>
          <w:r>
            <w:rPr>
              <w:rFonts w:hint="default" w:ascii="Times New Roman" w:hAnsi="Times New Roman" w:cs="Times New Roman"/>
            </w:rPr>
            <w:fldChar w:fldCharType="separate"/>
          </w:r>
          <w:r>
            <w:rPr>
              <w:rStyle w:val="26"/>
              <w:rFonts w:hint="default" w:ascii="Times New Roman" w:hAnsi="Times New Roman" w:eastAsia="仿宋_GB2312" w:cs="Times New Roman"/>
              <w:bCs/>
              <w:szCs w:val="28"/>
            </w:rPr>
            <w:t>4.4.2</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bCs/>
              <w:szCs w:val="28"/>
            </w:rPr>
            <w:t>信息发布</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_Toc215170947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- 19 -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"_Toc215170948"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4.5</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安全防护</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_Toc215170948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- 21 -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16"/>
            <w:tabs>
              <w:tab w:val="left" w:pos="2291"/>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"_Toc215170950" </w:instrText>
          </w:r>
          <w:r>
            <w:rPr>
              <w:rFonts w:hint="default" w:ascii="Times New Roman" w:hAnsi="Times New Roman" w:cs="Times New Roman"/>
            </w:rPr>
            <w:fldChar w:fldCharType="separate"/>
          </w:r>
          <w:r>
            <w:rPr>
              <w:rStyle w:val="26"/>
              <w:rFonts w:hint="default" w:ascii="Times New Roman" w:hAnsi="Times New Roman" w:eastAsia="仿宋_GB2312" w:cs="Times New Roman"/>
              <w:bCs/>
              <w:szCs w:val="28"/>
            </w:rPr>
            <w:t>4.5.1</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bCs/>
              <w:szCs w:val="28"/>
            </w:rPr>
            <w:t>应急人员的安全防护</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_Toc215170950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- 21 -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16"/>
            <w:tabs>
              <w:tab w:val="left" w:pos="2291"/>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"_Toc215170951" </w:instrText>
          </w:r>
          <w:r>
            <w:rPr>
              <w:rFonts w:hint="default" w:ascii="Times New Roman" w:hAnsi="Times New Roman" w:cs="Times New Roman"/>
            </w:rPr>
            <w:fldChar w:fldCharType="separate"/>
          </w:r>
          <w:r>
            <w:rPr>
              <w:rStyle w:val="26"/>
              <w:rFonts w:hint="default" w:ascii="Times New Roman" w:hAnsi="Times New Roman" w:eastAsia="仿宋_GB2312" w:cs="Times New Roman"/>
              <w:bCs/>
              <w:szCs w:val="28"/>
            </w:rPr>
            <w:t>4.5.2</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bCs/>
              <w:szCs w:val="28"/>
            </w:rPr>
            <w:t>公众的安全防护</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_Toc215170951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- 21 -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"_Toc215170952"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4.6</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应急终止和恢复行动</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_Toc215170952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- 21 -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16"/>
            <w:tabs>
              <w:tab w:val="left" w:pos="2291"/>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"_Toc215170954" </w:instrText>
          </w:r>
          <w:r>
            <w:rPr>
              <w:rFonts w:hint="default" w:ascii="Times New Roman" w:hAnsi="Times New Roman" w:cs="Times New Roman"/>
            </w:rPr>
            <w:fldChar w:fldCharType="separate"/>
          </w:r>
          <w:r>
            <w:rPr>
              <w:rStyle w:val="26"/>
              <w:rFonts w:hint="default" w:ascii="Times New Roman" w:hAnsi="Times New Roman" w:eastAsia="仿宋_GB2312" w:cs="Times New Roman"/>
              <w:bCs/>
              <w:szCs w:val="28"/>
            </w:rPr>
            <w:t>4.6.1</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bCs/>
              <w:szCs w:val="28"/>
            </w:rPr>
            <w:t>应急终止条件</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_Toc215170954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- 21 -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16"/>
            <w:tabs>
              <w:tab w:val="left" w:pos="2291"/>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"_Toc215170955" </w:instrText>
          </w:r>
          <w:r>
            <w:rPr>
              <w:rFonts w:hint="default" w:ascii="Times New Roman" w:hAnsi="Times New Roman" w:cs="Times New Roman"/>
            </w:rPr>
            <w:fldChar w:fldCharType="separate"/>
          </w:r>
          <w:r>
            <w:rPr>
              <w:rStyle w:val="26"/>
              <w:rFonts w:hint="default" w:ascii="Times New Roman" w:hAnsi="Times New Roman" w:eastAsia="仿宋_GB2312" w:cs="Times New Roman"/>
              <w:bCs/>
              <w:szCs w:val="28"/>
            </w:rPr>
            <w:t>4.6.2</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bCs/>
              <w:szCs w:val="28"/>
            </w:rPr>
            <w:t>应急终止程序</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_Toc215170955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- 22 -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16"/>
            <w:tabs>
              <w:tab w:val="left" w:pos="2291"/>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"_Toc215170956" </w:instrText>
          </w:r>
          <w:r>
            <w:rPr>
              <w:rFonts w:hint="default" w:ascii="Times New Roman" w:hAnsi="Times New Roman" w:cs="Times New Roman"/>
            </w:rPr>
            <w:fldChar w:fldCharType="separate"/>
          </w:r>
          <w:r>
            <w:rPr>
              <w:rStyle w:val="26"/>
              <w:rFonts w:hint="default" w:ascii="Times New Roman" w:hAnsi="Times New Roman" w:eastAsia="仿宋_GB2312" w:cs="Times New Roman"/>
              <w:bCs/>
              <w:szCs w:val="28"/>
            </w:rPr>
            <w:t>4.6.3</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bCs/>
              <w:szCs w:val="28"/>
            </w:rPr>
            <w:t>后果评价与后期处置</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_Toc215170956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- 22 -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12"/>
            <w:tabs>
              <w:tab w:val="left" w:pos="420"/>
              <w:tab w:val="right" w:leader="dot" w:pos="8834"/>
            </w:tabs>
            <w:spacing w:line="360" w:lineRule="auto"/>
            <w:rPr>
              <w:rFonts w:hint="default" w:ascii="Times New Roman" w:hAnsi="Times New Roman" w:eastAsia="仿宋_GB2312" w:cs="Times New Roman"/>
              <w:sz w:val="28"/>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"_Toc215170957" </w:instrText>
          </w:r>
          <w:r>
            <w:rPr>
              <w:rFonts w:hint="default" w:ascii="Times New Roman" w:hAnsi="Times New Roman" w:cs="Times New Roman"/>
            </w:rPr>
            <w:fldChar w:fldCharType="separate"/>
          </w:r>
          <w:r>
            <w:rPr>
              <w:rStyle w:val="26"/>
              <w:rFonts w:hint="default" w:ascii="Times New Roman" w:hAnsi="Times New Roman" w:eastAsia="仿宋_GB2312" w:cs="Times New Roman"/>
              <w:sz w:val="28"/>
              <w:szCs w:val="28"/>
            </w:rPr>
            <w:t>5</w:t>
          </w:r>
          <w:r>
            <w:rPr>
              <w:rFonts w:hint="default" w:ascii="Times New Roman" w:hAnsi="Times New Roman" w:eastAsia="仿宋_GB2312" w:cs="Times New Roman"/>
              <w:sz w:val="28"/>
              <w:szCs w:val="28"/>
              <w14:ligatures w14:val="standardContextual"/>
            </w:rPr>
            <w:tab/>
          </w:r>
          <w:r>
            <w:rPr>
              <w:rStyle w:val="26"/>
              <w:rFonts w:hint="default" w:ascii="Times New Roman" w:hAnsi="Times New Roman" w:eastAsia="仿宋_GB2312" w:cs="Times New Roman"/>
              <w:sz w:val="28"/>
              <w:szCs w:val="28"/>
            </w:rPr>
            <w:t>应急保障</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_Toc215170957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- 23 -</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"_Toc215170963"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5.1</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应急队伍保障</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_Toc215170963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- 23 -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"_Toc215170964"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5.2</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应急资金保障</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_Toc215170964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- 23 -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"_Toc215170965"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5.3</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应急场所保障</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_Toc215170965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- 23 -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"_Toc215170966"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5.4</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应急设施设备保障</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_Toc215170966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- 23 -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"_Toc215170967"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5.5</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应急物资保障</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_Toc215170967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- 24 -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"_Toc215170968"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5.6</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应急通信保障</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_Toc215170968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- 24 -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"_Toc215170969"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5.7</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文件保障</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_Toc215170969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- 24 -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12"/>
            <w:tabs>
              <w:tab w:val="left" w:pos="420"/>
              <w:tab w:val="right" w:leader="dot" w:pos="8834"/>
            </w:tabs>
            <w:spacing w:line="360" w:lineRule="auto"/>
            <w:rPr>
              <w:rFonts w:hint="default" w:ascii="Times New Roman" w:hAnsi="Times New Roman" w:eastAsia="仿宋_GB2312" w:cs="Times New Roman"/>
              <w:sz w:val="28"/>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"_Toc215170970" </w:instrText>
          </w:r>
          <w:r>
            <w:rPr>
              <w:rFonts w:hint="default" w:ascii="Times New Roman" w:hAnsi="Times New Roman" w:cs="Times New Roman"/>
            </w:rPr>
            <w:fldChar w:fldCharType="separate"/>
          </w:r>
          <w:r>
            <w:rPr>
              <w:rStyle w:val="26"/>
              <w:rFonts w:hint="default" w:ascii="Times New Roman" w:hAnsi="Times New Roman" w:eastAsia="仿宋_GB2312" w:cs="Times New Roman"/>
              <w:sz w:val="28"/>
              <w:szCs w:val="28"/>
            </w:rPr>
            <w:t>6</w:t>
          </w:r>
          <w:r>
            <w:rPr>
              <w:rFonts w:hint="default" w:ascii="Times New Roman" w:hAnsi="Times New Roman" w:eastAsia="仿宋_GB2312" w:cs="Times New Roman"/>
              <w:sz w:val="28"/>
              <w:szCs w:val="28"/>
              <w14:ligatures w14:val="standardContextual"/>
            </w:rPr>
            <w:tab/>
          </w:r>
          <w:r>
            <w:rPr>
              <w:rStyle w:val="26"/>
              <w:rFonts w:hint="default" w:ascii="Times New Roman" w:hAnsi="Times New Roman" w:eastAsia="仿宋_GB2312" w:cs="Times New Roman"/>
              <w:sz w:val="28"/>
              <w:szCs w:val="28"/>
            </w:rPr>
            <w:t>应急响应能力维持</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_Toc215170970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- 24 -</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"_Toc215170972"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6.1</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应急演练</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_Toc215170972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- 24 -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"_Toc215170973"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6.2</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应急培训</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_Toc215170973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- 25 -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"_Toc215170974"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6.3</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应急值守</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_Toc215170974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- 25 -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12"/>
            <w:tabs>
              <w:tab w:val="left" w:pos="420"/>
              <w:tab w:val="right" w:leader="dot" w:pos="8834"/>
            </w:tabs>
            <w:spacing w:line="360" w:lineRule="auto"/>
            <w:rPr>
              <w:rFonts w:hint="default" w:ascii="Times New Roman" w:hAnsi="Times New Roman" w:eastAsia="仿宋_GB2312" w:cs="Times New Roman"/>
              <w:sz w:val="28"/>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"_Toc215170975" </w:instrText>
          </w:r>
          <w:r>
            <w:rPr>
              <w:rFonts w:hint="default" w:ascii="Times New Roman" w:hAnsi="Times New Roman" w:cs="Times New Roman"/>
            </w:rPr>
            <w:fldChar w:fldCharType="separate"/>
          </w:r>
          <w:r>
            <w:rPr>
              <w:rStyle w:val="26"/>
              <w:rFonts w:hint="default" w:ascii="Times New Roman" w:hAnsi="Times New Roman" w:eastAsia="仿宋_GB2312" w:cs="Times New Roman"/>
              <w:sz w:val="28"/>
              <w:szCs w:val="28"/>
            </w:rPr>
            <w:t>7</w:t>
          </w:r>
          <w:r>
            <w:rPr>
              <w:rFonts w:hint="default" w:ascii="Times New Roman" w:hAnsi="Times New Roman" w:eastAsia="仿宋_GB2312" w:cs="Times New Roman"/>
              <w:sz w:val="28"/>
              <w:szCs w:val="28"/>
              <w14:ligatures w14:val="standardContextual"/>
            </w:rPr>
            <w:tab/>
          </w:r>
          <w:r>
            <w:rPr>
              <w:rStyle w:val="26"/>
              <w:rFonts w:hint="default" w:ascii="Times New Roman" w:hAnsi="Times New Roman" w:eastAsia="仿宋_GB2312" w:cs="Times New Roman"/>
              <w:sz w:val="28"/>
              <w:szCs w:val="28"/>
            </w:rPr>
            <w:t>监督管理</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_Toc215170975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- 25 -</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"_Toc215170977"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7.1</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预案宣传</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_Toc215170977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- 25 -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"_Toc215170978"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7.2</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责任与奖惩</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_Toc215170978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- 25 -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12"/>
            <w:tabs>
              <w:tab w:val="left" w:pos="420"/>
              <w:tab w:val="right" w:leader="dot" w:pos="8834"/>
            </w:tabs>
            <w:spacing w:line="360" w:lineRule="auto"/>
            <w:rPr>
              <w:rFonts w:hint="default" w:ascii="Times New Roman" w:hAnsi="Times New Roman" w:eastAsia="仿宋_GB2312" w:cs="Times New Roman"/>
              <w:sz w:val="28"/>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"_Toc215170979" </w:instrText>
          </w:r>
          <w:r>
            <w:rPr>
              <w:rFonts w:hint="default" w:ascii="Times New Roman" w:hAnsi="Times New Roman" w:cs="Times New Roman"/>
            </w:rPr>
            <w:fldChar w:fldCharType="separate"/>
          </w:r>
          <w:r>
            <w:rPr>
              <w:rStyle w:val="26"/>
              <w:rFonts w:hint="default" w:ascii="Times New Roman" w:hAnsi="Times New Roman" w:eastAsia="仿宋_GB2312" w:cs="Times New Roman"/>
              <w:sz w:val="28"/>
              <w:szCs w:val="28"/>
            </w:rPr>
            <w:t>8</w:t>
          </w:r>
          <w:r>
            <w:rPr>
              <w:rFonts w:hint="default" w:ascii="Times New Roman" w:hAnsi="Times New Roman" w:eastAsia="仿宋_GB2312" w:cs="Times New Roman"/>
              <w:sz w:val="28"/>
              <w:szCs w:val="28"/>
              <w14:ligatures w14:val="standardContextual"/>
            </w:rPr>
            <w:tab/>
          </w:r>
          <w:r>
            <w:rPr>
              <w:rStyle w:val="26"/>
              <w:rFonts w:hint="default" w:ascii="Times New Roman" w:hAnsi="Times New Roman" w:eastAsia="仿宋_GB2312" w:cs="Times New Roman"/>
              <w:sz w:val="28"/>
              <w:szCs w:val="28"/>
            </w:rPr>
            <w:t>附则</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_Toc215170979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- 26 -</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"_Toc215170981"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8.1</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名词术语解释</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_Toc215170981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- 26 -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"_Toc215170982"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8.2</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预案修订与解释</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_Toc215170982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- 26 -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"_Toc215170983"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8.3</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预案实施</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_Toc215170983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- 26 -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12"/>
            <w:tabs>
              <w:tab w:val="left" w:pos="420"/>
              <w:tab w:val="right" w:leader="dot" w:pos="8834"/>
            </w:tabs>
            <w:spacing w:line="360" w:lineRule="auto"/>
            <w:rPr>
              <w:rFonts w:hint="default" w:ascii="Times New Roman" w:hAnsi="Times New Roman" w:eastAsia="仿宋_GB2312" w:cs="Times New Roman"/>
              <w:sz w:val="28"/>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"_Toc215170984" </w:instrText>
          </w:r>
          <w:r>
            <w:rPr>
              <w:rFonts w:hint="default" w:ascii="Times New Roman" w:hAnsi="Times New Roman" w:cs="Times New Roman"/>
            </w:rPr>
            <w:fldChar w:fldCharType="separate"/>
          </w:r>
          <w:r>
            <w:rPr>
              <w:rStyle w:val="26"/>
              <w:rFonts w:hint="default" w:ascii="Times New Roman" w:hAnsi="Times New Roman" w:eastAsia="仿宋_GB2312" w:cs="Times New Roman"/>
              <w:sz w:val="28"/>
              <w:szCs w:val="28"/>
            </w:rPr>
            <w:t>9</w:t>
          </w:r>
          <w:r>
            <w:rPr>
              <w:rFonts w:hint="default" w:ascii="Times New Roman" w:hAnsi="Times New Roman" w:eastAsia="仿宋_GB2312" w:cs="Times New Roman"/>
              <w:sz w:val="28"/>
              <w:szCs w:val="28"/>
              <w14:ligatures w14:val="standardContextual"/>
            </w:rPr>
            <w:tab/>
          </w:r>
          <w:r>
            <w:rPr>
              <w:rStyle w:val="26"/>
              <w:rFonts w:hint="default" w:ascii="Times New Roman" w:hAnsi="Times New Roman" w:eastAsia="仿宋_GB2312" w:cs="Times New Roman"/>
              <w:sz w:val="28"/>
              <w:szCs w:val="28"/>
            </w:rPr>
            <w:t>附件</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PAGEREF _Toc215170984 \h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- 27 -</w:t>
          </w:r>
          <w:r>
            <w:rPr>
              <w:rFonts w:hint="default" w:ascii="Times New Roman" w:hAnsi="Times New Roman" w:eastAsia="仿宋_GB2312" w:cs="Times New Roman"/>
              <w:sz w:val="28"/>
              <w:szCs w:val="28"/>
            </w:rPr>
            <w:fldChar w:fldCharType="end"/>
          </w:r>
          <w:r>
            <w:rPr>
              <w:rFonts w:hint="default" w:ascii="Times New Roman" w:hAnsi="Times New Roman" w:eastAsia="仿宋_GB2312" w:cs="Times New Roman"/>
              <w:sz w:val="28"/>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"_Toc215170994"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9.1</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应急组织框架及对外接口图</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_Toc215170994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- 27 -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"_Toc215170995"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9.2</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应急响应流程图</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_Toc215170995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- 28 -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"_Toc215170996"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9.3</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应急响应启动表</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_Toc215170996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- 29 -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"_Toc215170997"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9.4</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辐射事故应急指令</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_Toc215170997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- 30 -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"_Toc215170998"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rPr>
            <w:t>9.5</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辐射事故初始报告表</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_Toc215170998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- 31 -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2"/>
            <w:tabs>
              <w:tab w:val="left" w:pos="1760"/>
              <w:tab w:val="right" w:leader="dot" w:pos="8834"/>
            </w:tabs>
            <w:rPr>
              <w:rFonts w:hint="default" w:ascii="Times New Roman" w:hAnsi="Times New Roman" w:eastAsia="仿宋_GB2312" w:cs="Times New Roman"/>
              <w:szCs w:val="28"/>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"_Toc215170999"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lang w:bidi="en-US"/>
            </w:rPr>
            <w:t>9.6</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辐射事故处理结果报告表</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_Toc215170999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- 32 -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2"/>
            <w:tabs>
              <w:tab w:val="left" w:pos="1760"/>
              <w:tab w:val="right" w:leader="dot" w:pos="8834"/>
            </w:tabs>
            <w:rPr>
              <w:rFonts w:hint="default" w:ascii="Times New Roman" w:hAnsi="Times New Roman" w:cs="Times New Roman" w:eastAsiaTheme="minorEastAsia"/>
              <w:sz w:val="22"/>
              <w:szCs w:val="24"/>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"_Toc215171000" </w:instrText>
          </w:r>
          <w:r>
            <w:rPr>
              <w:rFonts w:hint="default" w:ascii="Times New Roman" w:hAnsi="Times New Roman" w:cs="Times New Roman"/>
            </w:rPr>
            <w:fldChar w:fldCharType="separate"/>
          </w:r>
          <w:r>
            <w:rPr>
              <w:rStyle w:val="26"/>
              <w:rFonts w:hint="default" w:ascii="Times New Roman" w:hAnsi="Times New Roman" w:eastAsia="仿宋_GB2312" w:cs="Times New Roman"/>
              <w:szCs w:val="28"/>
              <w:lang w:bidi="en-US"/>
            </w:rPr>
            <w:t>9.7</w:t>
          </w:r>
          <w:r>
            <w:rPr>
              <w:rFonts w:hint="default" w:ascii="Times New Roman" w:hAnsi="Times New Roman" w:eastAsia="仿宋_GB2312" w:cs="Times New Roman"/>
              <w:szCs w:val="28"/>
              <w14:ligatures w14:val="standardContextual"/>
            </w:rPr>
            <w:tab/>
          </w:r>
          <w:r>
            <w:rPr>
              <w:rStyle w:val="26"/>
              <w:rFonts w:hint="default" w:ascii="Times New Roman" w:hAnsi="Times New Roman" w:eastAsia="仿宋_GB2312" w:cs="Times New Roman"/>
              <w:szCs w:val="28"/>
            </w:rPr>
            <w:t>处理结果报告（提纲）</w:t>
          </w:r>
          <w:r>
            <w:rPr>
              <w:rFonts w:hint="default" w:ascii="Times New Roman" w:hAnsi="Times New Roman" w:eastAsia="仿宋_GB2312" w:cs="Times New Roman"/>
              <w:szCs w:val="28"/>
            </w:rPr>
            <w:tab/>
          </w:r>
          <w:r>
            <w:rPr>
              <w:rFonts w:hint="default" w:ascii="Times New Roman" w:hAnsi="Times New Roman" w:eastAsia="仿宋_GB2312" w:cs="Times New Roman"/>
              <w:szCs w:val="28"/>
            </w:rPr>
            <w:fldChar w:fldCharType="begin"/>
          </w:r>
          <w:r>
            <w:rPr>
              <w:rFonts w:hint="default" w:ascii="Times New Roman" w:hAnsi="Times New Roman" w:eastAsia="仿宋_GB2312" w:cs="Times New Roman"/>
              <w:szCs w:val="28"/>
            </w:rPr>
            <w:instrText xml:space="preserve"> PAGEREF _Toc215171000 \h </w:instrText>
          </w:r>
          <w:r>
            <w:rPr>
              <w:rFonts w:hint="default" w:ascii="Times New Roman" w:hAnsi="Times New Roman" w:eastAsia="仿宋_GB2312" w:cs="Times New Roman"/>
              <w:szCs w:val="28"/>
            </w:rPr>
            <w:fldChar w:fldCharType="separate"/>
          </w:r>
          <w:r>
            <w:rPr>
              <w:rFonts w:hint="default" w:ascii="Times New Roman" w:hAnsi="Times New Roman" w:eastAsia="仿宋_GB2312" w:cs="Times New Roman"/>
              <w:szCs w:val="28"/>
            </w:rPr>
            <w:t>- 34 -</w:t>
          </w:r>
          <w:r>
            <w:rPr>
              <w:rFonts w:hint="default" w:ascii="Times New Roman" w:hAnsi="Times New Roman" w:eastAsia="仿宋_GB2312" w:cs="Times New Roman"/>
              <w:szCs w:val="28"/>
            </w:rPr>
            <w:fldChar w:fldCharType="end"/>
          </w:r>
          <w:r>
            <w:rPr>
              <w:rFonts w:hint="default" w:ascii="Times New Roman" w:hAnsi="Times New Roman" w:eastAsia="仿宋_GB2312" w:cs="Times New Roman"/>
              <w:szCs w:val="28"/>
            </w:rPr>
            <w:fldChar w:fldCharType="end"/>
          </w:r>
        </w:p>
        <w:p>
          <w:pPr>
            <w:pStyle w:val="4"/>
            <w:spacing w:before="0" w:after="0" w:line="540" w:lineRule="exact"/>
            <w:rPr>
              <w:rFonts w:hint="default" w:ascii="Times New Roman" w:hAnsi="Times New Roman" w:eastAsia="仿宋_GB2312" w:cs="Times New Roman"/>
            </w:rPr>
            <w:sectPr>
              <w:headerReference r:id="rId3" w:type="default"/>
              <w:footerReference r:id="rId5" w:type="default"/>
              <w:headerReference r:id="rId4" w:type="even"/>
              <w:footerReference r:id="rId6" w:type="even"/>
              <w:pgSz w:w="11906" w:h="16838"/>
              <w:pgMar w:top="2098" w:right="1474" w:bottom="1985" w:left="1588" w:header="1134" w:footer="794" w:gutter="0"/>
              <w:pgNumType w:fmt="numberInDash" w:start="1"/>
              <w:cols w:space="425" w:num="1"/>
              <w:docGrid w:linePitch="312" w:charSpace="0"/>
            </w:sectPr>
          </w:pPr>
          <w:r>
            <w:rPr>
              <w:rFonts w:hint="default" w:ascii="Times New Roman" w:hAnsi="Times New Roman" w:eastAsia="仿宋_GB2312" w:cs="Times New Roman"/>
              <w:szCs w:val="32"/>
            </w:rPr>
            <w:fldChar w:fldCharType="end"/>
          </w:r>
        </w:p>
      </w:sdtContent>
    </w:sdt>
    <w:p>
      <w:pPr>
        <w:pStyle w:val="3"/>
        <w:numPr>
          <w:ilvl w:val="0"/>
          <w:numId w:val="1"/>
        </w:numPr>
        <w:spacing w:before="0" w:after="0" w:line="560" w:lineRule="exact"/>
        <w:ind w:left="0"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bookmarkStart w:id="0" w:name="_Toc215170909"/>
      <w:r>
        <w:rPr>
          <w:rFonts w:hint="default" w:ascii="Times New Roman" w:hAnsi="Times New Roman" w:eastAsia="仿宋_GB2312" w:cs="Times New Roman"/>
          <w:sz w:val="32"/>
          <w:szCs w:val="32"/>
        </w:rPr>
        <w:t>总则</w:t>
      </w:r>
      <w:bookmarkEnd w:id="0"/>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  </w:t>
      </w:r>
      <w:bookmarkStart w:id="1" w:name="_Toc215170910"/>
      <w:r>
        <w:rPr>
          <w:rFonts w:hint="default" w:ascii="Times New Roman" w:hAnsi="Times New Roman" w:eastAsia="仿宋_GB2312" w:cs="Times New Roman"/>
          <w:szCs w:val="32"/>
        </w:rPr>
        <w:t>编制目的</w:t>
      </w:r>
      <w:bookmarkEnd w:id="1"/>
    </w:p>
    <w:p>
      <w:pPr>
        <w:pStyle w:val="31"/>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建立健全荔湾区辐射事故应急机制，提高辐射事故应急处置和快速响应的能力，有效预防、及时控制和消除各类辐射事故危害，保护公众和从业人员的安全和健康，保护辐射环境安全，促进荔湾区经济、社会和环境的全面、协调和高质量发展。</w:t>
      </w:r>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  </w:t>
      </w:r>
      <w:bookmarkStart w:id="2" w:name="_Toc215170911"/>
      <w:r>
        <w:rPr>
          <w:rFonts w:hint="default" w:ascii="Times New Roman" w:hAnsi="Times New Roman" w:eastAsia="仿宋_GB2312" w:cs="Times New Roman"/>
          <w:szCs w:val="32"/>
        </w:rPr>
        <w:t>编制依据</w:t>
      </w:r>
      <w:bookmarkEnd w:id="2"/>
    </w:p>
    <w:p>
      <w:pPr>
        <w:pStyle w:val="31"/>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本预案编制的主要依据如下：</w:t>
      </w:r>
    </w:p>
    <w:p>
      <w:pPr>
        <w:pStyle w:val="31"/>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（1）《中华人民共和国环境保护法》；</w:t>
      </w:r>
    </w:p>
    <w:p>
      <w:pPr>
        <w:pStyle w:val="31"/>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（2）《中华人民共和国突发事件应对法》；</w:t>
      </w:r>
    </w:p>
    <w:p>
      <w:pPr>
        <w:pStyle w:val="31"/>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（3）《中华人民共和国放射性污染防治法》；</w:t>
      </w:r>
    </w:p>
    <w:p>
      <w:pPr>
        <w:pStyle w:val="31"/>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（4）《中华人民共和国消防法》；</w:t>
      </w:r>
    </w:p>
    <w:p>
      <w:pPr>
        <w:pStyle w:val="31"/>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（5）《放射性废物安全管理条例》；</w:t>
      </w:r>
    </w:p>
    <w:p>
      <w:pPr>
        <w:pStyle w:val="31"/>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（6）《放射性物品运输安全管理条例》；</w:t>
      </w:r>
    </w:p>
    <w:p>
      <w:pPr>
        <w:pStyle w:val="31"/>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（7）《放射性同位素与射线装置安全和防护条例》；</w:t>
      </w:r>
    </w:p>
    <w:p>
      <w:pPr>
        <w:pStyle w:val="31"/>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（8）《放射性同位素与射线装置安全和防护管理办法》；</w:t>
      </w:r>
    </w:p>
    <w:p>
      <w:pPr>
        <w:pStyle w:val="31"/>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（9）《突发事件应急预案管理办法》；</w:t>
      </w:r>
    </w:p>
    <w:p>
      <w:pPr>
        <w:pStyle w:val="31"/>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（10）《突发环境事件应急管理办法》；</w:t>
      </w:r>
    </w:p>
    <w:p>
      <w:pPr>
        <w:pStyle w:val="31"/>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（11）《突发环境事件信息报告办法》；</w:t>
      </w:r>
    </w:p>
    <w:p>
      <w:pPr>
        <w:pStyle w:val="31"/>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（12）《广东省突发事件应对条例》；</w:t>
      </w:r>
    </w:p>
    <w:p>
      <w:pPr>
        <w:pStyle w:val="31"/>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（13）《广东省突发事件应急预案管理办法》；</w:t>
      </w:r>
    </w:p>
    <w:p>
      <w:pPr>
        <w:pStyle w:val="31"/>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（14）《广州市突发事件预警信息发布管理规定》；</w:t>
      </w:r>
    </w:p>
    <w:p>
      <w:pPr>
        <w:pStyle w:val="31"/>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（15）《广州市突发事件危险源和危险区域管理规定》；</w:t>
      </w:r>
    </w:p>
    <w:p>
      <w:pPr>
        <w:pStyle w:val="31"/>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（16）《广州市突发事件应急预案编制指南》；</w:t>
      </w:r>
    </w:p>
    <w:p>
      <w:pPr>
        <w:pStyle w:val="31"/>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（17）  《生态环境部（国家核安全局）辐射事故应急预案》；</w:t>
      </w:r>
    </w:p>
    <w:p>
      <w:pPr>
        <w:pStyle w:val="31"/>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（18）《广东省突发事件总体应急预案》；</w:t>
      </w:r>
    </w:p>
    <w:p>
      <w:pPr>
        <w:pStyle w:val="31"/>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（19）《广州市突发事件总体应急预案》；</w:t>
      </w:r>
    </w:p>
    <w:p>
      <w:pPr>
        <w:pStyle w:val="31"/>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（20）《广州市突发环境事件应急预案》；</w:t>
      </w:r>
    </w:p>
    <w:p>
      <w:pPr>
        <w:pStyle w:val="31"/>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（21）《广东省辐射事故应急预案》；</w:t>
      </w:r>
    </w:p>
    <w:p>
      <w:pPr>
        <w:pStyle w:val="31"/>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（22）《广州市辐射事故应急预案》；</w:t>
      </w:r>
    </w:p>
    <w:p>
      <w:pPr>
        <w:pStyle w:val="31"/>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（23）《广州市荔湾区突发环境事件应急预案》。</w:t>
      </w:r>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  </w:t>
      </w:r>
      <w:bookmarkStart w:id="3" w:name="_Toc215170912"/>
      <w:r>
        <w:rPr>
          <w:rFonts w:hint="default" w:ascii="Times New Roman" w:hAnsi="Times New Roman" w:eastAsia="仿宋_GB2312" w:cs="Times New Roman"/>
          <w:szCs w:val="32"/>
        </w:rPr>
        <w:t>工作原则</w:t>
      </w:r>
      <w:bookmarkEnd w:id="3"/>
    </w:p>
    <w:p>
      <w:pPr>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1、坚持以人为本的原则。</w:t>
      </w:r>
      <w:r>
        <w:rPr>
          <w:rFonts w:hint="default" w:ascii="Times New Roman" w:hAnsi="Times New Roman" w:eastAsia="仿宋_GB2312" w:cs="Times New Roman"/>
          <w:sz w:val="32"/>
          <w:szCs w:val="32"/>
        </w:rPr>
        <w:t>要始终把保障公众的生命安全和身体健康作为环境辐射事故应急工作的着眼点，最大限度地减少环境辐射事故造成的人员伤亡和危害；切实加强应急救援人员的安全防护，提高科学指挥的能力和水平，确保处置人员及周围群众的人身安全。</w:t>
      </w:r>
    </w:p>
    <w:p>
      <w:pPr>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2、坚持合法、合理的原则。</w:t>
      </w:r>
      <w:r>
        <w:rPr>
          <w:rFonts w:hint="default" w:ascii="Times New Roman" w:hAnsi="Times New Roman" w:eastAsia="仿宋_GB2312" w:cs="Times New Roman"/>
          <w:sz w:val="32"/>
          <w:szCs w:val="32"/>
        </w:rPr>
        <w:t>环境辐射事故的预防、监测、预警、报告和应急处理等工作，必须严格依照法定的权限和程序进行。采取应急处理措施应当与环境辐射事故的紧急性和危害程度相适应，不得超出合理限度。</w:t>
      </w:r>
    </w:p>
    <w:p>
      <w:pPr>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3、坚持统一领导、分级负责的原则。</w:t>
      </w:r>
      <w:r>
        <w:rPr>
          <w:rFonts w:hint="default" w:ascii="Times New Roman" w:hAnsi="Times New Roman" w:eastAsia="仿宋_GB2312" w:cs="Times New Roman"/>
          <w:sz w:val="32"/>
          <w:szCs w:val="32"/>
        </w:rPr>
        <w:t>环境辐射事故应急处理工作，应当在各级环境辐射事故应急指挥部的统一领导下，根据环境辐射事故的种类、级别采取相应的应急处理措施。</w:t>
      </w:r>
    </w:p>
    <w:p>
      <w:pPr>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4、坚持预防为主、防治结合、迅速反应、果断处理的原则。</w:t>
      </w:r>
      <w:r>
        <w:rPr>
          <w:rFonts w:hint="default" w:ascii="Times New Roman" w:hAnsi="Times New Roman" w:eastAsia="仿宋_GB2312" w:cs="Times New Roman"/>
          <w:sz w:val="32"/>
          <w:szCs w:val="32"/>
        </w:rPr>
        <w:t>做好应对环境辐射事故的思想准备、预案准备、机制准备和工作准备，切实做到及时发现、及时报告、快速反应、及时控制，建立健全信息报告体系、科学决策体系和恢复重建体系，注重环境安全的科学研究和技术储备，成立应急处置的专业队伍并定期进行培训和演练，加强对公众的宣传教育，提高对环境辐射事故的组织、管理、决策、处置能力。对本辖区内主要污染源存在重大污染事故隐患的企业，特别是在居民集中区可能产生污染危害的企业，要加强监管，督促制定相应的应急预案，配置必要的防污设施，提高企业防范和处置污染事件的能力。事件发生后，迅速查明事件原因，果断提出处置措施，防止污染扩大，尽量减少污染范围。</w:t>
      </w:r>
    </w:p>
    <w:p>
      <w:pPr>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5、坚持整合资源、信息共享的原则。</w:t>
      </w:r>
      <w:r>
        <w:rPr>
          <w:rFonts w:hint="default" w:ascii="Times New Roman" w:hAnsi="Times New Roman" w:eastAsia="仿宋_GB2312" w:cs="Times New Roman"/>
          <w:sz w:val="32"/>
          <w:szCs w:val="32"/>
        </w:rPr>
        <w:t>环境辐射事故发生后，环境辐射事故应急指挥部应当对现有的资金、物资、人员、信息、技术等资源进行整合，做到调动迅速、有序，充分发挥现有资源的作用，明确自身职责，妥善协调参与处置突发事件有关单位或人员的关系。</w:t>
      </w:r>
    </w:p>
    <w:p>
      <w:pPr>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6、坚持依靠科学、及时高效的原则。</w:t>
      </w:r>
      <w:r>
        <w:rPr>
          <w:rFonts w:hint="default" w:ascii="Times New Roman" w:hAnsi="Times New Roman" w:eastAsia="仿宋_GB2312" w:cs="Times New Roman"/>
          <w:sz w:val="32"/>
          <w:szCs w:val="32"/>
        </w:rPr>
        <w:t>处理环境辐射事故，应当依靠科学技术，充分发挥环保专业技术人员的作用，采用先进的预测、预警和应急处理技术，做到以事实为依据，重视证据、重视技术手段，防止主观臆断；在环境辐射事故应急处理过程中要做到反应及时、措施果断、协调高效。</w:t>
      </w:r>
    </w:p>
    <w:p>
      <w:pPr>
        <w:spacing w:line="56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7、坚持政府主导、公众参与的原则。</w:t>
      </w:r>
      <w:r>
        <w:rPr>
          <w:rFonts w:hint="default" w:ascii="Times New Roman" w:hAnsi="Times New Roman" w:eastAsia="仿宋_GB2312" w:cs="Times New Roman"/>
          <w:sz w:val="32"/>
          <w:szCs w:val="32"/>
        </w:rPr>
        <w:t>在区政府的统一领导下不断改进和完善应急救援设施、设备和手段；在保障公众人身安全的前提下，充分依靠和发挥公众参与力量。</w:t>
      </w:r>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  </w:t>
      </w:r>
      <w:bookmarkStart w:id="4" w:name="_Toc215170913"/>
      <w:r>
        <w:rPr>
          <w:rFonts w:hint="default" w:ascii="Times New Roman" w:hAnsi="Times New Roman" w:eastAsia="仿宋_GB2312" w:cs="Times New Roman"/>
          <w:szCs w:val="32"/>
        </w:rPr>
        <w:t>适用范围</w:t>
      </w:r>
      <w:bookmarkEnd w:id="4"/>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本预案适用于在荔湾区</w:t>
      </w:r>
      <w:r>
        <w:rPr>
          <w:rFonts w:hint="default" w:ascii="Times New Roman" w:hAnsi="Times New Roman" w:eastAsia="仿宋_GB2312" w:cs="Times New Roman"/>
          <w:sz w:val="32"/>
          <w:szCs w:val="32"/>
        </w:rPr>
        <w:t>辖区内</w:t>
      </w:r>
      <w:r>
        <w:rPr>
          <w:rFonts w:hint="default" w:ascii="Times New Roman" w:hAnsi="Times New Roman" w:eastAsia="仿宋_GB2312" w:cs="Times New Roman"/>
          <w:kern w:val="0"/>
          <w:sz w:val="32"/>
          <w:szCs w:val="32"/>
          <w:lang w:bidi="en-US"/>
        </w:rPr>
        <w:t>发生的辐射事故。</w:t>
      </w: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sz w:val="32"/>
          <w:szCs w:val="32"/>
        </w:rPr>
        <w:t>辐射事故主要指下列设施或活动的放射源丢失、被盗、失控，或者放射性物质和射线装置失控导致人员受到意外的异常照射，或者造成环境放射性污染的事件。</w:t>
      </w:r>
      <w:r>
        <w:rPr>
          <w:rFonts w:hint="default" w:ascii="Times New Roman" w:hAnsi="Times New Roman" w:eastAsia="仿宋_GB2312" w:cs="Times New Roman"/>
          <w:kern w:val="0"/>
          <w:sz w:val="32"/>
          <w:szCs w:val="32"/>
          <w:lang w:bidi="en-US"/>
        </w:rPr>
        <w:t>主要包括：</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（1）核技术利用；</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（2）放射性物品运输（乏燃料除外）；</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（3）伴生放射性矿开发利用；</w:t>
      </w:r>
    </w:p>
    <w:p>
      <w:pPr>
        <w:pStyle w:val="19"/>
        <w:widowControl/>
        <w:spacing w:line="560" w:lineRule="exact"/>
        <w:ind w:firstLine="480" w:firstLineChars="200"/>
        <w:jc w:val="both"/>
        <w:rPr>
          <w:rFonts w:hint="default" w:ascii="Times New Roman" w:hAnsi="Times New Roman" w:cs="Times New Roman"/>
        </w:rPr>
      </w:pPr>
      <w:r>
        <w:rPr>
          <w:rFonts w:hint="default" w:ascii="Times New Roman" w:hAnsi="Times New Roman" w:cs="Times New Roman"/>
        </w:rPr>
        <w:t> </w:t>
      </w:r>
      <w:r>
        <w:rPr>
          <w:rFonts w:hint="default" w:ascii="Times New Roman" w:hAnsi="Times New Roman" w:eastAsia="仿宋_GB2312" w:cs="Times New Roman"/>
          <w:kern w:val="2"/>
          <w:sz w:val="32"/>
          <w:szCs w:val="32"/>
        </w:rPr>
        <w:t> （4）放射性物质恐怖袭击事件。</w:t>
      </w:r>
    </w:p>
    <w:p>
      <w:pPr>
        <w:pStyle w:val="19"/>
        <w:widowControl/>
        <w:spacing w:line="560" w:lineRule="exact"/>
        <w:ind w:firstLine="640" w:firstLineChars="200"/>
        <w:jc w:val="both"/>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本预案所指的核技术利用、伴生放射性矿开发利用包括相应的放射性废物处理、贮存和处置。</w:t>
      </w:r>
    </w:p>
    <w:p>
      <w:pPr>
        <w:pStyle w:val="19"/>
        <w:widowControl/>
        <w:spacing w:line="560" w:lineRule="exact"/>
        <w:ind w:firstLine="640"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国内外航天器在荔湾区辖区内坠落造成的环境放射性污染事件的应对工作，以及可能对我市辖区内环境造成辐射影响的其他辐射事故、事件的应对工作，参照本预案执行。 </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kern w:val="2"/>
          <w:sz w:val="32"/>
          <w:szCs w:val="32"/>
          <w:lang w:eastAsia="zh-CN" w:bidi="ar-SA"/>
        </w:rPr>
        <w:t>核技术利用、伴生放射性矿发生非放射性突发环境事件的，按照突发环境事件有关</w:t>
      </w:r>
      <w:r>
        <w:rPr>
          <w:rFonts w:hint="default" w:ascii="Times New Roman" w:hAnsi="Times New Roman" w:eastAsia="仿宋_GB2312" w:cs="Times New Roman"/>
          <w:sz w:val="32"/>
          <w:szCs w:val="32"/>
          <w:lang w:eastAsia="zh-CN"/>
        </w:rPr>
        <w:t>预案开展应急响应工作；因突发环境事件引发辐射事故的，在应对突发环境事件的同时按照本预案开展辐射事故应急响应工作。</w:t>
      </w:r>
    </w:p>
    <w:p>
      <w:pPr>
        <w:pStyle w:val="3"/>
        <w:numPr>
          <w:ilvl w:val="0"/>
          <w:numId w:val="1"/>
        </w:numPr>
        <w:spacing w:before="0" w:after="0" w:line="560" w:lineRule="exact"/>
        <w:ind w:left="0"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bookmarkStart w:id="5" w:name="_Toc215170914"/>
      <w:r>
        <w:rPr>
          <w:rFonts w:hint="default" w:ascii="Times New Roman" w:hAnsi="Times New Roman" w:eastAsia="仿宋_GB2312" w:cs="Times New Roman"/>
          <w:sz w:val="32"/>
          <w:szCs w:val="32"/>
        </w:rPr>
        <w:t>事故分级</w:t>
      </w:r>
      <w:bookmarkEnd w:id="5"/>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根据事故性质、严重程度、可控性和影响范围等因素，将辐射事故分为特别重大（Ⅰ级）、重大（Ⅱ级）、较大（Ⅲ级）和一般（Ⅳ级）4个等级。</w:t>
      </w:r>
      <w:bookmarkStart w:id="6" w:name="_Toc53393220"/>
      <w:bookmarkEnd w:id="6"/>
      <w:bookmarkStart w:id="7" w:name="_Toc23244618"/>
      <w:bookmarkEnd w:id="7"/>
      <w:bookmarkStart w:id="8" w:name="_Toc30752"/>
      <w:bookmarkEnd w:id="8"/>
      <w:bookmarkStart w:id="9" w:name="_Toc46501321"/>
      <w:bookmarkEnd w:id="9"/>
      <w:bookmarkStart w:id="10" w:name="_Toc46742157"/>
      <w:bookmarkEnd w:id="10"/>
      <w:bookmarkStart w:id="11" w:name="_Toc46509848"/>
      <w:bookmarkEnd w:id="11"/>
      <w:bookmarkStart w:id="12" w:name="_Toc46507858"/>
      <w:bookmarkEnd w:id="12"/>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  </w:t>
      </w:r>
      <w:bookmarkStart w:id="13" w:name="_Toc215170915"/>
      <w:r>
        <w:rPr>
          <w:rFonts w:hint="default" w:ascii="Times New Roman" w:hAnsi="Times New Roman" w:eastAsia="仿宋_GB2312" w:cs="Times New Roman"/>
          <w:szCs w:val="32"/>
        </w:rPr>
        <w:t>特别重大（Ⅰ级）辐射事故</w:t>
      </w:r>
      <w:bookmarkEnd w:id="13"/>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凡符合下列情形之一的，为特别重大辐射事故：</w:t>
      </w: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（1）Ⅰ类、Ⅱ类放射源丢失、被盗、失控造成大范围严重辐射污染后果的；</w:t>
      </w: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（2）放射性同位素和射线装置失控导致3人以上（含3人）急性死亡的；</w:t>
      </w: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（3）放射性物质泄漏，造成大范围辐射污染后果的；</w:t>
      </w:r>
    </w:p>
    <w:p>
      <w:pPr>
        <w:adjustRightInd w:val="0"/>
        <w:snapToGrid w:val="0"/>
        <w:spacing w:line="560" w:lineRule="exact"/>
        <w:ind w:firstLine="640" w:firstLineChars="200"/>
        <w:rPr>
          <w:rFonts w:hint="default" w:ascii="Times New Roman" w:hAnsi="Times New Roman" w:eastAsia="仿宋_GB2312" w:cs="Times New Roman"/>
          <w:sz w:val="32"/>
          <w:szCs w:val="32"/>
          <w:lang w:bidi="en-US"/>
        </w:rPr>
      </w:pPr>
      <w:r>
        <w:rPr>
          <w:rFonts w:hint="default" w:ascii="Times New Roman" w:hAnsi="Times New Roman" w:eastAsia="仿宋_GB2312" w:cs="Times New Roman"/>
          <w:kern w:val="0"/>
          <w:sz w:val="32"/>
          <w:szCs w:val="32"/>
          <w:lang w:bidi="en-US"/>
        </w:rPr>
        <w:t>（4）对我区境内可能或已经造成大范围辐射污染的航天器坠落事件。</w:t>
      </w:r>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  </w:t>
      </w:r>
      <w:bookmarkStart w:id="14" w:name="_Toc215170916"/>
      <w:r>
        <w:rPr>
          <w:rFonts w:hint="default" w:ascii="Times New Roman" w:hAnsi="Times New Roman" w:eastAsia="仿宋_GB2312" w:cs="Times New Roman"/>
          <w:szCs w:val="32"/>
        </w:rPr>
        <w:t>重大（Ⅱ级）辐射事故</w:t>
      </w:r>
      <w:bookmarkEnd w:id="14"/>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凡符合下列情形之一的，为重大辐射事故：</w:t>
      </w: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（1）Ⅰ类、Ⅱ类放射源丢失、被盗、失控的；</w:t>
      </w: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（2）放射性同位素和射线装置失控导致3人以下（不含3人）急性死亡或者10人以上（含10人）急性重度放射病、局部器官残疾的；</w:t>
      </w: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（3）放射性物质泄漏，造成较大范围辐射污染后果的。</w:t>
      </w:r>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  </w:t>
      </w:r>
      <w:bookmarkStart w:id="15" w:name="_Toc215170917"/>
      <w:r>
        <w:rPr>
          <w:rFonts w:hint="default" w:ascii="Times New Roman" w:hAnsi="Times New Roman" w:eastAsia="仿宋_GB2312" w:cs="Times New Roman"/>
          <w:szCs w:val="32"/>
        </w:rPr>
        <w:t>较大（Ⅲ级）辐射事故</w:t>
      </w:r>
      <w:bookmarkEnd w:id="15"/>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凡符合下列情形之一的，为较大辐射事故：</w:t>
      </w: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（1）Ⅲ类放射源丢失、被盗、失控的；</w:t>
      </w: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（2）放射性同位素和射线装置失控导致10人以下（不含10人）急性重度放射病、局部器官残疾的；</w:t>
      </w: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（3）放射性物质泄漏，造成小范围辐射污染后果的。</w:t>
      </w:r>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  </w:t>
      </w:r>
      <w:bookmarkStart w:id="16" w:name="_Toc215170918"/>
      <w:r>
        <w:rPr>
          <w:rFonts w:hint="default" w:ascii="Times New Roman" w:hAnsi="Times New Roman" w:eastAsia="仿宋_GB2312" w:cs="Times New Roman"/>
          <w:szCs w:val="32"/>
        </w:rPr>
        <w:t>一般（Ⅳ级）辐射事故</w:t>
      </w:r>
      <w:bookmarkEnd w:id="16"/>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凡符合下列情形之一的，为一般辐射事故：</w:t>
      </w: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（1）Ⅳ类、Ⅴ类放射源丢失、被盗、失控的；</w:t>
      </w: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（2）放射性同位素和射线装置失控导致人员受到超过年剂量限值的照射的；</w:t>
      </w: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（3）放射性物质泄漏，造成厂区内或设施内局部辐射污染后果的；</w:t>
      </w: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（4）伴生矿开发利用中严重超标排放，造成局部环境辐射污染后果的；</w:t>
      </w: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（5）测井用放射源落井，打捞不成功进行封井处理的。</w:t>
      </w:r>
    </w:p>
    <w:p>
      <w:pPr>
        <w:pStyle w:val="3"/>
        <w:numPr>
          <w:ilvl w:val="0"/>
          <w:numId w:val="1"/>
        </w:numPr>
        <w:spacing w:before="0" w:after="0" w:line="560" w:lineRule="exact"/>
        <w:ind w:left="0"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bookmarkStart w:id="17" w:name="_Toc215170919"/>
      <w:r>
        <w:rPr>
          <w:rFonts w:hint="default" w:ascii="Times New Roman" w:hAnsi="Times New Roman" w:eastAsia="仿宋_GB2312" w:cs="Times New Roman"/>
          <w:sz w:val="32"/>
          <w:szCs w:val="32"/>
        </w:rPr>
        <w:t>应急组织体系</w:t>
      </w:r>
      <w:bookmarkEnd w:id="17"/>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  </w:t>
      </w:r>
      <w:bookmarkStart w:id="18" w:name="_Toc215170920"/>
      <w:r>
        <w:rPr>
          <w:rFonts w:hint="default" w:ascii="Times New Roman" w:hAnsi="Times New Roman" w:eastAsia="仿宋_GB2312" w:cs="Times New Roman"/>
          <w:szCs w:val="32"/>
        </w:rPr>
        <w:t>应急指挥机构</w:t>
      </w:r>
      <w:bookmarkEnd w:id="18"/>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eastAsia="zh-CN" w:bidi="en-US"/>
        </w:rPr>
        <w:t>发生辐射事故后，区人民政府</w:t>
      </w:r>
      <w:r>
        <w:rPr>
          <w:rFonts w:hint="default" w:ascii="Times New Roman" w:hAnsi="Times New Roman" w:eastAsia="仿宋_GB2312" w:cs="Times New Roman"/>
          <w:kern w:val="0"/>
          <w:sz w:val="32"/>
          <w:szCs w:val="32"/>
          <w:lang w:bidi="en-US"/>
        </w:rPr>
        <w:t>成立区辐射事故应急指挥部（以下简称“区指挥部”），统一指挥全区辐射事故的应急处置工作。区指挥部下设辐射事故应急指挥部办公室以及各应急工作组。</w:t>
      </w:r>
    </w:p>
    <w:p>
      <w:pPr>
        <w:pStyle w:val="37"/>
        <w:keepNext/>
        <w:keepLines/>
        <w:numPr>
          <w:ilvl w:val="0"/>
          <w:numId w:val="2"/>
        </w:numPr>
        <w:spacing w:line="560" w:lineRule="exact"/>
        <w:ind w:left="0" w:firstLine="643"/>
        <w:outlineLvl w:val="2"/>
        <w:rPr>
          <w:rFonts w:hint="default" w:ascii="Times New Roman" w:hAnsi="Times New Roman" w:eastAsia="仿宋_GB2312" w:cs="Times New Roman"/>
          <w:b/>
          <w:vanish/>
          <w:sz w:val="32"/>
          <w:szCs w:val="32"/>
        </w:rPr>
      </w:pPr>
      <w:bookmarkStart w:id="19" w:name="_Toc203148024"/>
      <w:bookmarkEnd w:id="19"/>
      <w:bookmarkStart w:id="20" w:name="_Toc201825668"/>
      <w:bookmarkEnd w:id="20"/>
      <w:bookmarkStart w:id="21" w:name="_Toc215170921"/>
      <w:bookmarkEnd w:id="21"/>
      <w:bookmarkStart w:id="22" w:name="_Toc203147781"/>
      <w:bookmarkEnd w:id="22"/>
    </w:p>
    <w:p>
      <w:pPr>
        <w:pStyle w:val="37"/>
        <w:keepNext/>
        <w:keepLines/>
        <w:numPr>
          <w:ilvl w:val="0"/>
          <w:numId w:val="2"/>
        </w:numPr>
        <w:spacing w:line="560" w:lineRule="exact"/>
        <w:ind w:left="0" w:firstLine="643"/>
        <w:outlineLvl w:val="2"/>
        <w:rPr>
          <w:rFonts w:hint="default" w:ascii="Times New Roman" w:hAnsi="Times New Roman" w:eastAsia="仿宋_GB2312" w:cs="Times New Roman"/>
          <w:b/>
          <w:vanish/>
          <w:sz w:val="32"/>
          <w:szCs w:val="32"/>
        </w:rPr>
      </w:pPr>
      <w:bookmarkStart w:id="23" w:name="_Toc203148025"/>
      <w:bookmarkEnd w:id="23"/>
      <w:bookmarkStart w:id="24" w:name="_Toc215170922"/>
      <w:bookmarkEnd w:id="24"/>
      <w:bookmarkStart w:id="25" w:name="_Toc203147782"/>
      <w:bookmarkEnd w:id="25"/>
      <w:bookmarkStart w:id="26" w:name="_Toc201825669"/>
      <w:bookmarkEnd w:id="26"/>
    </w:p>
    <w:p>
      <w:pPr>
        <w:pStyle w:val="37"/>
        <w:keepNext/>
        <w:keepLines/>
        <w:numPr>
          <w:ilvl w:val="0"/>
          <w:numId w:val="2"/>
        </w:numPr>
        <w:spacing w:line="560" w:lineRule="exact"/>
        <w:ind w:left="0" w:firstLine="643"/>
        <w:outlineLvl w:val="2"/>
        <w:rPr>
          <w:rFonts w:hint="default" w:ascii="Times New Roman" w:hAnsi="Times New Roman" w:eastAsia="仿宋_GB2312" w:cs="Times New Roman"/>
          <w:b/>
          <w:vanish/>
          <w:sz w:val="32"/>
          <w:szCs w:val="32"/>
        </w:rPr>
      </w:pPr>
      <w:bookmarkStart w:id="27" w:name="_Toc203147783"/>
      <w:bookmarkEnd w:id="27"/>
      <w:bookmarkStart w:id="28" w:name="_Toc201825670"/>
      <w:bookmarkEnd w:id="28"/>
      <w:bookmarkStart w:id="29" w:name="_Toc215170923"/>
      <w:bookmarkEnd w:id="29"/>
      <w:bookmarkStart w:id="30" w:name="_Toc203148026"/>
      <w:bookmarkEnd w:id="30"/>
    </w:p>
    <w:p>
      <w:pPr>
        <w:pStyle w:val="37"/>
        <w:keepNext/>
        <w:keepLines/>
        <w:numPr>
          <w:ilvl w:val="1"/>
          <w:numId w:val="2"/>
        </w:numPr>
        <w:spacing w:line="560" w:lineRule="exact"/>
        <w:ind w:left="0" w:firstLine="643"/>
        <w:outlineLvl w:val="2"/>
        <w:rPr>
          <w:rFonts w:hint="default" w:ascii="Times New Roman" w:hAnsi="Times New Roman" w:eastAsia="仿宋_GB2312" w:cs="Times New Roman"/>
          <w:b/>
          <w:vanish/>
          <w:sz w:val="32"/>
          <w:szCs w:val="32"/>
        </w:rPr>
      </w:pPr>
      <w:bookmarkStart w:id="31" w:name="_Toc215170924"/>
      <w:bookmarkEnd w:id="31"/>
      <w:bookmarkStart w:id="32" w:name="_Toc203148027"/>
      <w:bookmarkEnd w:id="32"/>
      <w:bookmarkStart w:id="33" w:name="_Toc203147784"/>
      <w:bookmarkEnd w:id="33"/>
      <w:bookmarkStart w:id="34" w:name="_Toc201825671"/>
      <w:bookmarkEnd w:id="34"/>
    </w:p>
    <w:p>
      <w:pPr>
        <w:pStyle w:val="5"/>
        <w:numPr>
          <w:ilvl w:val="2"/>
          <w:numId w:val="2"/>
        </w:numPr>
        <w:spacing w:before="0" w:after="0" w:line="560" w:lineRule="exact"/>
        <w:ind w:left="0" w:firstLine="640" w:firstLineChars="200"/>
        <w:rPr>
          <w:rFonts w:hint="default" w:ascii="Times New Roman" w:hAnsi="Times New Roman" w:eastAsia="仿宋_GB2312" w:cs="Times New Roman"/>
          <w:b w:val="0"/>
          <w:bCs/>
          <w:szCs w:val="32"/>
        </w:rPr>
      </w:pPr>
      <w:r>
        <w:rPr>
          <w:rFonts w:hint="default" w:ascii="Times New Roman" w:hAnsi="Times New Roman" w:eastAsia="仿宋_GB2312" w:cs="Times New Roman"/>
          <w:b w:val="0"/>
          <w:bCs/>
          <w:szCs w:val="32"/>
        </w:rPr>
        <w:t xml:space="preserve"> </w:t>
      </w:r>
      <w:bookmarkStart w:id="35" w:name="_Toc215170925"/>
      <w:r>
        <w:rPr>
          <w:rFonts w:hint="default" w:ascii="Times New Roman" w:hAnsi="Times New Roman" w:eastAsia="仿宋_GB2312" w:cs="Times New Roman"/>
          <w:b w:val="0"/>
          <w:bCs/>
          <w:szCs w:val="32"/>
        </w:rPr>
        <w:t>应急指挥部</w:t>
      </w:r>
      <w:bookmarkEnd w:id="35"/>
    </w:p>
    <w:p>
      <w:pPr>
        <w:adjustRightInd w:val="0"/>
        <w:snapToGrid w:val="0"/>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lang w:bidi="en-US"/>
        </w:rPr>
        <w:t>区辐射事故应急指挥部负责统一指挥全区辐射事故的应急处置工作，</w:t>
      </w:r>
      <w:r>
        <w:rPr>
          <w:rFonts w:hint="default" w:ascii="Times New Roman" w:hAnsi="Times New Roman" w:eastAsia="仿宋_GB2312" w:cs="Times New Roman"/>
          <w:sz w:val="32"/>
          <w:szCs w:val="32"/>
        </w:rPr>
        <w:t>由总指挥、副总指挥和若干成员组成。</w:t>
      </w:r>
    </w:p>
    <w:p>
      <w:pPr>
        <w:pStyle w:val="6"/>
        <w:numPr>
          <w:ilvl w:val="3"/>
          <w:numId w:val="2"/>
        </w:numPr>
        <w:autoSpaceDE/>
        <w:autoSpaceDN/>
        <w:spacing w:line="560" w:lineRule="exact"/>
        <w:ind w:left="0" w:firstLine="64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组成</w:t>
      </w:r>
    </w:p>
    <w:p>
      <w:pPr>
        <w:adjustRightInd w:val="0"/>
        <w:snapToGrid w:val="0"/>
        <w:spacing w:line="560" w:lineRule="exact"/>
        <w:ind w:firstLine="643" w:firstLineChars="200"/>
        <w:rPr>
          <w:rFonts w:hint="default" w:ascii="Times New Roman" w:hAnsi="Times New Roman" w:eastAsia="仿宋_GB2312" w:cs="Times New Roman"/>
          <w:kern w:val="0"/>
          <w:sz w:val="32"/>
          <w:szCs w:val="32"/>
          <w:lang w:bidi="en-US"/>
        </w:rPr>
      </w:pPr>
      <w:bookmarkStart w:id="36" w:name="_Hlk201689069"/>
      <w:r>
        <w:rPr>
          <w:rFonts w:hint="default" w:ascii="Times New Roman" w:hAnsi="Times New Roman" w:eastAsia="仿宋_GB2312" w:cs="Times New Roman"/>
          <w:b/>
          <w:kern w:val="0"/>
          <w:sz w:val="32"/>
          <w:szCs w:val="32"/>
          <w:lang w:bidi="en-US"/>
        </w:rPr>
        <w:t>总指挥：</w:t>
      </w:r>
      <w:bookmarkStart w:id="37" w:name="OLE_LINK2"/>
      <w:r>
        <w:rPr>
          <w:rFonts w:hint="default" w:ascii="Times New Roman" w:hAnsi="Times New Roman" w:eastAsia="仿宋_GB2312" w:cs="Times New Roman"/>
          <w:kern w:val="0"/>
          <w:sz w:val="32"/>
          <w:szCs w:val="32"/>
          <w:lang w:bidi="en-US"/>
        </w:rPr>
        <w:t>分管生态环境工作的副区长</w:t>
      </w:r>
      <w:bookmarkEnd w:id="37"/>
      <w:r>
        <w:rPr>
          <w:rFonts w:hint="default" w:ascii="Times New Roman" w:hAnsi="Times New Roman" w:eastAsia="仿宋_GB2312" w:cs="Times New Roman"/>
          <w:kern w:val="0"/>
          <w:sz w:val="32"/>
          <w:szCs w:val="32"/>
          <w:lang w:bidi="en-US"/>
        </w:rPr>
        <w:t>。</w:t>
      </w:r>
    </w:p>
    <w:p>
      <w:pPr>
        <w:adjustRightInd w:val="0"/>
        <w:snapToGrid w:val="0"/>
        <w:spacing w:line="560" w:lineRule="exact"/>
        <w:ind w:firstLine="643"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b/>
          <w:kern w:val="0"/>
          <w:sz w:val="32"/>
          <w:szCs w:val="32"/>
          <w:lang w:bidi="en-US"/>
        </w:rPr>
        <w:t>副总指挥：</w:t>
      </w:r>
      <w:bookmarkStart w:id="38" w:name="OLE_LINK3"/>
      <w:r>
        <w:rPr>
          <w:rFonts w:hint="default" w:ascii="Times New Roman" w:hAnsi="Times New Roman" w:eastAsia="仿宋_GB2312" w:cs="Times New Roman"/>
          <w:sz w:val="32"/>
          <w:szCs w:val="32"/>
        </w:rPr>
        <w:t>市生态环境局荔湾分局局长、区卫生健康局局长、事发地街道办事处主要负责人</w:t>
      </w:r>
      <w:bookmarkEnd w:id="38"/>
      <w:r>
        <w:rPr>
          <w:rFonts w:hint="default" w:ascii="Times New Roman" w:hAnsi="Times New Roman" w:eastAsia="仿宋_GB2312" w:cs="Times New Roman"/>
          <w:kern w:val="0"/>
          <w:sz w:val="32"/>
          <w:szCs w:val="32"/>
          <w:lang w:bidi="en-US"/>
        </w:rPr>
        <w:t>。</w:t>
      </w:r>
    </w:p>
    <w:p>
      <w:pPr>
        <w:adjustRightInd w:val="0"/>
        <w:snapToGrid w:val="0"/>
        <w:spacing w:line="560" w:lineRule="exact"/>
        <w:ind w:firstLine="643" w:firstLineChars="200"/>
        <w:rPr>
          <w:rFonts w:hint="default" w:ascii="Times New Roman" w:hAnsi="Times New Roman" w:eastAsia="仿宋_GB2312" w:cs="Times New Roman"/>
          <w:bCs/>
          <w:kern w:val="0"/>
          <w:sz w:val="32"/>
          <w:szCs w:val="32"/>
          <w:lang w:bidi="en-US"/>
        </w:rPr>
      </w:pPr>
      <w:bookmarkStart w:id="39" w:name="_Hlk201771773"/>
      <w:r>
        <w:rPr>
          <w:rFonts w:hint="default" w:ascii="Times New Roman" w:hAnsi="Times New Roman" w:eastAsia="仿宋_GB2312" w:cs="Times New Roman"/>
          <w:b/>
          <w:kern w:val="0"/>
          <w:sz w:val="32"/>
          <w:szCs w:val="32"/>
          <w:lang w:bidi="en-US"/>
        </w:rPr>
        <w:t>成员单位：</w:t>
      </w:r>
      <w:bookmarkStart w:id="40" w:name="OLE_LINK4"/>
      <w:r>
        <w:rPr>
          <w:rFonts w:hint="default" w:ascii="Times New Roman" w:hAnsi="Times New Roman" w:eastAsia="仿宋_GB2312" w:cs="Times New Roman"/>
          <w:sz w:val="32"/>
          <w:szCs w:val="32"/>
        </w:rPr>
        <w:t>区委宣传部（区委网信办）、区科工信局、区民政局、区财政局、区住房建设园林局（区交通运输局）、区水务局、区农业农村局、区卫生健康局、区应急管理局、区市场监管局、区公安分局、市生态环境局荔湾分局、各街道办事处、荔湾交管大队、区消防大队、区气象局等单位负责人</w:t>
      </w:r>
      <w:bookmarkEnd w:id="40"/>
      <w:r>
        <w:rPr>
          <w:rFonts w:hint="default" w:ascii="Times New Roman" w:hAnsi="Times New Roman" w:eastAsia="仿宋_GB2312" w:cs="Times New Roman"/>
          <w:bCs/>
          <w:kern w:val="0"/>
          <w:sz w:val="32"/>
          <w:szCs w:val="32"/>
          <w:lang w:bidi="en-US"/>
        </w:rPr>
        <w:t>。</w:t>
      </w:r>
    </w:p>
    <w:p>
      <w:pPr>
        <w:adjustRightInd w:val="0"/>
        <w:snapToGrid w:val="0"/>
        <w:spacing w:line="560" w:lineRule="exact"/>
        <w:ind w:firstLine="640" w:firstLineChars="200"/>
        <w:rPr>
          <w:rFonts w:hint="default" w:ascii="Times New Roman" w:hAnsi="Times New Roman" w:eastAsia="仿宋_GB2312" w:cs="Times New Roman"/>
          <w:bCs/>
          <w:kern w:val="0"/>
          <w:sz w:val="32"/>
          <w:szCs w:val="32"/>
          <w:lang w:bidi="en-US"/>
        </w:rPr>
      </w:pPr>
      <w:r>
        <w:rPr>
          <w:rFonts w:hint="default" w:ascii="Times New Roman" w:hAnsi="Times New Roman" w:eastAsia="仿宋_GB2312" w:cs="Times New Roman"/>
          <w:bCs/>
          <w:kern w:val="0"/>
          <w:sz w:val="32"/>
          <w:szCs w:val="32"/>
          <w:lang w:bidi="en-US"/>
        </w:rPr>
        <w:t>区指挥部可根据辐射事故应急处置的需要，对成员单位进行调整。</w:t>
      </w:r>
    </w:p>
    <w:bookmarkEnd w:id="36"/>
    <w:bookmarkEnd w:id="39"/>
    <w:p>
      <w:pPr>
        <w:pStyle w:val="6"/>
        <w:numPr>
          <w:ilvl w:val="3"/>
          <w:numId w:val="2"/>
        </w:numPr>
        <w:autoSpaceDE/>
        <w:autoSpaceDN/>
        <w:spacing w:line="560" w:lineRule="exact"/>
        <w:ind w:left="0" w:firstLine="640"/>
        <w:jc w:val="both"/>
        <w:rPr>
          <w:rFonts w:hint="default" w:ascii="Times New Roman" w:hAnsi="Times New Roman" w:eastAsia="仿宋_GB2312" w:cs="Times New Roman"/>
          <w:sz w:val="32"/>
          <w:szCs w:val="32"/>
        </w:rPr>
      </w:pPr>
      <w:bookmarkStart w:id="41" w:name="_Toc13296"/>
      <w:bookmarkStart w:id="42" w:name="_Toc7984"/>
      <w:bookmarkStart w:id="43" w:name="_Toc18990"/>
      <w:r>
        <w:rPr>
          <w:rFonts w:hint="default" w:ascii="Times New Roman" w:hAnsi="Times New Roman" w:eastAsia="仿宋_GB2312" w:cs="Times New Roman"/>
          <w:sz w:val="32"/>
          <w:szCs w:val="32"/>
        </w:rPr>
        <w:t xml:space="preserve">  职责</w:t>
      </w:r>
      <w:bookmarkEnd w:id="41"/>
      <w:bookmarkEnd w:id="42"/>
      <w:bookmarkEnd w:id="43"/>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bookmarkStart w:id="44" w:name="OLE_LINK5"/>
      <w:r>
        <w:rPr>
          <w:rFonts w:hint="default" w:ascii="Times New Roman" w:hAnsi="Times New Roman" w:eastAsia="仿宋_GB2312" w:cs="Times New Roman"/>
          <w:kern w:val="0"/>
          <w:sz w:val="32"/>
          <w:szCs w:val="32"/>
          <w:lang w:bidi="en-US"/>
        </w:rPr>
        <w:t>（1）</w:t>
      </w:r>
      <w:r>
        <w:rPr>
          <w:rFonts w:hint="default" w:ascii="Times New Roman" w:hAnsi="Times New Roman" w:eastAsia="仿宋_GB2312" w:cs="Times New Roman"/>
          <w:sz w:val="32"/>
          <w:szCs w:val="32"/>
        </w:rPr>
        <w:t>贯彻落实市委、市政府</w:t>
      </w:r>
      <w:r>
        <w:rPr>
          <w:rFonts w:hint="default" w:ascii="Times New Roman" w:hAnsi="Times New Roman" w:eastAsia="仿宋_GB2312" w:cs="Times New Roman"/>
          <w:kern w:val="0"/>
          <w:sz w:val="32"/>
          <w:szCs w:val="32"/>
          <w:lang w:bidi="en-US"/>
        </w:rPr>
        <w:t>、市生态环境局和</w:t>
      </w:r>
      <w:r>
        <w:rPr>
          <w:rFonts w:hint="default" w:ascii="Times New Roman" w:hAnsi="Times New Roman" w:eastAsia="仿宋_GB2312" w:cs="Times New Roman"/>
          <w:sz w:val="32"/>
          <w:szCs w:val="32"/>
        </w:rPr>
        <w:t>区委、区政府</w:t>
      </w:r>
      <w:r>
        <w:rPr>
          <w:rFonts w:hint="default" w:ascii="Times New Roman" w:hAnsi="Times New Roman" w:eastAsia="仿宋_GB2312" w:cs="Times New Roman"/>
          <w:kern w:val="0"/>
          <w:sz w:val="32"/>
          <w:szCs w:val="32"/>
          <w:lang w:bidi="en-US"/>
        </w:rPr>
        <w:t>有关辐射事故应急处置工作决策部署；</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（2）负责荔湾区辖区内辐射事故应急响应工作，指挥协调一般辐射事故应急响应；</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（3）及时向区委、区政府和市辐射事故应急指挥部（以下简称“市指挥部”）报告事故应急信息；</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（4）组织区辐射事故应急成员单位和协调各有关部门做好辐射事故应急响应行动；</w:t>
      </w:r>
    </w:p>
    <w:p>
      <w:pPr>
        <w:pStyle w:val="31"/>
        <w:autoSpaceDE/>
        <w:autoSpaceDN/>
        <w:snapToGrid w:val="0"/>
        <w:spacing w:line="560" w:lineRule="exact"/>
        <w:ind w:firstLine="640" w:firstLineChars="200"/>
        <w:jc w:val="both"/>
        <w:rPr>
          <w:rFonts w:hint="default" w:ascii="Times New Roman" w:hAnsi="Times New Roman" w:cs="Times New Roman"/>
          <w:lang w:eastAsia="zh-CN"/>
        </w:rPr>
      </w:pPr>
      <w:r>
        <w:rPr>
          <w:rFonts w:hint="default" w:ascii="Times New Roman" w:hAnsi="Times New Roman" w:eastAsia="仿宋_GB2312" w:cs="Times New Roman"/>
          <w:sz w:val="32"/>
          <w:szCs w:val="32"/>
          <w:lang w:eastAsia="zh-CN"/>
        </w:rPr>
        <w:t>（5）发生辐射恐怖事件时，指挥各成员单位配合反恐部门开展应急响应工作；</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（6）做好外部支援的协调衔接和对下提供支援工作；</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（7）做好辐射事故应急信息发布、舆论引导和社会稳定维护工作。</w:t>
      </w:r>
    </w:p>
    <w:bookmarkEnd w:id="44"/>
    <w:p>
      <w:pPr>
        <w:pStyle w:val="6"/>
        <w:numPr>
          <w:ilvl w:val="3"/>
          <w:numId w:val="2"/>
        </w:numPr>
        <w:autoSpaceDE/>
        <w:autoSpaceDN/>
        <w:spacing w:line="560" w:lineRule="exact"/>
        <w:ind w:left="0" w:firstLine="64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成员单位职责</w:t>
      </w:r>
    </w:p>
    <w:p>
      <w:pPr>
        <w:numPr>
          <w:ilvl w:val="0"/>
          <w:numId w:val="3"/>
        </w:numPr>
        <w:spacing w:line="560" w:lineRule="exact"/>
        <w:ind w:firstLine="640" w:firstLineChars="200"/>
        <w:contextualSpacing/>
        <w:rPr>
          <w:rFonts w:hint="default" w:ascii="Times New Roman" w:hAnsi="Times New Roman" w:eastAsia="仿宋_GB2312" w:cs="Times New Roman"/>
          <w:sz w:val="32"/>
          <w:szCs w:val="32"/>
          <w:lang w:bidi="en-US"/>
        </w:rPr>
      </w:pPr>
      <w:bookmarkStart w:id="45" w:name="OLE_LINK6"/>
      <w:r>
        <w:rPr>
          <w:rFonts w:hint="default" w:ascii="Times New Roman" w:hAnsi="Times New Roman" w:eastAsia="仿宋_GB2312" w:cs="Times New Roman"/>
          <w:sz w:val="32"/>
          <w:szCs w:val="32"/>
        </w:rPr>
        <w:t>区委宣传部</w:t>
      </w:r>
      <w:bookmarkStart w:id="46" w:name="_Hlk206424707"/>
      <w:bookmarkStart w:id="47" w:name="_Hlk206424751"/>
      <w:r>
        <w:rPr>
          <w:rFonts w:hint="default" w:ascii="Times New Roman" w:hAnsi="Times New Roman" w:eastAsia="仿宋_GB2312" w:cs="Times New Roman"/>
          <w:sz w:val="32"/>
          <w:szCs w:val="32"/>
        </w:rPr>
        <w:t>（区委网信办）</w:t>
      </w:r>
      <w:bookmarkEnd w:id="46"/>
      <w:r>
        <w:rPr>
          <w:rFonts w:hint="default" w:ascii="Times New Roman" w:hAnsi="Times New Roman" w:eastAsia="仿宋_GB2312" w:cs="Times New Roman"/>
          <w:sz w:val="32"/>
          <w:szCs w:val="32"/>
        </w:rPr>
        <w:t>：</w:t>
      </w:r>
      <w:r>
        <w:rPr>
          <w:rFonts w:hint="default" w:ascii="Times New Roman" w:hAnsi="Times New Roman" w:eastAsia="仿宋_GB2312" w:cs="Times New Roman"/>
          <w:spacing w:val="-4"/>
          <w:sz w:val="32"/>
          <w:szCs w:val="32"/>
        </w:rPr>
        <w:t>负责统筹协调辐射事故的宣传报道和舆论引导工作；指导开展区辐射事故应急信息发布；协调新闻媒体做好宣传报道</w:t>
      </w:r>
      <w:bookmarkEnd w:id="45"/>
      <w:r>
        <w:rPr>
          <w:rFonts w:hint="default" w:ascii="Times New Roman" w:hAnsi="Times New Roman" w:eastAsia="仿宋_GB2312" w:cs="Times New Roman"/>
          <w:spacing w:val="-4"/>
          <w:sz w:val="32"/>
          <w:szCs w:val="32"/>
        </w:rPr>
        <w:t>；</w:t>
      </w:r>
      <w:bookmarkStart w:id="48" w:name="OLE_LINK7"/>
      <w:r>
        <w:rPr>
          <w:rFonts w:hint="default" w:ascii="Times New Roman" w:hAnsi="Times New Roman" w:eastAsia="仿宋_GB2312" w:cs="Times New Roman"/>
          <w:sz w:val="32"/>
          <w:szCs w:val="32"/>
          <w:lang w:bidi="en-US"/>
        </w:rPr>
        <w:t>统筹、协调、指导辐射事故的网络舆情监测、搜集、研判、处置工作，协同区公安分局及相关责任部门加强网络信息传播秩序管理，打击网络谣言等不良信息，指导配合做好舆论引导工作</w:t>
      </w:r>
      <w:bookmarkEnd w:id="47"/>
      <w:bookmarkEnd w:id="48"/>
      <w:r>
        <w:rPr>
          <w:rFonts w:hint="default" w:ascii="Times New Roman" w:hAnsi="Times New Roman" w:eastAsia="仿宋_GB2312" w:cs="Times New Roman"/>
          <w:sz w:val="32"/>
          <w:szCs w:val="32"/>
          <w:lang w:bidi="en-US"/>
        </w:rPr>
        <w:t>。</w:t>
      </w:r>
    </w:p>
    <w:p>
      <w:pPr>
        <w:numPr>
          <w:ilvl w:val="0"/>
          <w:numId w:val="3"/>
        </w:numPr>
        <w:spacing w:line="560" w:lineRule="exact"/>
        <w:ind w:firstLine="640" w:firstLineChars="200"/>
        <w:contextualSpacing/>
        <w:rPr>
          <w:rFonts w:hint="default" w:ascii="Times New Roman" w:hAnsi="Times New Roman" w:eastAsia="仿宋_GB2312" w:cs="Times New Roman"/>
          <w:sz w:val="32"/>
          <w:szCs w:val="32"/>
        </w:rPr>
      </w:pPr>
      <w:bookmarkStart w:id="49" w:name="OLE_LINK9"/>
      <w:r>
        <w:rPr>
          <w:rFonts w:hint="default" w:ascii="Times New Roman" w:hAnsi="Times New Roman" w:eastAsia="仿宋_GB2312" w:cs="Times New Roman"/>
          <w:sz w:val="32"/>
          <w:szCs w:val="32"/>
        </w:rPr>
        <w:t>区科工信局：负责协调电力部门保障突发环境事件应急救援正常用电；负责组织、协调电信运营企业为突发事件处置提供应急通信保障工作</w:t>
      </w:r>
      <w:bookmarkEnd w:id="49"/>
      <w:r>
        <w:rPr>
          <w:rFonts w:hint="default" w:ascii="Times New Roman" w:hAnsi="Times New Roman" w:eastAsia="仿宋_GB2312" w:cs="Times New Roman"/>
          <w:sz w:val="32"/>
          <w:szCs w:val="32"/>
        </w:rPr>
        <w:t>。</w:t>
      </w:r>
    </w:p>
    <w:p>
      <w:pPr>
        <w:numPr>
          <w:ilvl w:val="0"/>
          <w:numId w:val="3"/>
        </w:numPr>
        <w:spacing w:line="560" w:lineRule="exact"/>
        <w:ind w:firstLine="640" w:firstLineChars="200"/>
        <w:contextualSpacing/>
        <w:rPr>
          <w:rFonts w:hint="default" w:ascii="Times New Roman" w:hAnsi="Times New Roman" w:eastAsia="仿宋_GB2312" w:cs="Times New Roman"/>
          <w:sz w:val="32"/>
          <w:szCs w:val="32"/>
        </w:rPr>
      </w:pPr>
      <w:bookmarkStart w:id="50" w:name="OLE_LINK10"/>
      <w:r>
        <w:rPr>
          <w:rFonts w:hint="default" w:ascii="Times New Roman" w:hAnsi="Times New Roman" w:eastAsia="仿宋_GB2312" w:cs="Times New Roman"/>
          <w:sz w:val="32"/>
          <w:szCs w:val="32"/>
        </w:rPr>
        <w:t>区民政局：负责指导事发地街道将符合受辐射事故影响条件的群众纳入基本生活救助和指导事件救助捐赠工作</w:t>
      </w:r>
      <w:bookmarkEnd w:id="50"/>
      <w:r>
        <w:rPr>
          <w:rFonts w:hint="default" w:ascii="Times New Roman" w:hAnsi="Times New Roman" w:eastAsia="仿宋_GB2312" w:cs="Times New Roman"/>
          <w:sz w:val="32"/>
          <w:szCs w:val="32"/>
        </w:rPr>
        <w:t>。</w:t>
      </w:r>
    </w:p>
    <w:p>
      <w:pPr>
        <w:numPr>
          <w:ilvl w:val="0"/>
          <w:numId w:val="3"/>
        </w:numPr>
        <w:spacing w:line="560" w:lineRule="exact"/>
        <w:ind w:firstLine="640" w:firstLineChars="200"/>
        <w:contextualSpacing/>
        <w:rPr>
          <w:rFonts w:hint="default" w:ascii="Times New Roman" w:hAnsi="Times New Roman" w:eastAsia="仿宋_GB2312" w:cs="Times New Roman"/>
          <w:sz w:val="32"/>
          <w:szCs w:val="32"/>
        </w:rPr>
      </w:pPr>
      <w:bookmarkStart w:id="51" w:name="OLE_LINK11"/>
      <w:r>
        <w:rPr>
          <w:rFonts w:hint="default" w:ascii="Times New Roman" w:hAnsi="Times New Roman" w:eastAsia="仿宋_GB2312" w:cs="Times New Roman"/>
          <w:sz w:val="32"/>
          <w:szCs w:val="32"/>
        </w:rPr>
        <w:t>区财政局：负责应急资金的保障；对应急资金使用进行财政监督</w:t>
      </w:r>
      <w:bookmarkEnd w:id="51"/>
      <w:r>
        <w:rPr>
          <w:rFonts w:hint="default" w:ascii="Times New Roman" w:hAnsi="Times New Roman" w:eastAsia="仿宋_GB2312" w:cs="Times New Roman"/>
          <w:sz w:val="32"/>
          <w:szCs w:val="32"/>
        </w:rPr>
        <w:t>。</w:t>
      </w:r>
    </w:p>
    <w:p>
      <w:pPr>
        <w:numPr>
          <w:ilvl w:val="0"/>
          <w:numId w:val="3"/>
        </w:numPr>
        <w:spacing w:line="560" w:lineRule="exact"/>
        <w:ind w:firstLine="640" w:firstLineChars="200"/>
        <w:contextualSpacing/>
        <w:rPr>
          <w:rFonts w:hint="default" w:ascii="Times New Roman" w:hAnsi="Times New Roman" w:eastAsia="仿宋_GB2312" w:cs="Times New Roman"/>
          <w:sz w:val="32"/>
          <w:szCs w:val="32"/>
        </w:rPr>
      </w:pPr>
      <w:bookmarkStart w:id="52" w:name="OLE_LINK12"/>
      <w:r>
        <w:rPr>
          <w:rFonts w:hint="default" w:ascii="Times New Roman" w:hAnsi="Times New Roman" w:eastAsia="仿宋_GB2312" w:cs="Times New Roman"/>
          <w:sz w:val="32"/>
          <w:szCs w:val="32"/>
        </w:rPr>
        <w:t>区住房建设园林局（区交通运输局）：组织协调应急处置所需的道路运输保障力量，在辐射事故应急情况下，配合区指挥部完成保障公众撤离和应急救援物资运输工作</w:t>
      </w:r>
      <w:bookmarkEnd w:id="52"/>
      <w:r>
        <w:rPr>
          <w:rFonts w:hint="default" w:ascii="Times New Roman" w:hAnsi="Times New Roman" w:eastAsia="仿宋_GB2312" w:cs="Times New Roman"/>
          <w:sz w:val="32"/>
          <w:szCs w:val="32"/>
        </w:rPr>
        <w:t>。</w:t>
      </w:r>
    </w:p>
    <w:p>
      <w:pPr>
        <w:numPr>
          <w:ilvl w:val="0"/>
          <w:numId w:val="3"/>
        </w:numPr>
        <w:spacing w:line="560" w:lineRule="exact"/>
        <w:ind w:firstLine="640" w:firstLineChars="200"/>
        <w:contextualSpacing/>
        <w:rPr>
          <w:rFonts w:hint="default" w:ascii="Times New Roman" w:hAnsi="Times New Roman" w:eastAsia="仿宋_GB2312" w:cs="Times New Roman"/>
          <w:sz w:val="32"/>
          <w:szCs w:val="32"/>
        </w:rPr>
      </w:pPr>
      <w:bookmarkStart w:id="53" w:name="OLE_LINK13"/>
      <w:r>
        <w:rPr>
          <w:rFonts w:hint="default" w:ascii="Times New Roman" w:hAnsi="Times New Roman" w:eastAsia="仿宋_GB2312" w:cs="Times New Roman"/>
          <w:sz w:val="32"/>
          <w:szCs w:val="32"/>
        </w:rPr>
        <w:t>区水务局：负责指导、督促供排水相关企业保障应急期间城市公共供水、排水等水务设施正常运行，配合市生态环境局荔湾分局对城市公共供水、排水受到的污染进行检测和处置</w:t>
      </w:r>
      <w:bookmarkEnd w:id="53"/>
      <w:r>
        <w:rPr>
          <w:rFonts w:hint="default" w:ascii="Times New Roman" w:hAnsi="Times New Roman" w:eastAsia="仿宋_GB2312" w:cs="Times New Roman"/>
          <w:sz w:val="32"/>
          <w:szCs w:val="32"/>
        </w:rPr>
        <w:t>。</w:t>
      </w:r>
    </w:p>
    <w:p>
      <w:pPr>
        <w:numPr>
          <w:ilvl w:val="0"/>
          <w:numId w:val="3"/>
        </w:numPr>
        <w:spacing w:line="560" w:lineRule="exact"/>
        <w:ind w:firstLine="640" w:firstLineChars="200"/>
        <w:contextualSpacing/>
        <w:rPr>
          <w:rFonts w:hint="default" w:ascii="Times New Roman" w:hAnsi="Times New Roman" w:eastAsia="仿宋_GB2312" w:cs="Times New Roman"/>
          <w:sz w:val="32"/>
          <w:szCs w:val="32"/>
        </w:rPr>
      </w:pPr>
      <w:bookmarkStart w:id="54" w:name="OLE_LINK14"/>
      <w:r>
        <w:rPr>
          <w:rFonts w:hint="default" w:ascii="Times New Roman" w:hAnsi="Times New Roman" w:eastAsia="仿宋_GB2312" w:cs="Times New Roman"/>
          <w:sz w:val="32"/>
          <w:szCs w:val="32"/>
        </w:rPr>
        <w:t>区农业农村局：负责应急期间本地农产品可能受到污染情况的检查，协助市生态环境局荔湾分局对受到污染的农田和农业用地土壤进行恢复，对可能受到辐射污染的农副产品等进行检测并组织力量妥善处理</w:t>
      </w:r>
      <w:bookmarkEnd w:id="54"/>
      <w:r>
        <w:rPr>
          <w:rFonts w:hint="default" w:ascii="Times New Roman" w:hAnsi="Times New Roman" w:eastAsia="仿宋_GB2312" w:cs="Times New Roman"/>
          <w:sz w:val="32"/>
          <w:szCs w:val="32"/>
        </w:rPr>
        <w:t>。</w:t>
      </w:r>
    </w:p>
    <w:p>
      <w:pPr>
        <w:numPr>
          <w:ilvl w:val="0"/>
          <w:numId w:val="3"/>
        </w:numPr>
        <w:spacing w:line="560" w:lineRule="exact"/>
        <w:ind w:firstLine="640" w:firstLineChars="200"/>
        <w:contextualSpacing/>
        <w:rPr>
          <w:rFonts w:hint="default" w:ascii="Times New Roman" w:hAnsi="Times New Roman" w:eastAsia="仿宋_GB2312" w:cs="Times New Roman"/>
          <w:sz w:val="32"/>
          <w:szCs w:val="32"/>
        </w:rPr>
      </w:pPr>
      <w:bookmarkStart w:id="55" w:name="OLE_LINK15"/>
      <w:r>
        <w:rPr>
          <w:rFonts w:hint="default" w:ascii="Times New Roman" w:hAnsi="Times New Roman" w:eastAsia="仿宋_GB2312" w:cs="Times New Roman"/>
          <w:sz w:val="32"/>
          <w:szCs w:val="32"/>
        </w:rPr>
        <w:t>区卫生健康局：负责辐射事故的卫生应急救援，包括伤员救治、受污染人员处理、受照射人员的剂量估算和健康检测；开展饮用水应急监测；对应急现场工作人员提出个人防护意见，对公众受到的辐射剂量进行检测和调查，指导公众做好个人防护</w:t>
      </w:r>
      <w:bookmarkEnd w:id="55"/>
      <w:r>
        <w:rPr>
          <w:rFonts w:hint="default" w:ascii="Times New Roman" w:hAnsi="Times New Roman" w:eastAsia="仿宋_GB2312" w:cs="Times New Roman"/>
          <w:sz w:val="32"/>
          <w:szCs w:val="32"/>
        </w:rPr>
        <w:t>。</w:t>
      </w:r>
    </w:p>
    <w:p>
      <w:pPr>
        <w:numPr>
          <w:ilvl w:val="0"/>
          <w:numId w:val="3"/>
        </w:numPr>
        <w:spacing w:line="560" w:lineRule="exact"/>
        <w:ind w:firstLine="640" w:firstLineChars="200"/>
        <w:contextualSpacing/>
        <w:rPr>
          <w:rFonts w:hint="default" w:ascii="Times New Roman" w:hAnsi="Times New Roman" w:eastAsia="仿宋_GB2312" w:cs="Times New Roman"/>
          <w:sz w:val="32"/>
          <w:szCs w:val="32"/>
        </w:rPr>
      </w:pPr>
      <w:bookmarkStart w:id="56" w:name="OLE_LINK16"/>
      <w:r>
        <w:rPr>
          <w:rFonts w:hint="default" w:ascii="Times New Roman" w:hAnsi="Times New Roman" w:eastAsia="仿宋_GB2312" w:cs="Times New Roman"/>
          <w:sz w:val="32"/>
          <w:szCs w:val="32"/>
        </w:rPr>
        <w:t>区应急管理局：会同生态环境部门指导相关部门和街道做好安全生产、自然灾害类事件造成的辐射应急准备工作；配合开展受辐射事故影响区域群众的转移工作</w:t>
      </w:r>
      <w:bookmarkEnd w:id="56"/>
      <w:r>
        <w:rPr>
          <w:rFonts w:hint="default" w:ascii="Times New Roman" w:hAnsi="Times New Roman" w:eastAsia="仿宋_GB2312" w:cs="Times New Roman"/>
          <w:sz w:val="32"/>
          <w:szCs w:val="32"/>
        </w:rPr>
        <w:t>。</w:t>
      </w:r>
    </w:p>
    <w:p>
      <w:pPr>
        <w:numPr>
          <w:ilvl w:val="0"/>
          <w:numId w:val="3"/>
        </w:numPr>
        <w:spacing w:line="560" w:lineRule="exact"/>
        <w:ind w:firstLine="640" w:firstLineChars="200"/>
        <w:contextualSpacing/>
        <w:rPr>
          <w:rFonts w:hint="default" w:ascii="Times New Roman" w:hAnsi="Times New Roman" w:cs="Times New Roman"/>
        </w:rPr>
      </w:pPr>
      <w:bookmarkStart w:id="57" w:name="OLE_LINK17"/>
      <w:r>
        <w:rPr>
          <w:rFonts w:hint="default" w:ascii="Times New Roman" w:hAnsi="Times New Roman" w:eastAsia="仿宋_GB2312" w:cs="Times New Roman"/>
          <w:sz w:val="32"/>
          <w:szCs w:val="32"/>
        </w:rPr>
        <w:t>区市场监管局：负责辐射事故受影响地区生活必需品的市场监管；负责或指导事故发生地食品安全的应急处置和调查处理工作</w:t>
      </w:r>
      <w:bookmarkEnd w:id="57"/>
      <w:r>
        <w:rPr>
          <w:rFonts w:hint="default" w:ascii="Times New Roman" w:hAnsi="Times New Roman" w:eastAsia="仿宋_GB2312" w:cs="Times New Roman"/>
          <w:sz w:val="32"/>
          <w:szCs w:val="32"/>
        </w:rPr>
        <w:t>。</w:t>
      </w:r>
    </w:p>
    <w:p>
      <w:pPr>
        <w:numPr>
          <w:ilvl w:val="0"/>
          <w:numId w:val="3"/>
        </w:numPr>
        <w:spacing w:line="560" w:lineRule="exact"/>
        <w:ind w:firstLine="640" w:firstLineChars="200"/>
        <w:contextualSpacing/>
        <w:rPr>
          <w:rFonts w:hint="default" w:ascii="Times New Roman" w:hAnsi="Times New Roman" w:eastAsia="仿宋_GB2312" w:cs="Times New Roman"/>
          <w:sz w:val="32"/>
          <w:szCs w:val="32"/>
        </w:rPr>
      </w:pPr>
      <w:bookmarkStart w:id="58" w:name="OLE_LINK18"/>
      <w:r>
        <w:rPr>
          <w:rFonts w:hint="default" w:ascii="Times New Roman" w:hAnsi="Times New Roman" w:eastAsia="仿宋_GB2312" w:cs="Times New Roman"/>
          <w:sz w:val="32"/>
          <w:szCs w:val="32"/>
        </w:rPr>
        <w:t>区公安分局：负责隔离和封锁事故现场；负责交通管制和维持社会治安；协助打击辐射事故信息造谣等违法行为；负责丢失、被盗放射源的立案侦查和追缴；参与辐射事故的应急处置行动和事故调查处理等工作；负责辐射相关的恐怖事件的防范和处置等</w:t>
      </w:r>
      <w:bookmarkEnd w:id="58"/>
      <w:r>
        <w:rPr>
          <w:rFonts w:hint="default" w:ascii="Times New Roman" w:hAnsi="Times New Roman" w:eastAsia="仿宋_GB2312" w:cs="Times New Roman"/>
          <w:sz w:val="32"/>
          <w:szCs w:val="32"/>
        </w:rPr>
        <w:t>。</w:t>
      </w:r>
    </w:p>
    <w:p>
      <w:pPr>
        <w:numPr>
          <w:ilvl w:val="0"/>
          <w:numId w:val="3"/>
        </w:numPr>
        <w:spacing w:line="560" w:lineRule="exact"/>
        <w:ind w:firstLine="640" w:firstLineChars="200"/>
        <w:contextualSpacing/>
        <w:rPr>
          <w:rFonts w:hint="default" w:ascii="Times New Roman" w:hAnsi="Times New Roman" w:eastAsia="仿宋_GB2312" w:cs="Times New Roman"/>
          <w:sz w:val="32"/>
          <w:szCs w:val="32"/>
        </w:rPr>
      </w:pPr>
      <w:bookmarkStart w:id="59" w:name="OLE_LINK19"/>
      <w:r>
        <w:rPr>
          <w:rFonts w:hint="default" w:ascii="Times New Roman" w:hAnsi="Times New Roman" w:eastAsia="仿宋_GB2312" w:cs="Times New Roman"/>
          <w:sz w:val="32"/>
          <w:szCs w:val="32"/>
        </w:rPr>
        <w:t>市生态环境局荔湾分局：</w:t>
      </w:r>
      <w:r>
        <w:rPr>
          <w:rFonts w:hint="default" w:ascii="Times New Roman" w:hAnsi="Times New Roman" w:eastAsia="仿宋_GB2312" w:cs="Times New Roman"/>
          <w:sz w:val="32"/>
          <w:szCs w:val="32"/>
          <w:lang w:val="zh-CN"/>
        </w:rPr>
        <w:t>负责区指挥部的日常工作及与相关部门的协调联络工作；负责组织协调辐射环境监测和事故处置情况的实时报告、总结报告，对辐射事故进行调查处理；</w:t>
      </w:r>
      <w:r>
        <w:rPr>
          <w:rFonts w:hint="default" w:ascii="Times New Roman" w:hAnsi="Times New Roman" w:eastAsia="仿宋_GB2312" w:cs="Times New Roman"/>
          <w:sz w:val="32"/>
          <w:szCs w:val="32"/>
        </w:rPr>
        <w:t>协调解决辐射事故有关应急装备、物资的筹集准备工作；对事故产生的放射性废水、废气和固体废弃物等提出处理建议；协助公安部门监控追缴丢失、被盗的放射源；负责制定、修订本预案并按照程序报批；开展能力建设，落实辐射事故应急准备，维持应急响应能力；组织辐射事故应急培训、演练；配合开展辐射事故应急相关的公众宣传、信息公开和舆论引导工作；建立辐射事故应急专家组，组织专家组成员开展应急救援咨询服务工作</w:t>
      </w:r>
      <w:bookmarkEnd w:id="59"/>
      <w:r>
        <w:rPr>
          <w:rFonts w:hint="default" w:ascii="Times New Roman" w:hAnsi="Times New Roman" w:eastAsia="仿宋_GB2312" w:cs="Times New Roman"/>
          <w:sz w:val="32"/>
          <w:szCs w:val="32"/>
        </w:rPr>
        <w:t>。</w:t>
      </w:r>
    </w:p>
    <w:p>
      <w:pPr>
        <w:numPr>
          <w:ilvl w:val="0"/>
          <w:numId w:val="3"/>
        </w:numPr>
        <w:spacing w:line="560" w:lineRule="exact"/>
        <w:ind w:firstLine="640" w:firstLineChars="200"/>
        <w:contextualSpacing/>
        <w:rPr>
          <w:rFonts w:hint="default" w:ascii="Times New Roman" w:hAnsi="Times New Roman" w:eastAsia="仿宋_GB2312" w:cs="Times New Roman"/>
          <w:sz w:val="32"/>
          <w:szCs w:val="32"/>
        </w:rPr>
      </w:pPr>
      <w:bookmarkStart w:id="60" w:name="OLE_LINK20"/>
      <w:r>
        <w:rPr>
          <w:rFonts w:hint="default" w:ascii="Times New Roman" w:hAnsi="Times New Roman" w:eastAsia="仿宋_GB2312" w:cs="Times New Roman"/>
          <w:sz w:val="32"/>
          <w:szCs w:val="32"/>
        </w:rPr>
        <w:t>各街道办事处：按照区指挥部的指示和要求，负责协助区生态环境、公安、卫生健康等主管部门做好辐射事故现场的各项保障工作</w:t>
      </w:r>
      <w:bookmarkEnd w:id="60"/>
      <w:r>
        <w:rPr>
          <w:rFonts w:hint="default" w:ascii="Times New Roman" w:hAnsi="Times New Roman" w:eastAsia="仿宋_GB2312" w:cs="Times New Roman"/>
          <w:sz w:val="32"/>
          <w:szCs w:val="32"/>
        </w:rPr>
        <w:t>。</w:t>
      </w:r>
    </w:p>
    <w:p>
      <w:pPr>
        <w:numPr>
          <w:ilvl w:val="0"/>
          <w:numId w:val="3"/>
        </w:numPr>
        <w:spacing w:line="560" w:lineRule="exact"/>
        <w:ind w:firstLine="640" w:firstLineChars="200"/>
        <w:contextualSpacing/>
        <w:rPr>
          <w:rFonts w:hint="default" w:ascii="Times New Roman" w:hAnsi="Times New Roman" w:eastAsia="仿宋_GB2312" w:cs="Times New Roman"/>
          <w:sz w:val="32"/>
          <w:szCs w:val="32"/>
        </w:rPr>
      </w:pPr>
      <w:bookmarkStart w:id="61" w:name="OLE_LINK21"/>
      <w:r>
        <w:rPr>
          <w:rFonts w:hint="default" w:ascii="Times New Roman" w:hAnsi="Times New Roman" w:eastAsia="仿宋_GB2312" w:cs="Times New Roman"/>
          <w:sz w:val="32"/>
          <w:szCs w:val="32"/>
        </w:rPr>
        <w:t>荔湾交管大队：负责维持疏导交通和实施道路管制，保障应急救援交通顺畅</w:t>
      </w:r>
      <w:bookmarkEnd w:id="61"/>
      <w:r>
        <w:rPr>
          <w:rFonts w:hint="default" w:ascii="Times New Roman" w:hAnsi="Times New Roman" w:eastAsia="仿宋_GB2312" w:cs="Times New Roman"/>
          <w:sz w:val="32"/>
          <w:szCs w:val="32"/>
        </w:rPr>
        <w:t>。</w:t>
      </w:r>
    </w:p>
    <w:p>
      <w:pPr>
        <w:numPr>
          <w:ilvl w:val="0"/>
          <w:numId w:val="3"/>
        </w:numPr>
        <w:spacing w:line="560" w:lineRule="exact"/>
        <w:ind w:firstLine="640" w:firstLineChars="200"/>
        <w:contextualSpacing/>
        <w:rPr>
          <w:rFonts w:hint="default" w:ascii="Times New Roman" w:hAnsi="Times New Roman" w:eastAsia="仿宋_GB2312" w:cs="Times New Roman"/>
          <w:sz w:val="32"/>
          <w:szCs w:val="32"/>
        </w:rPr>
      </w:pPr>
      <w:bookmarkStart w:id="62" w:name="OLE_LINK22"/>
      <w:r>
        <w:rPr>
          <w:rFonts w:hint="default" w:ascii="Times New Roman" w:hAnsi="Times New Roman" w:eastAsia="仿宋_GB2312" w:cs="Times New Roman"/>
          <w:sz w:val="32"/>
          <w:szCs w:val="32"/>
        </w:rPr>
        <w:t>区消防大队：参与辐射事故应急救援、火灾扑救等工作，做好辐射事故消防救援准备和培训工作</w:t>
      </w:r>
      <w:bookmarkEnd w:id="62"/>
      <w:r>
        <w:rPr>
          <w:rFonts w:hint="default" w:ascii="Times New Roman" w:hAnsi="Times New Roman" w:eastAsia="仿宋_GB2312" w:cs="Times New Roman"/>
          <w:sz w:val="32"/>
          <w:szCs w:val="32"/>
        </w:rPr>
        <w:t>。</w:t>
      </w:r>
    </w:p>
    <w:p>
      <w:pPr>
        <w:numPr>
          <w:ilvl w:val="0"/>
          <w:numId w:val="3"/>
        </w:numPr>
        <w:spacing w:line="560" w:lineRule="exact"/>
        <w:ind w:firstLine="640" w:firstLineChars="200"/>
        <w:contextualSpacing/>
        <w:rPr>
          <w:rFonts w:hint="default" w:ascii="Times New Roman" w:hAnsi="Times New Roman" w:eastAsia="仿宋_GB2312" w:cs="Times New Roman"/>
          <w:sz w:val="32"/>
          <w:szCs w:val="32"/>
        </w:rPr>
      </w:pPr>
      <w:bookmarkStart w:id="63" w:name="OLE_LINK23"/>
      <w:r>
        <w:rPr>
          <w:rFonts w:hint="default" w:ascii="Times New Roman" w:hAnsi="Times New Roman" w:eastAsia="仿宋_GB2312" w:cs="Times New Roman"/>
          <w:sz w:val="32"/>
          <w:szCs w:val="32"/>
        </w:rPr>
        <w:t>区气象局：负责开展实时气象监测，及时向区指挥部提供气象信息，预报、预测辐射扩散的气象条件</w:t>
      </w:r>
      <w:bookmarkEnd w:id="63"/>
      <w:r>
        <w:rPr>
          <w:rFonts w:hint="default" w:ascii="Times New Roman" w:hAnsi="Times New Roman" w:eastAsia="仿宋_GB2312" w:cs="Times New Roman"/>
          <w:sz w:val="32"/>
          <w:szCs w:val="32"/>
        </w:rPr>
        <w:t>。</w:t>
      </w:r>
    </w:p>
    <w:p>
      <w:pPr>
        <w:pStyle w:val="5"/>
        <w:numPr>
          <w:ilvl w:val="2"/>
          <w:numId w:val="2"/>
        </w:numPr>
        <w:spacing w:before="0" w:after="0" w:line="560" w:lineRule="exact"/>
        <w:ind w:left="0" w:firstLine="640" w:firstLineChars="200"/>
        <w:rPr>
          <w:rFonts w:hint="default" w:ascii="Times New Roman" w:hAnsi="Times New Roman" w:eastAsia="仿宋_GB2312" w:cs="Times New Roman"/>
          <w:b w:val="0"/>
          <w:bCs/>
          <w:szCs w:val="32"/>
        </w:rPr>
      </w:pPr>
      <w:r>
        <w:rPr>
          <w:rFonts w:hint="default" w:ascii="Times New Roman" w:hAnsi="Times New Roman" w:eastAsia="仿宋_GB2312" w:cs="Times New Roman"/>
          <w:b w:val="0"/>
          <w:bCs/>
          <w:szCs w:val="32"/>
        </w:rPr>
        <w:t xml:space="preserve"> </w:t>
      </w:r>
      <w:bookmarkStart w:id="64" w:name="_Toc215170926"/>
      <w:r>
        <w:rPr>
          <w:rFonts w:hint="default" w:ascii="Times New Roman" w:hAnsi="Times New Roman" w:eastAsia="仿宋_GB2312" w:cs="Times New Roman"/>
          <w:b w:val="0"/>
          <w:bCs/>
          <w:szCs w:val="32"/>
        </w:rPr>
        <w:t>应急指挥部办公室</w:t>
      </w:r>
      <w:bookmarkEnd w:id="64"/>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bookmarkStart w:id="65" w:name="OLE_LINK26"/>
      <w:r>
        <w:rPr>
          <w:rFonts w:hint="default" w:ascii="Times New Roman" w:hAnsi="Times New Roman" w:eastAsia="仿宋_GB2312" w:cs="Times New Roman"/>
          <w:kern w:val="0"/>
          <w:sz w:val="32"/>
          <w:szCs w:val="32"/>
          <w:lang w:bidi="en-US"/>
        </w:rPr>
        <w:t>区辐射事故应急指挥部办公室设在市生态环境局荔湾分局</w:t>
      </w:r>
      <w:r>
        <w:rPr>
          <w:rFonts w:hint="default" w:ascii="Times New Roman" w:hAnsi="Times New Roman" w:eastAsia="仿宋_GB2312" w:cs="Times New Roman"/>
          <w:sz w:val="32"/>
          <w:szCs w:val="32"/>
        </w:rPr>
        <w:t>（以下简称“区应急办”）</w:t>
      </w:r>
      <w:r>
        <w:rPr>
          <w:rFonts w:hint="default" w:ascii="Times New Roman" w:hAnsi="Times New Roman" w:eastAsia="仿宋_GB2312" w:cs="Times New Roman"/>
          <w:kern w:val="0"/>
          <w:sz w:val="32"/>
          <w:szCs w:val="32"/>
          <w:lang w:bidi="en-US"/>
        </w:rPr>
        <w:t>，办公室主任由市生态环境局荔湾分局局长兼任。</w:t>
      </w:r>
      <w:r>
        <w:rPr>
          <w:rFonts w:hint="default" w:ascii="Times New Roman" w:hAnsi="Times New Roman" w:eastAsia="仿宋_GB2312" w:cs="Times New Roman"/>
          <w:sz w:val="32"/>
          <w:szCs w:val="32"/>
        </w:rPr>
        <w:t>在辐射事故应急响应工作有需要时，协调区成员单位派员参加</w:t>
      </w:r>
      <w:bookmarkEnd w:id="65"/>
      <w:r>
        <w:rPr>
          <w:rFonts w:hint="default" w:ascii="Times New Roman" w:hAnsi="Times New Roman" w:eastAsia="仿宋_GB2312" w:cs="Times New Roman"/>
          <w:sz w:val="32"/>
          <w:szCs w:val="32"/>
        </w:rPr>
        <w:t>。区应急办</w:t>
      </w:r>
      <w:r>
        <w:rPr>
          <w:rFonts w:hint="default" w:ascii="Times New Roman" w:hAnsi="Times New Roman" w:eastAsia="仿宋_GB2312" w:cs="Times New Roman"/>
          <w:kern w:val="0"/>
          <w:sz w:val="32"/>
          <w:szCs w:val="32"/>
          <w:lang w:bidi="en-US"/>
        </w:rPr>
        <w:t>主要职责：</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（1）负责辐射事故应急信息的接收，及时向市指挥部和区委、区政府报告事故情况；</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（2）负责协调市指挥部对区辐射事故相关救援工作；</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（3）贯彻落实区指挥部的部署要求，协调区指挥部各成员单位和辖区辐射事故指挥机构参与应急响应和处置工作；</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（4）组织编写处理结果报告等；</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（5）负责辐射事故日常应急准备工作；</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（6）组织开展辐射事故救援培训、应急演练和交流；</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（7）编制和修订《广州市荔湾区辐射事故应急预案》；</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（8）负责区级辐射事故应急工作日常值班；</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（9）承担区指挥部交办的其他工作。</w:t>
      </w:r>
    </w:p>
    <w:p>
      <w:pPr>
        <w:pStyle w:val="5"/>
        <w:numPr>
          <w:ilvl w:val="2"/>
          <w:numId w:val="2"/>
        </w:numPr>
        <w:spacing w:before="0" w:after="0" w:line="560" w:lineRule="exact"/>
        <w:ind w:left="0" w:firstLine="640" w:firstLineChars="200"/>
        <w:rPr>
          <w:rFonts w:hint="default" w:ascii="Times New Roman" w:hAnsi="Times New Roman" w:eastAsia="仿宋_GB2312" w:cs="Times New Roman"/>
          <w:b w:val="0"/>
          <w:bCs/>
          <w:szCs w:val="32"/>
        </w:rPr>
      </w:pPr>
      <w:r>
        <w:rPr>
          <w:rFonts w:hint="default" w:ascii="Times New Roman" w:hAnsi="Times New Roman" w:eastAsia="仿宋_GB2312" w:cs="Times New Roman"/>
          <w:b w:val="0"/>
          <w:bCs/>
          <w:szCs w:val="32"/>
        </w:rPr>
        <w:t xml:space="preserve"> </w:t>
      </w:r>
      <w:bookmarkStart w:id="66" w:name="_Toc215170927"/>
      <w:r>
        <w:rPr>
          <w:rFonts w:hint="default" w:ascii="Times New Roman" w:hAnsi="Times New Roman" w:eastAsia="仿宋_GB2312" w:cs="Times New Roman"/>
          <w:b w:val="0"/>
          <w:bCs/>
          <w:szCs w:val="32"/>
        </w:rPr>
        <w:t>应急工作组</w:t>
      </w:r>
      <w:bookmarkEnd w:id="66"/>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sz w:val="32"/>
          <w:szCs w:val="32"/>
        </w:rPr>
        <w:t>区应急办</w:t>
      </w:r>
      <w:r>
        <w:rPr>
          <w:rFonts w:hint="default" w:ascii="Times New Roman" w:hAnsi="Times New Roman" w:eastAsia="仿宋_GB2312" w:cs="Times New Roman"/>
          <w:kern w:val="0"/>
          <w:sz w:val="32"/>
          <w:szCs w:val="32"/>
          <w:lang w:bidi="en-US"/>
        </w:rPr>
        <w:t>根据工作需要，成立区辐射事故应急工作组。下设</w:t>
      </w:r>
      <w:bookmarkStart w:id="67" w:name="OLE_LINK27"/>
      <w:r>
        <w:rPr>
          <w:rFonts w:hint="default" w:ascii="Times New Roman" w:hAnsi="Times New Roman" w:eastAsia="仿宋_GB2312" w:cs="Times New Roman"/>
          <w:kern w:val="0"/>
          <w:sz w:val="32"/>
          <w:szCs w:val="32"/>
          <w:lang w:bidi="en-US"/>
        </w:rPr>
        <w:t>舆情信息组、救援处置组、现场监测组、医疗救护组、事故调查组、安全保卫组、后勤保障组</w:t>
      </w:r>
      <w:bookmarkEnd w:id="67"/>
      <w:r>
        <w:rPr>
          <w:rFonts w:hint="default" w:ascii="Times New Roman" w:hAnsi="Times New Roman" w:eastAsia="仿宋_GB2312" w:cs="Times New Roman"/>
          <w:kern w:val="0"/>
          <w:sz w:val="32"/>
          <w:szCs w:val="32"/>
          <w:lang w:bidi="en-US"/>
        </w:rPr>
        <w:t>。</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（1）舆情信息组：由区委宣传部（区委网信办）牵头，市生态环境局荔湾分局、区公安分局等成员单位相关人员组成。</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负责收集分析舆情，及时报送重要信息，向区指挥部提出舆情应对建议；负责辐射事故应急信息发布和舆论引导工作；组织开展辐射事故应急期间的公众宣传和专家解读，负责接待媒体采访和公众咨询；负责舆情报告编写。</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（2）救援处置组：由市生态环境局荔湾分局牵头，区公安分局、区住房建设园林局（区交通运输局）、区卫生健康局、区应急管理局、区消防大队、事发地镇政府或街道办事处等成员单位相关人员组成。</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负责制定事故处置方案；负责事故现场辐射污染的处理、处置；提出外部处置力量支援建议；做好事故现场救援灭火等工作；指导事故发生地开展受辐射事故影响区域群众的应急隐蔽、转移和安置、生活救助及有关物资保障等工作。</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（3）现场监测组：由市生态环境局荔湾分局牵头，区卫生健康局等成员单位相关人员组成。</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负责开展辐射环境应急监测；制定辐射事故应急监测方案并组织实施；负责辐射事故现场及周围饮用水和食品安全的应急处置、调查处理工作；对应急处置行动辐射防护提出建议；提出外部监测力量支援建议。</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（4）医疗救护组：</w:t>
      </w:r>
      <w:r>
        <w:rPr>
          <w:rFonts w:hint="default" w:ascii="Times New Roman" w:hAnsi="Times New Roman" w:eastAsia="仿宋_GB2312" w:cs="Times New Roman"/>
          <w:spacing w:val="-4"/>
          <w:sz w:val="32"/>
          <w:szCs w:val="32"/>
          <w:lang w:eastAsia="zh-CN"/>
        </w:rPr>
        <w:t>由</w:t>
      </w:r>
      <w:r>
        <w:rPr>
          <w:rFonts w:hint="default" w:ascii="Times New Roman" w:hAnsi="Times New Roman" w:eastAsia="仿宋_GB2312" w:cs="Times New Roman"/>
          <w:sz w:val="32"/>
          <w:szCs w:val="32"/>
          <w:lang w:eastAsia="zh-CN"/>
        </w:rPr>
        <w:t>区卫生健康局</w:t>
      </w:r>
      <w:r>
        <w:rPr>
          <w:rFonts w:hint="default" w:ascii="Times New Roman" w:hAnsi="Times New Roman" w:eastAsia="仿宋_GB2312" w:cs="Times New Roman"/>
          <w:spacing w:val="-4"/>
          <w:sz w:val="32"/>
          <w:szCs w:val="32"/>
          <w:lang w:eastAsia="zh-CN"/>
        </w:rPr>
        <w:t>牵头，</w:t>
      </w:r>
      <w:r>
        <w:rPr>
          <w:rFonts w:hint="default" w:ascii="Times New Roman" w:hAnsi="Times New Roman" w:eastAsia="仿宋_GB2312" w:cs="Times New Roman"/>
          <w:sz w:val="32"/>
          <w:szCs w:val="32"/>
          <w:lang w:eastAsia="zh-CN"/>
        </w:rPr>
        <w:t>区公安分局</w:t>
      </w:r>
      <w:r>
        <w:rPr>
          <w:rFonts w:hint="default" w:ascii="Times New Roman" w:hAnsi="Times New Roman" w:eastAsia="仿宋_GB2312" w:cs="Times New Roman"/>
          <w:spacing w:val="-4"/>
          <w:sz w:val="32"/>
          <w:szCs w:val="32"/>
          <w:lang w:eastAsia="zh-CN"/>
        </w:rPr>
        <w:t>、</w:t>
      </w:r>
      <w:r>
        <w:rPr>
          <w:rFonts w:hint="default" w:ascii="Times New Roman" w:hAnsi="Times New Roman" w:eastAsia="仿宋_GB2312" w:cs="Times New Roman"/>
          <w:sz w:val="32"/>
          <w:szCs w:val="32"/>
          <w:lang w:eastAsia="zh-CN"/>
        </w:rPr>
        <w:t>市生态环境局荔湾分局</w:t>
      </w:r>
      <w:r>
        <w:rPr>
          <w:rFonts w:hint="default" w:ascii="Times New Roman" w:hAnsi="Times New Roman" w:eastAsia="仿宋_GB2312" w:cs="Times New Roman"/>
          <w:spacing w:val="-4"/>
          <w:sz w:val="32"/>
          <w:szCs w:val="32"/>
          <w:lang w:eastAsia="zh-CN"/>
        </w:rPr>
        <w:t>、</w:t>
      </w:r>
      <w:r>
        <w:rPr>
          <w:rFonts w:hint="default" w:ascii="Times New Roman" w:hAnsi="Times New Roman" w:eastAsia="仿宋_GB2312" w:cs="Times New Roman"/>
          <w:sz w:val="32"/>
          <w:szCs w:val="32"/>
          <w:lang w:eastAsia="zh-CN"/>
        </w:rPr>
        <w:t>荔湾交管大队、区消防大队等成员单位相关人员组成。</w:t>
      </w:r>
    </w:p>
    <w:p>
      <w:pPr>
        <w:pStyle w:val="31"/>
        <w:autoSpaceDE/>
        <w:autoSpaceDN/>
        <w:snapToGrid w:val="0"/>
        <w:spacing w:line="560" w:lineRule="exact"/>
        <w:ind w:firstLine="624" w:firstLineChars="200"/>
        <w:jc w:val="both"/>
        <w:rPr>
          <w:rFonts w:hint="default" w:ascii="Times New Roman" w:hAnsi="Times New Roman" w:eastAsia="仿宋_GB2312" w:cs="Times New Roman"/>
          <w:spacing w:val="-4"/>
          <w:sz w:val="32"/>
          <w:szCs w:val="32"/>
          <w:lang w:eastAsia="zh-CN"/>
        </w:rPr>
      </w:pPr>
      <w:r>
        <w:rPr>
          <w:rFonts w:hint="default" w:ascii="Times New Roman" w:hAnsi="Times New Roman" w:eastAsia="仿宋_GB2312" w:cs="Times New Roman"/>
          <w:spacing w:val="-4"/>
          <w:sz w:val="32"/>
          <w:szCs w:val="32"/>
          <w:lang w:eastAsia="zh-CN"/>
        </w:rPr>
        <w:t>负责事故现场洗消、卫生应急处置等应急救援工作；组织协调或指导受辐射损伤人员的医疗救治和剂量评价工作；组织协调或指导可能受到辐射伤害的人员健康影响评估；组织协调卫生健康部门支援力量。</w:t>
      </w:r>
    </w:p>
    <w:p>
      <w:pPr>
        <w:pStyle w:val="31"/>
        <w:autoSpaceDE/>
        <w:autoSpaceDN/>
        <w:snapToGrid w:val="0"/>
        <w:spacing w:line="560" w:lineRule="exact"/>
        <w:ind w:firstLine="640" w:firstLineChars="200"/>
        <w:jc w:val="both"/>
        <w:rPr>
          <w:rFonts w:hint="default" w:ascii="Times New Roman" w:hAnsi="Times New Roman" w:eastAsia="仿宋_GB2312" w:cs="Times New Roman"/>
          <w:spacing w:val="-4"/>
          <w:sz w:val="32"/>
          <w:szCs w:val="32"/>
          <w:lang w:eastAsia="zh-CN"/>
        </w:rPr>
      </w:pPr>
      <w:r>
        <w:rPr>
          <w:rFonts w:hint="default" w:ascii="Times New Roman" w:hAnsi="Times New Roman" w:eastAsia="仿宋_GB2312" w:cs="Times New Roman"/>
          <w:sz w:val="32"/>
          <w:szCs w:val="32"/>
          <w:lang w:eastAsia="zh-CN"/>
        </w:rPr>
        <w:t>（5）事故调查组：</w:t>
      </w:r>
      <w:r>
        <w:rPr>
          <w:rFonts w:hint="default" w:ascii="Times New Roman" w:hAnsi="Times New Roman" w:eastAsia="仿宋_GB2312" w:cs="Times New Roman"/>
          <w:spacing w:val="-4"/>
          <w:sz w:val="32"/>
          <w:szCs w:val="32"/>
          <w:lang w:eastAsia="zh-CN"/>
        </w:rPr>
        <w:t>由</w:t>
      </w:r>
      <w:r>
        <w:rPr>
          <w:rFonts w:hint="default" w:ascii="Times New Roman" w:hAnsi="Times New Roman" w:eastAsia="仿宋_GB2312" w:cs="Times New Roman"/>
          <w:sz w:val="32"/>
          <w:szCs w:val="32"/>
          <w:lang w:eastAsia="zh-CN"/>
        </w:rPr>
        <w:t>市生态环境局荔湾分局</w:t>
      </w:r>
      <w:r>
        <w:rPr>
          <w:rFonts w:hint="default" w:ascii="Times New Roman" w:hAnsi="Times New Roman" w:eastAsia="仿宋_GB2312" w:cs="Times New Roman"/>
          <w:spacing w:val="-4"/>
          <w:sz w:val="32"/>
          <w:szCs w:val="32"/>
          <w:lang w:eastAsia="zh-CN"/>
        </w:rPr>
        <w:t>牵头，</w:t>
      </w:r>
      <w:r>
        <w:rPr>
          <w:rFonts w:hint="default" w:ascii="Times New Roman" w:hAnsi="Times New Roman" w:eastAsia="仿宋_GB2312" w:cs="Times New Roman"/>
          <w:sz w:val="32"/>
          <w:szCs w:val="32"/>
          <w:lang w:eastAsia="zh-CN"/>
        </w:rPr>
        <w:t>区公安分局</w:t>
      </w:r>
      <w:r>
        <w:rPr>
          <w:rFonts w:hint="default" w:ascii="Times New Roman" w:hAnsi="Times New Roman" w:eastAsia="仿宋_GB2312" w:cs="Times New Roman"/>
          <w:spacing w:val="-4"/>
          <w:sz w:val="32"/>
          <w:szCs w:val="32"/>
          <w:lang w:eastAsia="zh-CN"/>
        </w:rPr>
        <w:t>、</w:t>
      </w:r>
      <w:r>
        <w:rPr>
          <w:rFonts w:hint="default" w:ascii="Times New Roman" w:hAnsi="Times New Roman" w:eastAsia="仿宋_GB2312" w:cs="Times New Roman"/>
          <w:sz w:val="32"/>
          <w:szCs w:val="32"/>
          <w:lang w:eastAsia="zh-CN"/>
        </w:rPr>
        <w:t>区卫生健康局</w:t>
      </w:r>
      <w:r>
        <w:rPr>
          <w:rFonts w:hint="default" w:ascii="Times New Roman" w:hAnsi="Times New Roman" w:eastAsia="仿宋_GB2312" w:cs="Times New Roman"/>
          <w:spacing w:val="-4"/>
          <w:sz w:val="32"/>
          <w:szCs w:val="32"/>
          <w:lang w:eastAsia="zh-CN"/>
        </w:rPr>
        <w:t>等成员单位相关人员组成。</w:t>
      </w:r>
    </w:p>
    <w:p>
      <w:pPr>
        <w:pStyle w:val="31"/>
        <w:autoSpaceDE/>
        <w:autoSpaceDN/>
        <w:snapToGrid w:val="0"/>
        <w:spacing w:line="560" w:lineRule="exact"/>
        <w:ind w:firstLine="624" w:firstLineChars="200"/>
        <w:jc w:val="both"/>
        <w:rPr>
          <w:rFonts w:hint="default" w:ascii="Times New Roman" w:hAnsi="Times New Roman" w:eastAsia="仿宋_GB2312" w:cs="Times New Roman"/>
          <w:spacing w:val="-4"/>
          <w:sz w:val="32"/>
          <w:szCs w:val="32"/>
          <w:lang w:eastAsia="zh-CN"/>
        </w:rPr>
      </w:pPr>
      <w:r>
        <w:rPr>
          <w:rFonts w:hint="default" w:ascii="Times New Roman" w:hAnsi="Times New Roman" w:eastAsia="仿宋_GB2312" w:cs="Times New Roman"/>
          <w:spacing w:val="-4"/>
          <w:sz w:val="32"/>
          <w:szCs w:val="32"/>
          <w:lang w:eastAsia="zh-CN"/>
        </w:rPr>
        <w:t>负责辐射事故原因调查；追查丢失、被盗放射源。</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（6）安全保卫组：由区公安分局牵头，市生态环境局荔湾分局、区住房建设园林局（区交通运输局）、区消防大队、荔湾交管大队等成员单位相关人员组成。</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指挥或指导当地公安机关执行现场警戒、交通管制和重点防护等任务；负责或指导当地公安机关对丢失被盗放射源的立案侦查和追缴；参与辐射事故的应急处置和事故调查处理等工作。</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（7）后勤保障组：由市生态环境局荔湾分局牵头，区财政局、区卫生健康局、区住房建设园林局（区交通运输局）等成员单位相关人员组成。</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负责为辐射事故应急响应工作提供经费、医疗救治、交通运输、公众撤离、辐射事故处置等后勤保障。</w:t>
      </w:r>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  </w:t>
      </w:r>
      <w:bookmarkStart w:id="68" w:name="_Toc215170928"/>
      <w:r>
        <w:rPr>
          <w:rFonts w:hint="default" w:ascii="Times New Roman" w:hAnsi="Times New Roman" w:eastAsia="仿宋_GB2312" w:cs="Times New Roman"/>
          <w:szCs w:val="32"/>
        </w:rPr>
        <w:t>专家组及职责</w:t>
      </w:r>
      <w:bookmarkEnd w:id="68"/>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区指挥部根据辐射事故情况，组织辐射安全与防护、辐射环境监测与评估、放射性物质处置、医疗卫生救治、应急救援与管理、气象等领域的专家组成专家组。主要职责：</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（1）为辐射事故应急决策提供技术咨询与评估；</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（2）提出应急处置、救援措施建议和提供技术支持；</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（3）参与指导舆情应对和信息发布；</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（4）参与评价处置事故应急行动效果。</w:t>
      </w:r>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  </w:t>
      </w:r>
      <w:bookmarkStart w:id="69" w:name="_Toc215170929"/>
      <w:r>
        <w:rPr>
          <w:rFonts w:hint="default" w:ascii="Times New Roman" w:hAnsi="Times New Roman" w:eastAsia="仿宋_GB2312" w:cs="Times New Roman"/>
          <w:szCs w:val="32"/>
        </w:rPr>
        <w:t>事故责任单位</w:t>
      </w:r>
      <w:bookmarkEnd w:id="69"/>
    </w:p>
    <w:p>
      <w:pPr>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事故责任单位成立辐射事故应急组织，负责本单位辐射事故应急准备与响应工作。</w:t>
      </w:r>
    </w:p>
    <w:p>
      <w:pPr>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（1）贯彻执行国家、省、市、区辐射事故应急相关法律法规，落实辐射安全全面责任和应急响应主体责任；</w:t>
      </w:r>
    </w:p>
    <w:p>
      <w:pPr>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（2）编制、修订并落实本单位的辐射事故应急预案及相关文件，做好应急准备工作；</w:t>
      </w:r>
    </w:p>
    <w:p>
      <w:pPr>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（3）发生辐射事故后，事故责任单位应当立即启动本单位应急预案，采取应对措施，减轻事故后果，做好事故处置、应急监测和污染处理等工作，并立即向辖区辐射事故应急指挥机构报告；</w:t>
      </w:r>
    </w:p>
    <w:p>
      <w:pPr>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（4）配合和协助做好周围辐射环境应急监测、放射性后果评估、救援处置和事故调查处理工作；</w:t>
      </w:r>
    </w:p>
    <w:p>
      <w:pPr>
        <w:spacing w:line="560" w:lineRule="exact"/>
        <w:ind w:firstLine="640" w:firstLineChars="200"/>
        <w:rPr>
          <w:rFonts w:hint="default" w:ascii="Times New Roman" w:hAnsi="Times New Roman" w:eastAsia="仿宋_GB2312" w:cs="Times New Roman"/>
        </w:rPr>
      </w:pPr>
      <w:r>
        <w:rPr>
          <w:rFonts w:hint="default" w:ascii="Times New Roman" w:hAnsi="Times New Roman" w:eastAsia="仿宋_GB2312" w:cs="Times New Roman"/>
          <w:kern w:val="0"/>
          <w:sz w:val="32"/>
          <w:szCs w:val="32"/>
          <w:lang w:bidi="en-US"/>
        </w:rPr>
        <w:t>（5）必要时提请辖区辐射事故应急指挥机构提供支持。</w:t>
      </w:r>
    </w:p>
    <w:p>
      <w:pPr>
        <w:pStyle w:val="3"/>
        <w:numPr>
          <w:ilvl w:val="0"/>
          <w:numId w:val="1"/>
        </w:numPr>
        <w:spacing w:before="0" w:after="0" w:line="560" w:lineRule="exact"/>
        <w:ind w:left="0"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bookmarkStart w:id="70" w:name="_Toc215170930"/>
      <w:r>
        <w:rPr>
          <w:rFonts w:hint="default" w:ascii="Times New Roman" w:hAnsi="Times New Roman" w:eastAsia="仿宋_GB2312" w:cs="Times New Roman"/>
          <w:sz w:val="32"/>
          <w:szCs w:val="32"/>
        </w:rPr>
        <w:t>应急响应机制</w:t>
      </w:r>
      <w:bookmarkEnd w:id="70"/>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  </w:t>
      </w:r>
      <w:bookmarkStart w:id="71" w:name="_Toc215170931"/>
      <w:r>
        <w:rPr>
          <w:rFonts w:hint="default" w:ascii="Times New Roman" w:hAnsi="Times New Roman" w:eastAsia="仿宋_GB2312" w:cs="Times New Roman"/>
          <w:szCs w:val="32"/>
        </w:rPr>
        <w:t>事故预警</w:t>
      </w:r>
      <w:bookmarkEnd w:id="71"/>
    </w:p>
    <w:p>
      <w:pPr>
        <w:pStyle w:val="13"/>
        <w:spacing w:line="560" w:lineRule="exact"/>
        <w:ind w:firstLine="640" w:firstLineChars="200"/>
        <w:jc w:val="both"/>
        <w:rPr>
          <w:rFonts w:hint="default" w:ascii="Times New Roman" w:hAnsi="Times New Roman" w:cs="Times New Roman"/>
          <w:kern w:val="0"/>
          <w:sz w:val="32"/>
          <w:szCs w:val="32"/>
          <w:lang w:bidi="en-US"/>
        </w:rPr>
      </w:pPr>
      <w:r>
        <w:rPr>
          <w:rFonts w:hint="default" w:ascii="Times New Roman" w:hAnsi="Times New Roman" w:cs="Times New Roman"/>
          <w:kern w:val="0"/>
          <w:sz w:val="32"/>
          <w:szCs w:val="32"/>
          <w:lang w:bidi="en-US"/>
        </w:rPr>
        <w:t>全区建立辐射事故预警机制，及时通报可能发生的辐射事故信息，确保辐射事故早发现、早报告、早处置。各级辐射事故应急指挥机构接到辐射事故报告后，应及时核实情况，根据事故等级启动应急响应行动（广州市荔湾区辐射事故应急响应启动表见附件9.3）。</w:t>
      </w:r>
    </w:p>
    <w:p>
      <w:pPr>
        <w:pStyle w:val="13"/>
        <w:spacing w:line="560" w:lineRule="exact"/>
        <w:ind w:firstLine="640" w:firstLineChars="200"/>
        <w:jc w:val="both"/>
        <w:rPr>
          <w:rFonts w:hint="default" w:ascii="Times New Roman" w:hAnsi="Times New Roman" w:cs="Times New Roman"/>
          <w:kern w:val="0"/>
          <w:sz w:val="32"/>
          <w:szCs w:val="32"/>
          <w:lang w:bidi="en-US"/>
        </w:rPr>
      </w:pPr>
      <w:r>
        <w:rPr>
          <w:rFonts w:hint="default" w:ascii="Times New Roman" w:hAnsi="Times New Roman" w:cs="Times New Roman"/>
          <w:kern w:val="0"/>
          <w:sz w:val="32"/>
          <w:szCs w:val="32"/>
          <w:lang w:bidi="en-US"/>
        </w:rPr>
        <w:t>辐射工作单位在发现或收到可能发生辐射事故的信息或线索时，应及时向当地生态环境、公安部门通报，造成或可能造成人员超剂量照射的应同时向卫生健康部门通报。公安、卫生健康部门或者其他有关职能部门收到相关信息或线索后要及时通报同级生态环境部门；同级生态环境部门应当同步向上级生态环境部门上报。上级生态环境部门要将掌握到的可能导致辐射事故的有关信息，及时通报可能受影响地区的生态环境部门。</w:t>
      </w:r>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  </w:t>
      </w:r>
      <w:bookmarkStart w:id="72" w:name="_Toc215170932"/>
      <w:r>
        <w:rPr>
          <w:rFonts w:hint="default" w:ascii="Times New Roman" w:hAnsi="Times New Roman" w:eastAsia="仿宋_GB2312" w:cs="Times New Roman"/>
          <w:szCs w:val="32"/>
        </w:rPr>
        <w:t>应急响应</w:t>
      </w:r>
      <w:bookmarkEnd w:id="72"/>
    </w:p>
    <w:p>
      <w:pPr>
        <w:pStyle w:val="37"/>
        <w:keepNext/>
        <w:keepLines/>
        <w:numPr>
          <w:ilvl w:val="0"/>
          <w:numId w:val="2"/>
        </w:numPr>
        <w:spacing w:line="560" w:lineRule="exact"/>
        <w:ind w:left="0" w:firstLine="643"/>
        <w:outlineLvl w:val="2"/>
        <w:rPr>
          <w:rFonts w:hint="default" w:ascii="Times New Roman" w:hAnsi="Times New Roman" w:eastAsia="仿宋_GB2312" w:cs="Times New Roman"/>
          <w:b/>
          <w:vanish/>
          <w:sz w:val="32"/>
          <w:szCs w:val="32"/>
        </w:rPr>
      </w:pPr>
      <w:bookmarkStart w:id="73" w:name="_Toc201825680"/>
      <w:bookmarkEnd w:id="73"/>
      <w:bookmarkStart w:id="74" w:name="_Toc203147793"/>
      <w:bookmarkEnd w:id="74"/>
      <w:bookmarkStart w:id="75" w:name="_Toc215170933"/>
      <w:bookmarkEnd w:id="75"/>
      <w:bookmarkStart w:id="76" w:name="_Toc203148036"/>
      <w:bookmarkEnd w:id="76"/>
    </w:p>
    <w:p>
      <w:pPr>
        <w:pStyle w:val="37"/>
        <w:keepNext/>
        <w:keepLines/>
        <w:numPr>
          <w:ilvl w:val="1"/>
          <w:numId w:val="2"/>
        </w:numPr>
        <w:spacing w:line="560" w:lineRule="exact"/>
        <w:ind w:left="0" w:firstLine="643"/>
        <w:outlineLvl w:val="2"/>
        <w:rPr>
          <w:rFonts w:hint="default" w:ascii="Times New Roman" w:hAnsi="Times New Roman" w:eastAsia="仿宋_GB2312" w:cs="Times New Roman"/>
          <w:b/>
          <w:vanish/>
          <w:sz w:val="32"/>
          <w:szCs w:val="32"/>
        </w:rPr>
      </w:pPr>
      <w:bookmarkStart w:id="77" w:name="_Toc215170934"/>
      <w:bookmarkEnd w:id="77"/>
      <w:bookmarkStart w:id="78" w:name="_Toc201825681"/>
      <w:bookmarkEnd w:id="78"/>
      <w:bookmarkStart w:id="79" w:name="_Toc203148037"/>
      <w:bookmarkEnd w:id="79"/>
      <w:bookmarkStart w:id="80" w:name="_Toc203147794"/>
      <w:bookmarkEnd w:id="80"/>
    </w:p>
    <w:p>
      <w:pPr>
        <w:pStyle w:val="37"/>
        <w:keepNext/>
        <w:keepLines/>
        <w:numPr>
          <w:ilvl w:val="1"/>
          <w:numId w:val="2"/>
        </w:numPr>
        <w:spacing w:line="560" w:lineRule="exact"/>
        <w:ind w:left="0" w:firstLine="643"/>
        <w:outlineLvl w:val="2"/>
        <w:rPr>
          <w:rFonts w:hint="default" w:ascii="Times New Roman" w:hAnsi="Times New Roman" w:eastAsia="仿宋_GB2312" w:cs="Times New Roman"/>
          <w:b/>
          <w:vanish/>
          <w:sz w:val="32"/>
          <w:szCs w:val="32"/>
        </w:rPr>
      </w:pPr>
      <w:bookmarkStart w:id="81" w:name="_Toc215170935"/>
      <w:bookmarkEnd w:id="81"/>
      <w:bookmarkStart w:id="82" w:name="_Toc201825682"/>
      <w:bookmarkEnd w:id="82"/>
      <w:bookmarkStart w:id="83" w:name="_Toc203148038"/>
      <w:bookmarkEnd w:id="83"/>
      <w:bookmarkStart w:id="84" w:name="_Toc203147795"/>
      <w:bookmarkEnd w:id="84"/>
    </w:p>
    <w:p>
      <w:pPr>
        <w:pStyle w:val="5"/>
        <w:numPr>
          <w:ilvl w:val="2"/>
          <w:numId w:val="2"/>
        </w:numPr>
        <w:spacing w:before="0" w:after="0" w:line="560" w:lineRule="exact"/>
        <w:ind w:left="0" w:firstLine="640" w:firstLineChars="200"/>
        <w:rPr>
          <w:rFonts w:hint="default" w:ascii="Times New Roman" w:hAnsi="Times New Roman" w:eastAsia="仿宋_GB2312" w:cs="Times New Roman"/>
          <w:b w:val="0"/>
          <w:bCs/>
          <w:szCs w:val="32"/>
        </w:rPr>
      </w:pPr>
      <w:r>
        <w:rPr>
          <w:rFonts w:hint="default" w:ascii="Times New Roman" w:hAnsi="Times New Roman" w:eastAsia="仿宋_GB2312" w:cs="Times New Roman"/>
          <w:b w:val="0"/>
          <w:bCs/>
          <w:szCs w:val="32"/>
        </w:rPr>
        <w:t xml:space="preserve"> </w:t>
      </w:r>
      <w:bookmarkStart w:id="85" w:name="_Toc215170936"/>
      <w:r>
        <w:rPr>
          <w:rFonts w:hint="default" w:ascii="Times New Roman" w:hAnsi="Times New Roman" w:eastAsia="仿宋_GB2312" w:cs="Times New Roman"/>
          <w:b w:val="0"/>
          <w:bCs/>
          <w:szCs w:val="32"/>
        </w:rPr>
        <w:t>响应级别</w:t>
      </w:r>
      <w:bookmarkEnd w:id="85"/>
    </w:p>
    <w:p>
      <w:pPr>
        <w:spacing w:line="560" w:lineRule="exact"/>
        <w:ind w:firstLine="420" w:firstLineChars="200"/>
        <w:rPr>
          <w:rFonts w:hint="default" w:ascii="Times New Roman" w:hAnsi="Times New Roman" w:eastAsia="仿宋_GB2312" w:cs="Times New Roman"/>
          <w:kern w:val="0"/>
          <w:sz w:val="32"/>
          <w:szCs w:val="32"/>
          <w:lang w:bidi="en-US"/>
        </w:rPr>
      </w:pPr>
      <w:r>
        <w:rPr>
          <w:rFonts w:hint="default" w:ascii="Times New Roman" w:hAnsi="Times New Roman" w:cs="Times New Roman"/>
        </w:rPr>
        <w:t>　</w:t>
      </w:r>
      <w:r>
        <w:rPr>
          <w:rFonts w:hint="default" w:ascii="Times New Roman" w:hAnsi="Times New Roman" w:eastAsia="仿宋_GB2312" w:cs="Times New Roman"/>
          <w:kern w:val="0"/>
          <w:sz w:val="32"/>
          <w:szCs w:val="32"/>
          <w:lang w:bidi="en-US"/>
        </w:rPr>
        <w:t>与辐射事故级别相对应，应急响应分为特别重大（I级）响应、重大（Ⅱ级）响应、较大（III级）响应、一般（Ⅳ级）响应四级。根据不同的事故级别，启动不同的响应程序。</w:t>
      </w:r>
    </w:p>
    <w:p>
      <w:pPr>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区应急办接到报告后，初步判别事故级别，及时报告区指挥部领导，并提出处理建议。</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应急响应启动后，可视事故损失情况及其发展趋势调整响应级别并及时发布应急响应指令《辐射事故应急响应指令》（见附件9.4），避免响应不足或响应过度。</w:t>
      </w:r>
    </w:p>
    <w:p>
      <w:pPr>
        <w:pStyle w:val="5"/>
        <w:numPr>
          <w:ilvl w:val="2"/>
          <w:numId w:val="2"/>
        </w:numPr>
        <w:spacing w:before="0" w:after="0" w:line="560" w:lineRule="exact"/>
        <w:ind w:left="0" w:firstLine="640" w:firstLineChars="200"/>
        <w:rPr>
          <w:rFonts w:hint="default" w:ascii="Times New Roman" w:hAnsi="Times New Roman" w:eastAsia="仿宋_GB2312" w:cs="Times New Roman"/>
          <w:b w:val="0"/>
          <w:bCs/>
          <w:szCs w:val="32"/>
        </w:rPr>
      </w:pPr>
      <w:r>
        <w:rPr>
          <w:rFonts w:hint="default" w:ascii="Times New Roman" w:hAnsi="Times New Roman" w:eastAsia="仿宋_GB2312" w:cs="Times New Roman"/>
          <w:b w:val="0"/>
          <w:bCs/>
          <w:szCs w:val="32"/>
        </w:rPr>
        <w:t xml:space="preserve"> </w:t>
      </w:r>
      <w:bookmarkStart w:id="86" w:name="_Toc215170937"/>
      <w:r>
        <w:rPr>
          <w:rFonts w:hint="default" w:ascii="Times New Roman" w:hAnsi="Times New Roman" w:eastAsia="仿宋_GB2312" w:cs="Times New Roman"/>
          <w:b w:val="0"/>
          <w:bCs/>
          <w:szCs w:val="32"/>
        </w:rPr>
        <w:t>应急响应与程序</w:t>
      </w:r>
      <w:bookmarkEnd w:id="86"/>
    </w:p>
    <w:p>
      <w:pPr>
        <w:pStyle w:val="6"/>
        <w:numPr>
          <w:ilvl w:val="3"/>
          <w:numId w:val="2"/>
        </w:numPr>
        <w:autoSpaceDE/>
        <w:autoSpaceDN/>
        <w:spacing w:line="560" w:lineRule="exact"/>
        <w:ind w:left="0" w:firstLine="64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bidi="en-US"/>
        </w:rPr>
        <w:t>I、</w:t>
      </w:r>
      <w:r>
        <w:rPr>
          <w:rFonts w:hint="default" w:ascii="Times New Roman" w:hAnsi="Times New Roman" w:eastAsia="仿宋_GB2312" w:cs="Times New Roman"/>
          <w:sz w:val="32"/>
          <w:szCs w:val="32"/>
        </w:rPr>
        <w:t>Ⅱ、Ⅲ级响应与程序</w:t>
      </w:r>
    </w:p>
    <w:p>
      <w:pPr>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发生较大及以上级别的辐射事故，区指挥部报送信息至市人民政府和市生态环境局。在等待应急响应指令下达期间，区指挥部和区应急办做好以下工作：</w:t>
      </w:r>
    </w:p>
    <w:p>
      <w:pPr>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（1）迅速集结区辐射事故应急工作组赶赴现场，与市应急办建立通信联络，及时报告事故现场情况；</w:t>
      </w:r>
    </w:p>
    <w:p>
      <w:pPr>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（2）</w:t>
      </w:r>
      <w:r>
        <w:rPr>
          <w:rFonts w:hint="default" w:ascii="Times New Roman" w:hAnsi="Times New Roman" w:eastAsia="仿宋_GB2312" w:cs="Times New Roman"/>
          <w:sz w:val="32"/>
          <w:szCs w:val="32"/>
        </w:rPr>
        <w:t>当上级辐射事故应急工作组进驻事故现场后，</w:t>
      </w:r>
      <w:r>
        <w:rPr>
          <w:rFonts w:hint="default" w:ascii="Times New Roman" w:hAnsi="Times New Roman" w:eastAsia="仿宋_GB2312" w:cs="Times New Roman"/>
          <w:kern w:val="0"/>
          <w:sz w:val="32"/>
          <w:szCs w:val="32"/>
          <w:lang w:bidi="en-US"/>
        </w:rPr>
        <w:t>区辐射事故应急工作组需全力配合上级工作组的工作，提供必要的支持和协助；</w:t>
      </w:r>
    </w:p>
    <w:p>
      <w:pPr>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（3）继续做好事故现场的隔离、警戒工作，确保事故不会进一步扩大，并随时根据上级工作组的指示调整应急措施；</w:t>
      </w:r>
    </w:p>
    <w:p>
      <w:pPr>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（4）应急响应期间，根据上级生态环境部门指导组织实施应急处置工作。</w:t>
      </w:r>
    </w:p>
    <w:p>
      <w:pPr>
        <w:pStyle w:val="6"/>
        <w:numPr>
          <w:ilvl w:val="3"/>
          <w:numId w:val="2"/>
        </w:numPr>
        <w:autoSpaceDE/>
        <w:autoSpaceDN/>
        <w:spacing w:line="560" w:lineRule="exact"/>
        <w:ind w:left="0" w:firstLine="64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Ⅳ级响应与程序</w:t>
      </w:r>
    </w:p>
    <w:p>
      <w:pPr>
        <w:spacing w:line="560" w:lineRule="exact"/>
        <w:ind w:firstLine="420" w:firstLineChars="200"/>
        <w:rPr>
          <w:rFonts w:hint="default" w:ascii="Times New Roman" w:hAnsi="Times New Roman" w:eastAsia="仿宋_GB2312" w:cs="Times New Roman"/>
          <w:kern w:val="0"/>
          <w:sz w:val="32"/>
          <w:szCs w:val="32"/>
          <w:lang w:bidi="en-US"/>
        </w:rPr>
      </w:pPr>
      <w:r>
        <w:rPr>
          <w:rFonts w:hint="default" w:ascii="Times New Roman" w:hAnsi="Times New Roman" w:cs="Times New Roman"/>
        </w:rPr>
        <w:t>　</w:t>
      </w:r>
      <w:r>
        <w:rPr>
          <w:rFonts w:hint="default" w:ascii="Times New Roman" w:hAnsi="Times New Roman" w:eastAsia="仿宋_GB2312" w:cs="Times New Roman"/>
          <w:kern w:val="0"/>
          <w:sz w:val="32"/>
          <w:szCs w:val="32"/>
          <w:lang w:bidi="en-US"/>
        </w:rPr>
        <w:t>区应急办接到辐射事故或者可能引发辐射事故的运行故障报告，应当立即派人赶赴现场进行调查，迅速汇总和核实事故信息进行研判，立即报告总指挥、副总指挥，根据总指挥指示启动区辐射事故应急预案，下达相应级别的响应指令；将辐射事故情况通报应急响应单位；副总指挥组织参与应急响应单位领导和应急救援专家立即赶赴事故现场指挥应急救援工作。</w:t>
      </w:r>
    </w:p>
    <w:p>
      <w:pPr>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按照指挥部下达的指令，各应急响应单位立即组织应急队伍赶赴事故现场。在现场指挥部的组织下，各单位按职责开展应急救援工作，必要时召集应急专家组成应急专家组研究处置措施，评估事故影响。</w:t>
      </w:r>
    </w:p>
    <w:p>
      <w:pPr>
        <w:pStyle w:val="6"/>
        <w:numPr>
          <w:ilvl w:val="3"/>
          <w:numId w:val="2"/>
        </w:numPr>
        <w:autoSpaceDE/>
        <w:autoSpaceDN/>
        <w:spacing w:line="560" w:lineRule="exact"/>
        <w:ind w:left="0" w:firstLine="64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特殊情况下响应</w:t>
      </w:r>
    </w:p>
    <w:p>
      <w:pPr>
        <w:pStyle w:val="31"/>
        <w:autoSpaceDE/>
        <w:autoSpaceDN/>
        <w:snapToGrid w:val="0"/>
        <w:spacing w:line="560" w:lineRule="exact"/>
        <w:ind w:firstLine="640" w:firstLineChars="200"/>
        <w:jc w:val="both"/>
        <w:rPr>
          <w:rFonts w:hint="default" w:ascii="Times New Roman" w:hAnsi="Times New Roman" w:cs="Times New Roman"/>
          <w:lang w:eastAsia="zh-CN"/>
        </w:rPr>
      </w:pPr>
      <w:r>
        <w:rPr>
          <w:rFonts w:hint="default" w:ascii="Times New Roman" w:hAnsi="Times New Roman" w:eastAsia="仿宋_GB2312" w:cs="Times New Roman"/>
          <w:sz w:val="32"/>
          <w:szCs w:val="32"/>
          <w:lang w:eastAsia="zh-CN"/>
        </w:rPr>
        <w:t>在未接到事故责任单位报告的情况下，区应急办若了解到可能发生或已经发生辐射事故时，迅速通知事故发生地辐射事故应急部门并核实，确认无误后按预案启动应急响应</w:t>
      </w:r>
      <w:r>
        <w:rPr>
          <w:rFonts w:hint="default" w:ascii="Times New Roman" w:hAnsi="Times New Roman" w:eastAsia="仿宋_GB2312" w:cs="Times New Roman"/>
          <w:kern w:val="2"/>
          <w:sz w:val="32"/>
          <w:szCs w:val="32"/>
          <w:lang w:eastAsia="zh-CN" w:bidi="ar"/>
        </w:rPr>
        <w:t>。区应急办可视情决定应急组织的响应级别和启动范围，下达启动指令</w:t>
      </w:r>
      <w:r>
        <w:rPr>
          <w:rFonts w:hint="default" w:ascii="Times New Roman" w:hAnsi="Times New Roman" w:eastAsia="仿宋_GB2312" w:cs="Times New Roman"/>
          <w:sz w:val="32"/>
          <w:szCs w:val="32"/>
          <w:lang w:eastAsia="zh-CN"/>
        </w:rPr>
        <w:t>。</w:t>
      </w:r>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  </w:t>
      </w:r>
      <w:bookmarkStart w:id="87" w:name="_Toc215170938"/>
      <w:r>
        <w:rPr>
          <w:rFonts w:hint="default" w:ascii="Times New Roman" w:hAnsi="Times New Roman" w:eastAsia="仿宋_GB2312" w:cs="Times New Roman"/>
          <w:szCs w:val="32"/>
        </w:rPr>
        <w:t>现场处置</w:t>
      </w:r>
      <w:bookmarkEnd w:id="87"/>
    </w:p>
    <w:p>
      <w:pPr>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发生辐射事故后，指挥部根据情况，及时开展现场救援处置工作：</w:t>
      </w:r>
    </w:p>
    <w:p>
      <w:pPr>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（1）指导辐射事故发生地和事故责任单位制定事故现场处置方案，设立现场警戒区域、交通管制区域和辐射防护区域；</w:t>
      </w:r>
    </w:p>
    <w:p>
      <w:pPr>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（2）及时采取先期处置措施，减轻或消除辐射事故危害，防止放射性污染扩散和次生事故的发生，减少事故造成的损失；</w:t>
      </w:r>
    </w:p>
    <w:p>
      <w:pPr>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（3）及时做好放射源搜寻和收贮以及放射性物质处置，减轻对公众危害；</w:t>
      </w:r>
    </w:p>
    <w:p>
      <w:pPr>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（4）按要求对受辐射照射人员和受污染车辆、仪器设备等物品进行必要去污洗消，对因照射受伤人员及时送医救治；</w:t>
      </w:r>
    </w:p>
    <w:p>
      <w:pPr>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（5）必要时，可向上级辐射事故应急指挥部请求支援。</w:t>
      </w:r>
    </w:p>
    <w:p>
      <w:pPr>
        <w:pStyle w:val="37"/>
        <w:keepNext/>
        <w:keepLines/>
        <w:numPr>
          <w:ilvl w:val="1"/>
          <w:numId w:val="2"/>
        </w:numPr>
        <w:spacing w:line="560" w:lineRule="exact"/>
        <w:ind w:left="0" w:firstLine="643"/>
        <w:outlineLvl w:val="2"/>
        <w:rPr>
          <w:rFonts w:hint="default" w:ascii="Times New Roman" w:hAnsi="Times New Roman" w:eastAsia="仿宋_GB2312" w:cs="Times New Roman"/>
          <w:b/>
          <w:vanish/>
          <w:sz w:val="32"/>
          <w:szCs w:val="32"/>
        </w:rPr>
      </w:pPr>
      <w:bookmarkStart w:id="88" w:name="_Toc203148042"/>
      <w:bookmarkEnd w:id="88"/>
      <w:bookmarkStart w:id="89" w:name="_Toc215170939"/>
      <w:bookmarkEnd w:id="89"/>
      <w:bookmarkStart w:id="90" w:name="_Toc203147799"/>
      <w:bookmarkEnd w:id="90"/>
      <w:bookmarkStart w:id="91" w:name="_Toc201825686"/>
      <w:bookmarkEnd w:id="91"/>
    </w:p>
    <w:p>
      <w:pPr>
        <w:pStyle w:val="5"/>
        <w:numPr>
          <w:ilvl w:val="2"/>
          <w:numId w:val="2"/>
        </w:numPr>
        <w:spacing w:before="0" w:after="0" w:line="560" w:lineRule="exact"/>
        <w:ind w:left="0" w:firstLine="640" w:firstLineChars="200"/>
        <w:rPr>
          <w:rFonts w:hint="default" w:ascii="Times New Roman" w:hAnsi="Times New Roman" w:eastAsia="仿宋_GB2312" w:cs="Times New Roman"/>
          <w:b w:val="0"/>
          <w:bCs/>
          <w:szCs w:val="32"/>
        </w:rPr>
      </w:pPr>
      <w:r>
        <w:rPr>
          <w:rFonts w:hint="default" w:ascii="Times New Roman" w:hAnsi="Times New Roman" w:eastAsia="仿宋_GB2312" w:cs="Times New Roman"/>
          <w:b w:val="0"/>
          <w:bCs/>
          <w:szCs w:val="32"/>
        </w:rPr>
        <w:t xml:space="preserve"> </w:t>
      </w:r>
      <w:bookmarkStart w:id="92" w:name="_Toc215170940"/>
      <w:r>
        <w:rPr>
          <w:rFonts w:hint="default" w:ascii="Times New Roman" w:hAnsi="Times New Roman" w:eastAsia="仿宋_GB2312" w:cs="Times New Roman"/>
          <w:b w:val="0"/>
          <w:bCs/>
          <w:szCs w:val="32"/>
        </w:rPr>
        <w:t>应急监测</w:t>
      </w:r>
      <w:bookmarkEnd w:id="92"/>
    </w:p>
    <w:p>
      <w:pPr>
        <w:spacing w:line="560" w:lineRule="exact"/>
        <w:ind w:firstLine="420" w:firstLineChars="200"/>
        <w:rPr>
          <w:rFonts w:hint="default" w:ascii="Times New Roman" w:hAnsi="Times New Roman" w:eastAsia="仿宋_GB2312" w:cs="Times New Roman"/>
          <w:kern w:val="0"/>
          <w:sz w:val="32"/>
          <w:szCs w:val="32"/>
          <w:lang w:bidi="en-US"/>
        </w:rPr>
      </w:pPr>
      <w:r>
        <w:rPr>
          <w:rFonts w:hint="default" w:ascii="Times New Roman" w:hAnsi="Times New Roman" w:cs="Times New Roman"/>
          <w:lang w:bidi="en-US"/>
        </w:rPr>
        <w:t>　　</w:t>
      </w:r>
      <w:r>
        <w:rPr>
          <w:rFonts w:hint="default" w:ascii="Times New Roman" w:hAnsi="Times New Roman" w:eastAsia="仿宋_GB2312" w:cs="Times New Roman"/>
          <w:kern w:val="0"/>
          <w:sz w:val="32"/>
          <w:szCs w:val="32"/>
          <w:lang w:bidi="en-US"/>
        </w:rPr>
        <w:t>市生态环境局荔湾分局组织应急环境监测力量立即前往事故现场，</w:t>
      </w:r>
      <w:r>
        <w:rPr>
          <w:rFonts w:hint="default" w:ascii="Times New Roman" w:hAnsi="Times New Roman" w:eastAsia="仿宋_GB2312" w:cs="Times New Roman"/>
          <w:sz w:val="32"/>
          <w:szCs w:val="32"/>
        </w:rPr>
        <w:t>在确保人员安全的情况下，应立即开展应急监测，迅速摸清辐射事故污染状况；对于特别复杂现场情况，制定应急监测方案，经专家组确认后并组织实施，持续跟踪监测，直至事故处置终止</w:t>
      </w:r>
      <w:r>
        <w:rPr>
          <w:rFonts w:hint="default" w:ascii="Times New Roman" w:hAnsi="Times New Roman" w:eastAsia="仿宋_GB2312" w:cs="Times New Roman"/>
          <w:kern w:val="0"/>
          <w:sz w:val="32"/>
          <w:szCs w:val="32"/>
          <w:lang w:bidi="en-US"/>
        </w:rPr>
        <w:t>；及时将监测报告报送区应急办；</w:t>
      </w:r>
      <w:r>
        <w:rPr>
          <w:rFonts w:hint="default" w:ascii="Times New Roman" w:hAnsi="Times New Roman" w:eastAsia="仿宋_GB2312" w:cs="Times New Roman"/>
          <w:sz w:val="32"/>
          <w:szCs w:val="32"/>
        </w:rPr>
        <w:t>必要时向上级指挥部请求支援</w:t>
      </w:r>
      <w:r>
        <w:rPr>
          <w:rFonts w:hint="default" w:ascii="Times New Roman" w:hAnsi="Times New Roman" w:eastAsia="仿宋_GB2312" w:cs="Times New Roman"/>
          <w:kern w:val="0"/>
          <w:sz w:val="32"/>
          <w:szCs w:val="32"/>
          <w:lang w:bidi="en-US"/>
        </w:rPr>
        <w:t>。</w:t>
      </w:r>
    </w:p>
    <w:p>
      <w:pPr>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在获得当地环境辐射本底水平值数据、放射源的原始资料信息及辐射事故信息的情况下，对事故污染区域按照从外围到中心逐步进行监测，确定受污染区域范围。</w:t>
      </w:r>
    </w:p>
    <w:p>
      <w:pPr>
        <w:spacing w:line="560" w:lineRule="exact"/>
        <w:ind w:firstLine="640" w:firstLineChars="200"/>
        <w:rPr>
          <w:rFonts w:hint="default" w:ascii="Times New Roman" w:hAnsi="Times New Roman" w:eastAsia="仿宋_GB2312" w:cs="Times New Roman"/>
          <w:sz w:val="32"/>
          <w:szCs w:val="32"/>
          <w:lang w:bidi="en-US"/>
        </w:rPr>
      </w:pPr>
      <w:r>
        <w:rPr>
          <w:rFonts w:hint="default" w:ascii="Times New Roman" w:hAnsi="Times New Roman" w:eastAsia="仿宋_GB2312" w:cs="Times New Roman"/>
          <w:kern w:val="0"/>
          <w:sz w:val="32"/>
          <w:szCs w:val="32"/>
          <w:lang w:bidi="en-US"/>
        </w:rPr>
        <w:t>按照监测规范，对受污染区域的环境状况、环境资源、相关人员进行监测（采样），确定环境辐射污染程度；及时将监测报告</w:t>
      </w:r>
      <w:r>
        <w:rPr>
          <w:rFonts w:hint="default" w:ascii="Times New Roman" w:hAnsi="Times New Roman" w:eastAsia="仿宋_GB2312" w:cs="Times New Roman"/>
          <w:spacing w:val="-4"/>
          <w:sz w:val="32"/>
          <w:szCs w:val="32"/>
        </w:rPr>
        <w:t>（包括初步报告和详细报告）</w:t>
      </w:r>
      <w:r>
        <w:rPr>
          <w:rFonts w:hint="default" w:ascii="Times New Roman" w:hAnsi="Times New Roman" w:eastAsia="仿宋_GB2312" w:cs="Times New Roman"/>
          <w:kern w:val="0"/>
          <w:sz w:val="32"/>
          <w:szCs w:val="32"/>
          <w:lang w:bidi="en-US"/>
        </w:rPr>
        <w:t>报送至区应急办。</w:t>
      </w:r>
    </w:p>
    <w:p>
      <w:pPr>
        <w:pStyle w:val="5"/>
        <w:numPr>
          <w:ilvl w:val="2"/>
          <w:numId w:val="2"/>
        </w:numPr>
        <w:spacing w:before="0" w:after="0" w:line="560" w:lineRule="exact"/>
        <w:ind w:left="0" w:firstLine="640" w:firstLineChars="200"/>
        <w:rPr>
          <w:rFonts w:hint="default" w:ascii="Times New Roman" w:hAnsi="Times New Roman" w:eastAsia="仿宋_GB2312" w:cs="Times New Roman"/>
          <w:b w:val="0"/>
          <w:bCs/>
          <w:szCs w:val="32"/>
        </w:rPr>
      </w:pPr>
      <w:r>
        <w:rPr>
          <w:rFonts w:hint="default" w:ascii="Times New Roman" w:hAnsi="Times New Roman" w:eastAsia="仿宋_GB2312" w:cs="Times New Roman"/>
          <w:b w:val="0"/>
          <w:bCs/>
          <w:szCs w:val="32"/>
        </w:rPr>
        <w:t xml:space="preserve"> </w:t>
      </w:r>
      <w:bookmarkStart w:id="93" w:name="_Toc215170941"/>
      <w:r>
        <w:rPr>
          <w:rFonts w:hint="default" w:ascii="Times New Roman" w:hAnsi="Times New Roman" w:eastAsia="仿宋_GB2312" w:cs="Times New Roman"/>
          <w:b w:val="0"/>
          <w:bCs/>
          <w:szCs w:val="32"/>
        </w:rPr>
        <w:t>应急处置</w:t>
      </w:r>
      <w:bookmarkEnd w:id="93"/>
    </w:p>
    <w:p>
      <w:pPr>
        <w:spacing w:line="560" w:lineRule="exact"/>
        <w:ind w:firstLine="640" w:firstLineChars="200"/>
        <w:rPr>
          <w:rFonts w:hint="default" w:ascii="Times New Roman" w:hAnsi="Times New Roman" w:eastAsia="仿宋_GB2312" w:cs="Times New Roman"/>
          <w:sz w:val="32"/>
          <w:szCs w:val="32"/>
          <w:lang w:bidi="en-US"/>
        </w:rPr>
      </w:pPr>
      <w:r>
        <w:rPr>
          <w:rFonts w:hint="default" w:ascii="Times New Roman" w:hAnsi="Times New Roman" w:eastAsia="仿宋_GB2312" w:cs="Times New Roman"/>
          <w:sz w:val="32"/>
          <w:szCs w:val="32"/>
        </w:rPr>
        <w:t>区指挥部组织区辐射事故应急工作人员迅速开展事故排查，确定事故单位和可能造成污染情况，做好调查取证工作；指挥救援处置组根据事故现场情况，立即制定应急调查方案；协调专业机构对事故现场放射性废物进行清理；指挥安全保卫组对事故现场进行隔离、警戒和追缴丢失、被盗的放射源；必要时向上级指挥部请求支援</w:t>
      </w:r>
      <w:r>
        <w:rPr>
          <w:rFonts w:hint="default" w:ascii="Times New Roman" w:hAnsi="Times New Roman" w:eastAsia="仿宋_GB2312" w:cs="Times New Roman"/>
          <w:kern w:val="0"/>
          <w:sz w:val="32"/>
          <w:szCs w:val="32"/>
          <w:lang w:bidi="en-US"/>
        </w:rPr>
        <w:t>。</w:t>
      </w:r>
    </w:p>
    <w:p>
      <w:pPr>
        <w:pStyle w:val="5"/>
        <w:numPr>
          <w:ilvl w:val="2"/>
          <w:numId w:val="2"/>
        </w:numPr>
        <w:spacing w:before="0" w:after="0" w:line="560" w:lineRule="exact"/>
        <w:ind w:left="0" w:firstLine="640" w:firstLineChars="200"/>
        <w:rPr>
          <w:rFonts w:hint="default" w:ascii="Times New Roman" w:hAnsi="Times New Roman" w:eastAsia="仿宋_GB2312" w:cs="Times New Roman"/>
          <w:b w:val="0"/>
          <w:bCs/>
          <w:szCs w:val="32"/>
        </w:rPr>
      </w:pPr>
      <w:r>
        <w:rPr>
          <w:rFonts w:hint="default" w:ascii="Times New Roman" w:hAnsi="Times New Roman" w:eastAsia="仿宋_GB2312" w:cs="Times New Roman"/>
          <w:b w:val="0"/>
          <w:bCs/>
          <w:szCs w:val="32"/>
        </w:rPr>
        <w:t xml:space="preserve"> </w:t>
      </w:r>
      <w:bookmarkStart w:id="94" w:name="_Toc215170942"/>
      <w:r>
        <w:rPr>
          <w:rFonts w:hint="default" w:ascii="Times New Roman" w:hAnsi="Times New Roman" w:eastAsia="仿宋_GB2312" w:cs="Times New Roman"/>
          <w:b w:val="0"/>
          <w:bCs/>
          <w:szCs w:val="32"/>
        </w:rPr>
        <w:t>现场管控</w:t>
      </w:r>
      <w:bookmarkEnd w:id="94"/>
    </w:p>
    <w:p>
      <w:pPr>
        <w:spacing w:line="560" w:lineRule="exact"/>
        <w:ind w:firstLine="420" w:firstLineChars="200"/>
        <w:rPr>
          <w:rFonts w:hint="default" w:ascii="Times New Roman" w:hAnsi="Times New Roman" w:eastAsia="仿宋_GB2312" w:cs="Times New Roman"/>
          <w:sz w:val="32"/>
          <w:szCs w:val="32"/>
          <w:lang w:bidi="en-US"/>
        </w:rPr>
      </w:pPr>
      <w:r>
        <w:rPr>
          <w:rFonts w:hint="default" w:ascii="Times New Roman" w:hAnsi="Times New Roman" w:cs="Times New Roman"/>
          <w:lang w:bidi="en-US"/>
        </w:rPr>
        <w:t>　</w:t>
      </w:r>
      <w:r>
        <w:rPr>
          <w:rFonts w:hint="default" w:ascii="Times New Roman" w:hAnsi="Times New Roman" w:eastAsia="仿宋_GB2312" w:cs="Times New Roman"/>
          <w:kern w:val="0"/>
          <w:sz w:val="32"/>
          <w:szCs w:val="32"/>
          <w:lang w:bidi="en-US"/>
        </w:rPr>
        <w:t>安全保卫组根据应急监测结果和放射性对人体的伤害特点，封锁事故现场，组织疏散现场周围人员；组织设置隔离带和警戒区，设立辐射警示标志，</w:t>
      </w:r>
      <w:r>
        <w:rPr>
          <w:rFonts w:hint="default" w:ascii="Times New Roman" w:hAnsi="Times New Roman" w:eastAsia="仿宋_GB2312" w:cs="Times New Roman"/>
          <w:sz w:val="32"/>
          <w:szCs w:val="32"/>
        </w:rPr>
        <w:t>实行交通管制；立案侦查和追缴丢失、被盗的放射源。</w:t>
      </w:r>
    </w:p>
    <w:p>
      <w:pPr>
        <w:pStyle w:val="5"/>
        <w:numPr>
          <w:ilvl w:val="2"/>
          <w:numId w:val="2"/>
        </w:numPr>
        <w:spacing w:before="0" w:after="0" w:line="560" w:lineRule="exact"/>
        <w:ind w:left="0" w:firstLine="640" w:firstLineChars="200"/>
        <w:rPr>
          <w:rFonts w:hint="default" w:ascii="Times New Roman" w:hAnsi="Times New Roman" w:eastAsia="仿宋_GB2312" w:cs="Times New Roman"/>
          <w:b w:val="0"/>
          <w:bCs/>
          <w:szCs w:val="32"/>
        </w:rPr>
      </w:pPr>
      <w:r>
        <w:rPr>
          <w:rFonts w:hint="default" w:ascii="Times New Roman" w:hAnsi="Times New Roman" w:eastAsia="仿宋_GB2312" w:cs="Times New Roman"/>
          <w:b w:val="0"/>
          <w:bCs/>
          <w:szCs w:val="32"/>
        </w:rPr>
        <w:t xml:space="preserve"> </w:t>
      </w:r>
      <w:bookmarkStart w:id="95" w:name="_Toc215170943"/>
      <w:r>
        <w:rPr>
          <w:rFonts w:hint="default" w:ascii="Times New Roman" w:hAnsi="Times New Roman" w:eastAsia="仿宋_GB2312" w:cs="Times New Roman"/>
          <w:b w:val="0"/>
          <w:bCs/>
          <w:szCs w:val="32"/>
        </w:rPr>
        <w:t>医疗救护</w:t>
      </w:r>
      <w:bookmarkEnd w:id="95"/>
    </w:p>
    <w:p>
      <w:pPr>
        <w:spacing w:line="560" w:lineRule="exact"/>
        <w:ind w:firstLine="640" w:firstLineChars="200"/>
        <w:rPr>
          <w:rFonts w:hint="default" w:ascii="Times New Roman" w:hAnsi="Times New Roman" w:cs="Times New Roman"/>
          <w:lang w:bidi="en-US"/>
        </w:rPr>
      </w:pPr>
      <w:r>
        <w:rPr>
          <w:rFonts w:hint="default" w:ascii="Times New Roman" w:hAnsi="Times New Roman" w:eastAsia="仿宋_GB2312" w:cs="Times New Roman"/>
          <w:kern w:val="0"/>
          <w:sz w:val="32"/>
          <w:szCs w:val="32"/>
          <w:lang w:bidi="en-US"/>
        </w:rPr>
        <w:t>医疗救护组</w:t>
      </w:r>
      <w:r>
        <w:rPr>
          <w:rFonts w:hint="default" w:ascii="Times New Roman" w:hAnsi="Times New Roman" w:eastAsia="仿宋_GB2312" w:cs="Times New Roman"/>
          <w:sz w:val="32"/>
          <w:szCs w:val="32"/>
        </w:rPr>
        <w:t>设立医疗卫生救援点，对现场的受伤人员进行医疗救治和卫生处理，确定人员放射损伤程度，视情况转移至专科医院进行治疗，并协助现场监测组进行人员受照剂量监测工作；必要时向上级指挥部请求支援</w:t>
      </w:r>
      <w:r>
        <w:rPr>
          <w:rFonts w:hint="default" w:ascii="Times New Roman" w:hAnsi="Times New Roman" w:eastAsia="仿宋_GB2312" w:cs="Times New Roman"/>
          <w:kern w:val="0"/>
          <w:sz w:val="32"/>
          <w:szCs w:val="32"/>
          <w:lang w:bidi="en-US"/>
        </w:rPr>
        <w:t>。</w:t>
      </w:r>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  </w:t>
      </w:r>
      <w:bookmarkStart w:id="96" w:name="_Toc215170944"/>
      <w:r>
        <w:rPr>
          <w:rFonts w:hint="default" w:ascii="Times New Roman" w:hAnsi="Times New Roman" w:eastAsia="仿宋_GB2312" w:cs="Times New Roman"/>
          <w:szCs w:val="32"/>
        </w:rPr>
        <w:t>事故报告及信息发布</w:t>
      </w:r>
      <w:bookmarkEnd w:id="96"/>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根据《放射性同位素与射线装置安全和防护管理办法》《突发环境事件信息报告办法》《广州市突发事件总体应急预案》有关规定要求，做好辐射事故报告工作。</w:t>
      </w:r>
    </w:p>
    <w:p>
      <w:pPr>
        <w:pStyle w:val="37"/>
        <w:keepNext/>
        <w:keepLines/>
        <w:numPr>
          <w:ilvl w:val="1"/>
          <w:numId w:val="2"/>
        </w:numPr>
        <w:spacing w:line="560" w:lineRule="exact"/>
        <w:ind w:left="0" w:firstLine="643"/>
        <w:outlineLvl w:val="2"/>
        <w:rPr>
          <w:rFonts w:hint="default" w:ascii="Times New Roman" w:hAnsi="Times New Roman" w:eastAsia="仿宋_GB2312" w:cs="Times New Roman"/>
          <w:b/>
          <w:vanish/>
          <w:sz w:val="32"/>
          <w:szCs w:val="32"/>
        </w:rPr>
      </w:pPr>
      <w:bookmarkStart w:id="97" w:name="_Toc203147805"/>
      <w:bookmarkEnd w:id="97"/>
      <w:bookmarkStart w:id="98" w:name="_Toc201825692"/>
      <w:bookmarkEnd w:id="98"/>
      <w:bookmarkStart w:id="99" w:name="_Toc203148048"/>
      <w:bookmarkEnd w:id="99"/>
      <w:bookmarkStart w:id="100" w:name="_Toc215170945"/>
      <w:bookmarkEnd w:id="100"/>
    </w:p>
    <w:p>
      <w:pPr>
        <w:pStyle w:val="5"/>
        <w:numPr>
          <w:ilvl w:val="2"/>
          <w:numId w:val="2"/>
        </w:numPr>
        <w:spacing w:before="0" w:after="0" w:line="560" w:lineRule="exact"/>
        <w:ind w:left="0" w:firstLine="640" w:firstLineChars="200"/>
        <w:rPr>
          <w:rFonts w:hint="default" w:ascii="Times New Roman" w:hAnsi="Times New Roman" w:eastAsia="仿宋_GB2312" w:cs="Times New Roman"/>
          <w:b w:val="0"/>
          <w:bCs/>
          <w:szCs w:val="32"/>
        </w:rPr>
      </w:pPr>
      <w:r>
        <w:rPr>
          <w:rFonts w:hint="default" w:ascii="Times New Roman" w:hAnsi="Times New Roman" w:eastAsia="仿宋_GB2312" w:cs="Times New Roman"/>
          <w:b w:val="0"/>
          <w:bCs/>
          <w:szCs w:val="32"/>
        </w:rPr>
        <w:t xml:space="preserve"> </w:t>
      </w:r>
      <w:bookmarkStart w:id="101" w:name="_Toc215170946"/>
      <w:r>
        <w:rPr>
          <w:rFonts w:hint="default" w:ascii="Times New Roman" w:hAnsi="Times New Roman" w:eastAsia="仿宋_GB2312" w:cs="Times New Roman"/>
          <w:b w:val="0"/>
          <w:bCs/>
          <w:szCs w:val="32"/>
        </w:rPr>
        <w:t>报告流程及时限</w:t>
      </w:r>
      <w:bookmarkEnd w:id="101"/>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发生辐射事故或者发生可能引发辐射事故的运行故障时，事故单位应当立即启动本单位的应急预案，采取应急措施，并在事发后2小时内电话向区卫生健康局、区公安分局及市生态环境局荔湾分局报告。任何单位和个人不得隐瞒事故，不得拖延不报或谎报。</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指挥部接到报告后，立即派人赶赴现场了解情况，第一时间填写《辐射事故初始报告表》（见附件9.5）向区应急办报告。</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区应急办接到事故信息后，应当在1小时内核实确认辐射事故的发生并向市应急办和区委、区政府报告。</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区应急办接到辐射事故或者可能引发辐射事故的运行故障报告，应当立即派人赶赴现场，进行现场调查，采取有效措施，控制并消除事故或者事故影响，配合区委宣传部（区委网信办）等部门做好信息公开、公众宣传等外部应急响应工作。</w:t>
      </w:r>
    </w:p>
    <w:p>
      <w:pPr>
        <w:pStyle w:val="5"/>
        <w:numPr>
          <w:ilvl w:val="2"/>
          <w:numId w:val="2"/>
        </w:numPr>
        <w:spacing w:before="0" w:after="0" w:line="560" w:lineRule="exact"/>
        <w:ind w:left="0" w:firstLine="640" w:firstLineChars="200"/>
        <w:rPr>
          <w:rFonts w:hint="default" w:ascii="Times New Roman" w:hAnsi="Times New Roman" w:eastAsia="仿宋_GB2312" w:cs="Times New Roman"/>
          <w:b w:val="0"/>
          <w:bCs/>
          <w:szCs w:val="32"/>
        </w:rPr>
      </w:pPr>
      <w:r>
        <w:rPr>
          <w:rFonts w:hint="default" w:ascii="Times New Roman" w:hAnsi="Times New Roman" w:eastAsia="仿宋_GB2312" w:cs="Times New Roman"/>
          <w:b w:val="0"/>
          <w:bCs/>
          <w:szCs w:val="32"/>
        </w:rPr>
        <w:t xml:space="preserve"> </w:t>
      </w:r>
      <w:bookmarkStart w:id="102" w:name="_Toc215170947"/>
      <w:r>
        <w:rPr>
          <w:rFonts w:hint="default" w:ascii="Times New Roman" w:hAnsi="Times New Roman" w:eastAsia="仿宋_GB2312" w:cs="Times New Roman"/>
          <w:b w:val="0"/>
          <w:bCs/>
          <w:szCs w:val="32"/>
        </w:rPr>
        <w:t>信息发布</w:t>
      </w:r>
      <w:bookmarkEnd w:id="102"/>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辐射事故的信息发布应遵循依法、及时、客观、全面的原则。根据应急响应级别由政府统一向社会发布信息。任何单位和个人不得编造、传播有关辐射事故事态发展或者应急处置工作的虚假信息。有关部门要加强对相关信息的监测、搜集、核实、审查和管理，做好舆情分析和舆论引导，防止网络谣言不实信息误导公众。</w:t>
      </w:r>
    </w:p>
    <w:p>
      <w:pPr>
        <w:pStyle w:val="6"/>
        <w:numPr>
          <w:ilvl w:val="3"/>
          <w:numId w:val="2"/>
        </w:numPr>
        <w:autoSpaceDE/>
        <w:autoSpaceDN/>
        <w:spacing w:line="560" w:lineRule="exact"/>
        <w:ind w:left="0" w:firstLine="64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发布机制</w:t>
      </w:r>
    </w:p>
    <w:p>
      <w:pPr>
        <w:spacing w:line="560" w:lineRule="exact"/>
        <w:ind w:firstLine="640" w:firstLineChars="200"/>
        <w:rPr>
          <w:rFonts w:hint="default" w:ascii="Times New Roman" w:hAnsi="Times New Roman" w:eastAsia="仿宋_GB2312" w:cs="Times New Roman"/>
          <w:sz w:val="32"/>
          <w:szCs w:val="32"/>
        </w:rPr>
      </w:pPr>
      <w:bookmarkStart w:id="103" w:name="_Hlk215163673"/>
      <w:r>
        <w:rPr>
          <w:rFonts w:hint="default" w:ascii="Times New Roman" w:hAnsi="Times New Roman" w:eastAsia="仿宋_GB2312" w:cs="Times New Roman"/>
          <w:sz w:val="32"/>
          <w:szCs w:val="32"/>
        </w:rPr>
        <w:t>（1）区应急办负责区辐射事故信息的统筹。特别重大、重大、较大突发事件信息，按照省、市的预案由省、市人民政府或授权部门向社会发布；一般突发事件信息的发布由区人民政府或区应急办根据区人民政府授权负责；</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（2）信息发布形式主要包括提供新闻通稿、举行新闻发布会、接受媒体采访，以及运用官方网站、微博、微信、手机短信等官方信息平台发布信息，具体按照有关规定执行；</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（3）区人民政府要加强网络媒体和移动新媒体信息发布内容管理和舆情分析，及时回应社会关切，迅速澄清谣言，引导公众依法、理性表达意见，形成积极健康的社会舆论；</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bidi="ar-SA"/>
        </w:rPr>
      </w:pPr>
      <w:r>
        <w:rPr>
          <w:rFonts w:hint="default" w:ascii="Times New Roman" w:hAnsi="Times New Roman" w:eastAsia="仿宋_GB2312" w:cs="Times New Roman"/>
          <w:sz w:val="32"/>
          <w:szCs w:val="32"/>
          <w:lang w:eastAsia="zh-CN"/>
        </w:rPr>
        <w:t>（4）未经区指挥部批准，参与事故应急处置工作的有关单位和人员不得擅自对外发布事件原因、伤亡数字、责任追究等有关辐射事故应急处置工作情况和事态发展的信息。任何单位和个人不得编造、传播有关辐射事故事态发展或者应急处置工作的虚假信息。</w:t>
      </w:r>
    </w:p>
    <w:bookmarkEnd w:id="103"/>
    <w:p>
      <w:pPr>
        <w:pStyle w:val="6"/>
        <w:numPr>
          <w:ilvl w:val="3"/>
          <w:numId w:val="2"/>
        </w:numPr>
        <w:autoSpaceDE/>
        <w:autoSpaceDN/>
        <w:spacing w:line="560" w:lineRule="exact"/>
        <w:ind w:left="0" w:firstLine="64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发布内容</w:t>
      </w:r>
    </w:p>
    <w:p>
      <w:pPr>
        <w:spacing w:line="560" w:lineRule="exact"/>
        <w:ind w:firstLine="640" w:firstLineChars="200"/>
        <w:rPr>
          <w:rFonts w:hint="default" w:ascii="Times New Roman" w:hAnsi="Times New Roman" w:eastAsia="仿宋_GB2312" w:cs="Times New Roman"/>
          <w:kern w:val="0"/>
          <w:sz w:val="32"/>
          <w:szCs w:val="32"/>
          <w:lang w:bidi="en-US"/>
        </w:rPr>
      </w:pPr>
      <w:bookmarkStart w:id="104" w:name="_Hlk215163688"/>
      <w:r>
        <w:rPr>
          <w:rFonts w:hint="default" w:ascii="Times New Roman" w:hAnsi="Times New Roman" w:eastAsia="仿宋_GB2312" w:cs="Times New Roman"/>
          <w:kern w:val="0"/>
          <w:sz w:val="32"/>
          <w:szCs w:val="32"/>
          <w:lang w:bidi="en-US"/>
        </w:rPr>
        <w:t>信息发布内容包括事故原因、严重程度、影响范围、应对措施、需要公众配合采取的措施、公众防护常识和事故调查处理进展情况等。</w:t>
      </w:r>
      <w:bookmarkEnd w:id="104"/>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bookmarkStart w:id="105" w:name="_Toc46507893"/>
      <w:bookmarkStart w:id="106" w:name="_Toc53393258"/>
      <w:bookmarkStart w:id="107" w:name="_Toc2827"/>
      <w:bookmarkStart w:id="108" w:name="_Toc23244646"/>
      <w:r>
        <w:rPr>
          <w:rFonts w:hint="default" w:ascii="Times New Roman" w:hAnsi="Times New Roman" w:eastAsia="仿宋_GB2312" w:cs="Times New Roman"/>
          <w:szCs w:val="32"/>
        </w:rPr>
        <w:t xml:space="preserve">  </w:t>
      </w:r>
      <w:bookmarkStart w:id="109" w:name="_Toc215170948"/>
      <w:r>
        <w:rPr>
          <w:rFonts w:hint="default" w:ascii="Times New Roman" w:hAnsi="Times New Roman" w:eastAsia="仿宋_GB2312" w:cs="Times New Roman"/>
          <w:szCs w:val="32"/>
        </w:rPr>
        <w:t>安全防护</w:t>
      </w:r>
      <w:bookmarkEnd w:id="105"/>
      <w:bookmarkEnd w:id="106"/>
      <w:bookmarkEnd w:id="107"/>
      <w:bookmarkEnd w:id="108"/>
      <w:bookmarkEnd w:id="109"/>
      <w:bookmarkStart w:id="110" w:name="_Toc46509883"/>
      <w:bookmarkEnd w:id="110"/>
      <w:bookmarkStart w:id="111" w:name="_Toc31765"/>
      <w:bookmarkEnd w:id="111"/>
      <w:bookmarkStart w:id="112" w:name="_Toc23244647"/>
      <w:bookmarkEnd w:id="112"/>
      <w:bookmarkStart w:id="113" w:name="_Toc46501357"/>
      <w:bookmarkEnd w:id="113"/>
      <w:bookmarkStart w:id="114" w:name="_Toc53393259"/>
      <w:bookmarkEnd w:id="114"/>
      <w:bookmarkStart w:id="115" w:name="_Toc46507894"/>
      <w:bookmarkEnd w:id="115"/>
      <w:bookmarkStart w:id="116" w:name="_Toc46742195"/>
      <w:bookmarkEnd w:id="116"/>
    </w:p>
    <w:p>
      <w:pPr>
        <w:pStyle w:val="37"/>
        <w:keepNext/>
        <w:keepLines/>
        <w:numPr>
          <w:ilvl w:val="1"/>
          <w:numId w:val="2"/>
        </w:numPr>
        <w:spacing w:line="560" w:lineRule="exact"/>
        <w:ind w:left="0" w:firstLine="643"/>
        <w:outlineLvl w:val="2"/>
        <w:rPr>
          <w:rFonts w:hint="default" w:ascii="Times New Roman" w:hAnsi="Times New Roman" w:eastAsia="仿宋_GB2312" w:cs="Times New Roman"/>
          <w:b/>
          <w:vanish/>
          <w:sz w:val="32"/>
          <w:szCs w:val="32"/>
        </w:rPr>
      </w:pPr>
      <w:bookmarkStart w:id="117" w:name="_Toc203147809"/>
      <w:bookmarkEnd w:id="117"/>
      <w:bookmarkStart w:id="118" w:name="_Toc203148052"/>
      <w:bookmarkEnd w:id="118"/>
      <w:bookmarkStart w:id="119" w:name="_Toc215170949"/>
      <w:bookmarkEnd w:id="119"/>
      <w:bookmarkStart w:id="120" w:name="_Toc201825696"/>
      <w:bookmarkEnd w:id="120"/>
      <w:bookmarkStart w:id="121" w:name="_Toc13249"/>
      <w:bookmarkStart w:id="122" w:name="_Toc4261"/>
      <w:bookmarkStart w:id="123" w:name="_Toc11007"/>
      <w:bookmarkStart w:id="124" w:name="_Toc180501983"/>
      <w:bookmarkStart w:id="125" w:name="_Toc179298967"/>
      <w:bookmarkStart w:id="126" w:name="_Toc24513"/>
      <w:bookmarkStart w:id="127" w:name="_Toc30521"/>
      <w:bookmarkStart w:id="128" w:name="_Toc5238"/>
      <w:bookmarkStart w:id="129" w:name="_Toc24052"/>
      <w:bookmarkStart w:id="130" w:name="_Toc23315"/>
      <w:bookmarkStart w:id="131" w:name="_Toc14293"/>
      <w:bookmarkStart w:id="132" w:name="_Toc53393260"/>
      <w:bookmarkStart w:id="133" w:name="_Toc46507895"/>
      <w:bookmarkStart w:id="134" w:name="_Toc23244648"/>
    </w:p>
    <w:p>
      <w:pPr>
        <w:pStyle w:val="5"/>
        <w:numPr>
          <w:ilvl w:val="2"/>
          <w:numId w:val="2"/>
        </w:numPr>
        <w:spacing w:before="0" w:after="0" w:line="560" w:lineRule="exact"/>
        <w:ind w:left="0" w:firstLine="640" w:firstLineChars="200"/>
        <w:rPr>
          <w:rFonts w:hint="default" w:ascii="Times New Roman" w:hAnsi="Times New Roman" w:eastAsia="仿宋_GB2312" w:cs="Times New Roman"/>
          <w:b w:val="0"/>
          <w:bCs/>
          <w:szCs w:val="32"/>
        </w:rPr>
      </w:pPr>
      <w:r>
        <w:rPr>
          <w:rFonts w:hint="default" w:ascii="Times New Roman" w:hAnsi="Times New Roman" w:eastAsia="仿宋_GB2312" w:cs="Times New Roman"/>
          <w:b w:val="0"/>
          <w:bCs/>
          <w:szCs w:val="32"/>
        </w:rPr>
        <w:t xml:space="preserve"> </w:t>
      </w:r>
      <w:bookmarkStart w:id="135" w:name="_Toc215170950"/>
      <w:r>
        <w:rPr>
          <w:rFonts w:hint="default" w:ascii="Times New Roman" w:hAnsi="Times New Roman" w:eastAsia="仿宋_GB2312" w:cs="Times New Roman"/>
          <w:b w:val="0"/>
          <w:bCs/>
          <w:szCs w:val="32"/>
        </w:rPr>
        <w:t>应急人员的安全防护</w:t>
      </w:r>
      <w:bookmarkEnd w:id="121"/>
      <w:bookmarkEnd w:id="122"/>
      <w:bookmarkEnd w:id="123"/>
      <w:bookmarkEnd w:id="124"/>
      <w:bookmarkEnd w:id="125"/>
      <w:bookmarkEnd w:id="126"/>
      <w:bookmarkEnd w:id="127"/>
      <w:bookmarkEnd w:id="128"/>
      <w:bookmarkEnd w:id="129"/>
      <w:bookmarkEnd w:id="130"/>
      <w:bookmarkEnd w:id="135"/>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根据放射源或放射性物质的不同类型、核素和活度等情况，配备相应的防护装备，采取安全防护措施。</w:t>
      </w:r>
      <w:bookmarkStart w:id="136" w:name="_Toc180501984"/>
      <w:bookmarkStart w:id="137" w:name="_Toc4465"/>
      <w:bookmarkStart w:id="138" w:name="_Toc5810"/>
      <w:bookmarkStart w:id="139" w:name="_Toc6381"/>
      <w:bookmarkStart w:id="140" w:name="_Toc18559"/>
      <w:bookmarkStart w:id="141" w:name="_Toc18056"/>
      <w:bookmarkStart w:id="142" w:name="_Toc3904"/>
      <w:bookmarkStart w:id="143" w:name="_Toc17322"/>
      <w:bookmarkStart w:id="144" w:name="_Toc179298968"/>
      <w:bookmarkStart w:id="145" w:name="_Toc4357"/>
    </w:p>
    <w:p>
      <w:pPr>
        <w:pStyle w:val="5"/>
        <w:numPr>
          <w:ilvl w:val="2"/>
          <w:numId w:val="2"/>
        </w:numPr>
        <w:spacing w:before="0" w:after="0" w:line="560" w:lineRule="exact"/>
        <w:ind w:left="0" w:firstLine="640" w:firstLineChars="200"/>
        <w:rPr>
          <w:rFonts w:hint="default" w:ascii="Times New Roman" w:hAnsi="Times New Roman" w:eastAsia="仿宋_GB2312" w:cs="Times New Roman"/>
          <w:b w:val="0"/>
          <w:bCs/>
          <w:szCs w:val="32"/>
        </w:rPr>
      </w:pPr>
      <w:r>
        <w:rPr>
          <w:rFonts w:hint="default" w:ascii="Times New Roman" w:hAnsi="Times New Roman" w:eastAsia="仿宋_GB2312" w:cs="Times New Roman"/>
          <w:b w:val="0"/>
          <w:bCs/>
          <w:szCs w:val="32"/>
        </w:rPr>
        <w:t xml:space="preserve"> </w:t>
      </w:r>
      <w:bookmarkStart w:id="146" w:name="_Toc215170951"/>
      <w:r>
        <w:rPr>
          <w:rFonts w:hint="default" w:ascii="Times New Roman" w:hAnsi="Times New Roman" w:eastAsia="仿宋_GB2312" w:cs="Times New Roman"/>
          <w:b w:val="0"/>
          <w:bCs/>
          <w:szCs w:val="32"/>
        </w:rPr>
        <w:t>公众的安全防护</w:t>
      </w:r>
      <w:bookmarkEnd w:id="136"/>
      <w:bookmarkEnd w:id="137"/>
      <w:bookmarkEnd w:id="138"/>
      <w:bookmarkEnd w:id="139"/>
      <w:bookmarkEnd w:id="140"/>
      <w:bookmarkEnd w:id="141"/>
      <w:bookmarkEnd w:id="142"/>
      <w:bookmarkEnd w:id="143"/>
      <w:bookmarkEnd w:id="144"/>
      <w:bookmarkEnd w:id="145"/>
      <w:bookmarkEnd w:id="146"/>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（1）根据辐射事故的级别、特点，疏散污染源周围群众，限制人员进入受污染区域。必要时实行交通管制，防止群体性治安事件发生；</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（2）根据事发时当地的地理环境、交通道路情况和人员密集度等，确定群众疏散方式，由当地人民政府或公安部门组织群众安全疏散撤离；</w:t>
      </w:r>
    </w:p>
    <w:p>
      <w:pPr>
        <w:pStyle w:val="31"/>
        <w:autoSpaceDE/>
        <w:autoSpaceDN/>
        <w:snapToGrid w:val="0"/>
        <w:spacing w:line="560" w:lineRule="exact"/>
        <w:ind w:firstLine="640" w:firstLineChars="200"/>
        <w:jc w:val="both"/>
        <w:rPr>
          <w:rFonts w:hint="default" w:ascii="Times New Roman" w:hAnsi="Times New Roman" w:eastAsia="仿宋_GB2312" w:cs="Times New Roman"/>
          <w:lang w:eastAsia="zh-CN"/>
        </w:rPr>
      </w:pPr>
      <w:r>
        <w:rPr>
          <w:rFonts w:hint="default" w:ascii="Times New Roman" w:hAnsi="Times New Roman" w:eastAsia="仿宋_GB2312" w:cs="Times New Roman"/>
          <w:sz w:val="32"/>
          <w:szCs w:val="32"/>
          <w:lang w:eastAsia="zh-CN"/>
        </w:rPr>
        <w:t>（3）必要时，在事故发生地安全边界之外，启用或设立紧急避难场所。</w:t>
      </w:r>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bookmarkStart w:id="147" w:name="_Toc9804"/>
      <w:bookmarkStart w:id="148" w:name="_Toc23244650"/>
      <w:bookmarkStart w:id="149" w:name="_Toc7073"/>
      <w:bookmarkStart w:id="150" w:name="_Toc29261"/>
      <w:bookmarkStart w:id="151" w:name="_Toc3579"/>
      <w:bookmarkStart w:id="152" w:name="_Toc484"/>
      <w:bookmarkStart w:id="153" w:name="_Toc29321"/>
      <w:bookmarkStart w:id="154" w:name="_Toc5443"/>
      <w:bookmarkStart w:id="155" w:name="_Toc179298969"/>
      <w:bookmarkStart w:id="156" w:name="_Toc29772"/>
      <w:bookmarkStart w:id="157" w:name="_Toc32531"/>
      <w:bookmarkStart w:id="158" w:name="_Toc180501985"/>
      <w:bookmarkStart w:id="159" w:name="_Toc5288"/>
      <w:bookmarkStart w:id="160" w:name="_Toc3476"/>
      <w:bookmarkStart w:id="161" w:name="_Toc6266"/>
      <w:bookmarkStart w:id="162" w:name="_Toc46507897"/>
      <w:r>
        <w:rPr>
          <w:rFonts w:hint="default" w:ascii="Times New Roman" w:hAnsi="Times New Roman" w:eastAsia="仿宋_GB2312" w:cs="Times New Roman"/>
          <w:szCs w:val="32"/>
        </w:rPr>
        <w:t xml:space="preserve">  </w:t>
      </w:r>
      <w:bookmarkStart w:id="163" w:name="_Toc215170952"/>
      <w:r>
        <w:rPr>
          <w:rFonts w:hint="default" w:ascii="Times New Roman" w:hAnsi="Times New Roman" w:eastAsia="仿宋_GB2312" w:cs="Times New Roman"/>
          <w:szCs w:val="32"/>
        </w:rPr>
        <w:t>应急终止和恢复行动</w:t>
      </w:r>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Start w:id="164" w:name="_Toc23244651"/>
      <w:bookmarkEnd w:id="164"/>
      <w:bookmarkStart w:id="165" w:name="_Toc46742199"/>
      <w:bookmarkEnd w:id="165"/>
      <w:bookmarkStart w:id="166" w:name="_Toc46509887"/>
      <w:bookmarkEnd w:id="166"/>
      <w:bookmarkStart w:id="167" w:name="_Toc53393263"/>
      <w:bookmarkEnd w:id="167"/>
      <w:bookmarkStart w:id="168" w:name="_Toc46501361"/>
      <w:bookmarkEnd w:id="168"/>
      <w:bookmarkStart w:id="169" w:name="_Toc29117"/>
      <w:bookmarkEnd w:id="169"/>
      <w:bookmarkStart w:id="170" w:name="_Toc46507898"/>
      <w:bookmarkEnd w:id="170"/>
    </w:p>
    <w:p>
      <w:pPr>
        <w:pStyle w:val="37"/>
        <w:keepNext/>
        <w:keepLines/>
        <w:numPr>
          <w:ilvl w:val="1"/>
          <w:numId w:val="2"/>
        </w:numPr>
        <w:spacing w:line="560" w:lineRule="exact"/>
        <w:ind w:left="0" w:firstLine="643"/>
        <w:outlineLvl w:val="2"/>
        <w:rPr>
          <w:rFonts w:hint="default" w:ascii="Times New Roman" w:hAnsi="Times New Roman" w:eastAsia="仿宋_GB2312" w:cs="Times New Roman"/>
          <w:b/>
          <w:vanish/>
          <w:sz w:val="32"/>
          <w:szCs w:val="32"/>
        </w:rPr>
      </w:pPr>
      <w:bookmarkStart w:id="171" w:name="_Toc180501986"/>
      <w:bookmarkEnd w:id="171"/>
      <w:bookmarkStart w:id="172" w:name="_Toc180501722"/>
      <w:bookmarkEnd w:id="172"/>
      <w:bookmarkStart w:id="173" w:name="_Toc215170953"/>
      <w:bookmarkEnd w:id="173"/>
      <w:bookmarkStart w:id="174" w:name="_Toc201825700"/>
      <w:bookmarkEnd w:id="174"/>
      <w:bookmarkStart w:id="175" w:name="_Toc203147813"/>
      <w:bookmarkEnd w:id="175"/>
      <w:bookmarkStart w:id="176" w:name="_Toc203148056"/>
      <w:bookmarkEnd w:id="176"/>
      <w:bookmarkStart w:id="177" w:name="_Toc180501854"/>
      <w:bookmarkEnd w:id="177"/>
      <w:bookmarkStart w:id="178" w:name="_Toc180400053"/>
      <w:bookmarkEnd w:id="178"/>
      <w:bookmarkStart w:id="179" w:name="_Toc23244652"/>
      <w:bookmarkStart w:id="180" w:name="_Toc3159"/>
      <w:bookmarkStart w:id="181" w:name="_Toc11460"/>
      <w:bookmarkStart w:id="182" w:name="_Toc180501995"/>
      <w:bookmarkStart w:id="183" w:name="_Toc46507899"/>
      <w:bookmarkStart w:id="184" w:name="_Toc24755"/>
      <w:bookmarkStart w:id="185" w:name="_Toc16979"/>
      <w:bookmarkStart w:id="186" w:name="_Toc179298970"/>
      <w:bookmarkStart w:id="187" w:name="_Toc1214"/>
      <w:bookmarkStart w:id="188" w:name="_Toc23136"/>
      <w:bookmarkStart w:id="189" w:name="_Toc29577"/>
      <w:bookmarkStart w:id="190" w:name="_Toc26418"/>
      <w:bookmarkStart w:id="191" w:name="_Toc6590"/>
    </w:p>
    <w:p>
      <w:pPr>
        <w:pStyle w:val="5"/>
        <w:numPr>
          <w:ilvl w:val="2"/>
          <w:numId w:val="2"/>
        </w:numPr>
        <w:spacing w:before="0" w:after="0" w:line="560" w:lineRule="exact"/>
        <w:ind w:left="0" w:firstLine="640" w:firstLineChars="200"/>
        <w:rPr>
          <w:rFonts w:hint="default" w:ascii="Times New Roman" w:hAnsi="Times New Roman" w:eastAsia="仿宋_GB2312" w:cs="Times New Roman"/>
          <w:b w:val="0"/>
          <w:bCs/>
          <w:szCs w:val="32"/>
        </w:rPr>
      </w:pPr>
      <w:r>
        <w:rPr>
          <w:rFonts w:hint="default" w:ascii="Times New Roman" w:hAnsi="Times New Roman" w:eastAsia="仿宋_GB2312" w:cs="Times New Roman"/>
          <w:b w:val="0"/>
          <w:bCs/>
          <w:szCs w:val="32"/>
        </w:rPr>
        <w:t xml:space="preserve"> </w:t>
      </w:r>
      <w:bookmarkStart w:id="192" w:name="_Toc215170954"/>
      <w:r>
        <w:rPr>
          <w:rFonts w:hint="default" w:ascii="Times New Roman" w:hAnsi="Times New Roman" w:eastAsia="仿宋_GB2312" w:cs="Times New Roman"/>
          <w:b w:val="0"/>
          <w:bCs/>
          <w:szCs w:val="32"/>
        </w:rPr>
        <w:t>应急终止条件</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bookmarkStart w:id="193" w:name="_Hlk215163731"/>
      <w:r>
        <w:rPr>
          <w:rFonts w:hint="default" w:ascii="Times New Roman" w:hAnsi="Times New Roman" w:eastAsia="仿宋_GB2312" w:cs="Times New Roman"/>
          <w:sz w:val="32"/>
          <w:szCs w:val="32"/>
          <w:lang w:eastAsia="zh-CN"/>
        </w:rPr>
        <w:t>符合下列部分或全部条件，即满足应急状态终止条件：</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（1）经专家组确认环境放射性水平已降至国家规定的限值以内；</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（2）经专家组确认辐射事故所造成的危害已消除或可控；</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（3）经专家组确认事故现场的各种专业应急处置行动已无继续必要；</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（4）接到下一级辐射事故应急指挥机构应急状态终止的报告。</w:t>
      </w:r>
      <w:bookmarkStart w:id="194" w:name="_Toc21190"/>
      <w:bookmarkStart w:id="195" w:name="_Toc180501996"/>
      <w:bookmarkStart w:id="196" w:name="_Toc23244653"/>
      <w:bookmarkStart w:id="197" w:name="_Toc24887"/>
      <w:bookmarkStart w:id="198" w:name="_Toc8882"/>
      <w:bookmarkStart w:id="199" w:name="_Toc23065"/>
      <w:bookmarkStart w:id="200" w:name="_Toc46507900"/>
      <w:bookmarkStart w:id="201" w:name="_Toc13209"/>
      <w:bookmarkStart w:id="202" w:name="_Toc179298971"/>
      <w:bookmarkStart w:id="203" w:name="_Toc28278"/>
      <w:bookmarkStart w:id="204" w:name="_Toc17117"/>
      <w:bookmarkStart w:id="205" w:name="_Toc24039"/>
      <w:bookmarkStart w:id="206" w:name="_Toc25742"/>
    </w:p>
    <w:bookmarkEnd w:id="131"/>
    <w:bookmarkEnd w:id="132"/>
    <w:bookmarkEnd w:id="133"/>
    <w:bookmarkEnd w:id="134"/>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p>
      <w:pPr>
        <w:pStyle w:val="5"/>
        <w:numPr>
          <w:ilvl w:val="2"/>
          <w:numId w:val="2"/>
        </w:numPr>
        <w:spacing w:before="0" w:after="0" w:line="560" w:lineRule="exact"/>
        <w:ind w:left="0" w:firstLine="640" w:firstLineChars="200"/>
        <w:rPr>
          <w:rFonts w:hint="default" w:ascii="Times New Roman" w:hAnsi="Times New Roman" w:eastAsia="仿宋_GB2312" w:cs="Times New Roman"/>
          <w:b w:val="0"/>
          <w:bCs/>
          <w:szCs w:val="32"/>
        </w:rPr>
      </w:pPr>
      <w:r>
        <w:rPr>
          <w:rFonts w:hint="default" w:ascii="Times New Roman" w:hAnsi="Times New Roman" w:eastAsia="仿宋_GB2312" w:cs="Times New Roman"/>
          <w:b w:val="0"/>
          <w:bCs/>
          <w:szCs w:val="32"/>
        </w:rPr>
        <w:t xml:space="preserve"> </w:t>
      </w:r>
      <w:bookmarkStart w:id="207" w:name="_Toc215170955"/>
      <w:r>
        <w:rPr>
          <w:rFonts w:hint="default" w:ascii="Times New Roman" w:hAnsi="Times New Roman" w:eastAsia="仿宋_GB2312" w:cs="Times New Roman"/>
          <w:b w:val="0"/>
          <w:bCs/>
          <w:szCs w:val="32"/>
        </w:rPr>
        <w:t>应急终止程序</w:t>
      </w:r>
      <w:bookmarkEnd w:id="207"/>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bookmarkStart w:id="208" w:name="_Hlk215163740"/>
      <w:r>
        <w:rPr>
          <w:rFonts w:hint="default" w:ascii="Times New Roman" w:hAnsi="Times New Roman" w:eastAsia="仿宋_GB2312" w:cs="Times New Roman"/>
          <w:sz w:val="32"/>
          <w:szCs w:val="32"/>
          <w:lang w:eastAsia="zh-CN"/>
        </w:rPr>
        <w:t>满足应急状态终止条件后，按照“谁启动、谁终止”的原则，批准应急状态终止，并填写《辐射事故处理结果报告表》（见附件9.6）。</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（1）Ⅰ级、Ⅱ级、Ⅲ级应急响应分别由上级指挥部依据应急处置情况批准应急状态终止；</w:t>
      </w:r>
    </w:p>
    <w:p>
      <w:pPr>
        <w:pStyle w:val="31"/>
        <w:autoSpaceDE/>
        <w:autoSpaceDN/>
        <w:snapToGrid w:val="0"/>
        <w:spacing w:line="560" w:lineRule="exact"/>
        <w:ind w:firstLine="640" w:firstLineChars="200"/>
        <w:jc w:val="both"/>
        <w:rPr>
          <w:rFonts w:hint="default" w:ascii="Times New Roman" w:hAnsi="Times New Roman" w:cs="Times New Roman"/>
          <w:lang w:eastAsia="zh-CN"/>
        </w:rPr>
      </w:pPr>
      <w:r>
        <w:rPr>
          <w:rFonts w:hint="default" w:ascii="Times New Roman" w:hAnsi="Times New Roman" w:eastAsia="仿宋_GB2312" w:cs="Times New Roman"/>
          <w:sz w:val="32"/>
          <w:szCs w:val="32"/>
          <w:lang w:eastAsia="zh-CN"/>
        </w:rPr>
        <w:t>（2）Ⅳ级应急响应由区指挥部根据事件处置情况批准应急状态终止。</w:t>
      </w:r>
    </w:p>
    <w:bookmarkEnd w:id="208"/>
    <w:p>
      <w:pPr>
        <w:pStyle w:val="5"/>
        <w:numPr>
          <w:ilvl w:val="2"/>
          <w:numId w:val="2"/>
        </w:numPr>
        <w:spacing w:before="0" w:after="0" w:line="560" w:lineRule="exact"/>
        <w:ind w:left="0" w:firstLine="640" w:firstLineChars="200"/>
        <w:rPr>
          <w:rFonts w:hint="default" w:ascii="Times New Roman" w:hAnsi="Times New Roman" w:eastAsia="仿宋_GB2312" w:cs="Times New Roman"/>
          <w:b w:val="0"/>
          <w:bCs/>
          <w:szCs w:val="32"/>
        </w:rPr>
      </w:pPr>
      <w:r>
        <w:rPr>
          <w:rFonts w:hint="default" w:ascii="Times New Roman" w:hAnsi="Times New Roman" w:eastAsia="仿宋_GB2312" w:cs="Times New Roman"/>
          <w:b w:val="0"/>
          <w:bCs/>
          <w:szCs w:val="32"/>
        </w:rPr>
        <w:t xml:space="preserve"> </w:t>
      </w:r>
      <w:bookmarkStart w:id="209" w:name="_Toc215170956"/>
      <w:r>
        <w:rPr>
          <w:rFonts w:hint="default" w:ascii="Times New Roman" w:hAnsi="Times New Roman" w:eastAsia="仿宋_GB2312" w:cs="Times New Roman"/>
          <w:b w:val="0"/>
          <w:bCs/>
          <w:szCs w:val="32"/>
        </w:rPr>
        <w:t>后果评价与后期处置</w:t>
      </w:r>
      <w:bookmarkEnd w:id="209"/>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应急终止后，区指挥部开展下列工作：</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bookmarkStart w:id="210" w:name="_Hlk215163776"/>
      <w:r>
        <w:rPr>
          <w:rFonts w:hint="default" w:ascii="Times New Roman" w:hAnsi="Times New Roman" w:eastAsia="仿宋_GB2312" w:cs="Times New Roman"/>
          <w:sz w:val="32"/>
          <w:szCs w:val="32"/>
          <w:lang w:eastAsia="zh-CN"/>
        </w:rPr>
        <w:t>（1）评价所有应急日志、记录和书面信息等；</w:t>
      </w:r>
    </w:p>
    <w:p>
      <w:pPr>
        <w:pStyle w:val="31"/>
        <w:autoSpaceDE/>
        <w:autoSpaceDN/>
        <w:snapToGrid w:val="0"/>
        <w:spacing w:line="560" w:lineRule="exact"/>
        <w:ind w:firstLine="624" w:firstLineChars="200"/>
        <w:jc w:val="both"/>
        <w:rPr>
          <w:rFonts w:hint="default" w:ascii="Times New Roman" w:hAnsi="Times New Roman" w:eastAsia="仿宋_GB2312" w:cs="Times New Roman"/>
          <w:spacing w:val="-4"/>
          <w:sz w:val="32"/>
          <w:szCs w:val="32"/>
          <w:lang w:eastAsia="zh-CN"/>
        </w:rPr>
      </w:pPr>
      <w:r>
        <w:rPr>
          <w:rFonts w:hint="default" w:ascii="Times New Roman" w:hAnsi="Times New Roman" w:eastAsia="仿宋_GB2312" w:cs="Times New Roman"/>
          <w:spacing w:val="-4"/>
          <w:sz w:val="32"/>
          <w:szCs w:val="32"/>
          <w:lang w:eastAsia="zh-CN"/>
        </w:rPr>
        <w:t>（2）调查事故责任单位，查明事故原因，制定措施，防止类似事故发生；</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（3）专家组评价应急期间采取的应急行动和措施，向区指挥部提交评价报告；</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（4）根据事故处理过程中暴露的不足，应及时进行经验总结并改正，修改完善区辐射事故应急预案；</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（5）配合放射性废物处置专业单位进行后续处置工作；</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（6）事故处置完毕后，编制《处理结果报告》（见附件9.7）。</w:t>
      </w:r>
    </w:p>
    <w:bookmarkEnd w:id="210"/>
    <w:p>
      <w:pPr>
        <w:pStyle w:val="3"/>
        <w:numPr>
          <w:ilvl w:val="0"/>
          <w:numId w:val="1"/>
        </w:numPr>
        <w:spacing w:before="0" w:after="0" w:line="560" w:lineRule="exact"/>
        <w:ind w:left="0"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bookmarkStart w:id="211" w:name="_Toc215170957"/>
      <w:r>
        <w:rPr>
          <w:rFonts w:hint="default" w:ascii="Times New Roman" w:hAnsi="Times New Roman" w:eastAsia="仿宋_GB2312" w:cs="Times New Roman"/>
          <w:sz w:val="32"/>
          <w:szCs w:val="32"/>
        </w:rPr>
        <w:t>应急保障</w:t>
      </w:r>
      <w:bookmarkEnd w:id="211"/>
    </w:p>
    <w:p>
      <w:pPr>
        <w:pStyle w:val="37"/>
        <w:keepNext/>
        <w:keepLines/>
        <w:numPr>
          <w:ilvl w:val="0"/>
          <w:numId w:val="4"/>
        </w:numPr>
        <w:spacing w:line="560" w:lineRule="exact"/>
        <w:ind w:left="0" w:firstLine="643"/>
        <w:outlineLvl w:val="1"/>
        <w:rPr>
          <w:rFonts w:hint="default" w:ascii="Times New Roman" w:hAnsi="Times New Roman" w:eastAsia="仿宋_GB2312" w:cs="Times New Roman"/>
          <w:b/>
          <w:vanish/>
          <w:sz w:val="32"/>
          <w:szCs w:val="32"/>
        </w:rPr>
      </w:pPr>
      <w:bookmarkStart w:id="212" w:name="_Toc203148061"/>
      <w:bookmarkEnd w:id="212"/>
      <w:bookmarkStart w:id="213" w:name="_Toc203147818"/>
      <w:bookmarkEnd w:id="213"/>
      <w:bookmarkStart w:id="214" w:name="_Toc215170958"/>
      <w:bookmarkEnd w:id="214"/>
      <w:bookmarkStart w:id="215" w:name="_Toc201825705"/>
      <w:bookmarkEnd w:id="215"/>
    </w:p>
    <w:p>
      <w:pPr>
        <w:pStyle w:val="37"/>
        <w:keepNext/>
        <w:keepLines/>
        <w:numPr>
          <w:ilvl w:val="0"/>
          <w:numId w:val="4"/>
        </w:numPr>
        <w:spacing w:line="560" w:lineRule="exact"/>
        <w:ind w:left="0" w:firstLine="643"/>
        <w:outlineLvl w:val="1"/>
        <w:rPr>
          <w:rFonts w:hint="default" w:ascii="Times New Roman" w:hAnsi="Times New Roman" w:eastAsia="仿宋_GB2312" w:cs="Times New Roman"/>
          <w:b/>
          <w:vanish/>
          <w:sz w:val="32"/>
          <w:szCs w:val="32"/>
        </w:rPr>
      </w:pPr>
      <w:bookmarkStart w:id="216" w:name="_Toc215170959"/>
      <w:bookmarkEnd w:id="216"/>
      <w:bookmarkStart w:id="217" w:name="_Toc203148062"/>
      <w:bookmarkEnd w:id="217"/>
      <w:bookmarkStart w:id="218" w:name="_Toc203147819"/>
      <w:bookmarkEnd w:id="218"/>
      <w:bookmarkStart w:id="219" w:name="_Toc201825706"/>
      <w:bookmarkEnd w:id="219"/>
    </w:p>
    <w:p>
      <w:pPr>
        <w:pStyle w:val="37"/>
        <w:keepNext/>
        <w:keepLines/>
        <w:numPr>
          <w:ilvl w:val="0"/>
          <w:numId w:val="4"/>
        </w:numPr>
        <w:spacing w:line="560" w:lineRule="exact"/>
        <w:ind w:left="0" w:firstLine="643"/>
        <w:outlineLvl w:val="1"/>
        <w:rPr>
          <w:rFonts w:hint="default" w:ascii="Times New Roman" w:hAnsi="Times New Roman" w:eastAsia="仿宋_GB2312" w:cs="Times New Roman"/>
          <w:b/>
          <w:vanish/>
          <w:sz w:val="32"/>
          <w:szCs w:val="32"/>
        </w:rPr>
      </w:pPr>
      <w:bookmarkStart w:id="220" w:name="_Toc215170960"/>
      <w:bookmarkEnd w:id="220"/>
      <w:bookmarkStart w:id="221" w:name="_Toc201825707"/>
      <w:bookmarkEnd w:id="221"/>
      <w:bookmarkStart w:id="222" w:name="_Toc203147820"/>
      <w:bookmarkEnd w:id="222"/>
      <w:bookmarkStart w:id="223" w:name="_Toc203148063"/>
      <w:bookmarkEnd w:id="223"/>
    </w:p>
    <w:p>
      <w:pPr>
        <w:pStyle w:val="37"/>
        <w:keepNext/>
        <w:keepLines/>
        <w:numPr>
          <w:ilvl w:val="0"/>
          <w:numId w:val="4"/>
        </w:numPr>
        <w:spacing w:line="560" w:lineRule="exact"/>
        <w:ind w:left="0" w:firstLine="643"/>
        <w:outlineLvl w:val="1"/>
        <w:rPr>
          <w:rFonts w:hint="default" w:ascii="Times New Roman" w:hAnsi="Times New Roman" w:eastAsia="仿宋_GB2312" w:cs="Times New Roman"/>
          <w:b/>
          <w:vanish/>
          <w:sz w:val="32"/>
          <w:szCs w:val="32"/>
        </w:rPr>
      </w:pPr>
      <w:bookmarkStart w:id="224" w:name="_Toc203148064"/>
      <w:bookmarkEnd w:id="224"/>
      <w:bookmarkStart w:id="225" w:name="_Toc201825708"/>
      <w:bookmarkEnd w:id="225"/>
      <w:bookmarkStart w:id="226" w:name="_Toc203147821"/>
      <w:bookmarkEnd w:id="226"/>
      <w:bookmarkStart w:id="227" w:name="_Toc215170961"/>
      <w:bookmarkEnd w:id="227"/>
    </w:p>
    <w:p>
      <w:pPr>
        <w:pStyle w:val="37"/>
        <w:keepNext/>
        <w:keepLines/>
        <w:numPr>
          <w:ilvl w:val="0"/>
          <w:numId w:val="4"/>
        </w:numPr>
        <w:spacing w:line="560" w:lineRule="exact"/>
        <w:ind w:left="0" w:firstLine="643"/>
        <w:outlineLvl w:val="1"/>
        <w:rPr>
          <w:rFonts w:hint="default" w:ascii="Times New Roman" w:hAnsi="Times New Roman" w:eastAsia="仿宋_GB2312" w:cs="Times New Roman"/>
          <w:b/>
          <w:vanish/>
          <w:sz w:val="32"/>
          <w:szCs w:val="32"/>
        </w:rPr>
      </w:pPr>
      <w:bookmarkStart w:id="228" w:name="_Toc203147822"/>
      <w:bookmarkEnd w:id="228"/>
      <w:bookmarkStart w:id="229" w:name="_Toc201825709"/>
      <w:bookmarkEnd w:id="229"/>
      <w:bookmarkStart w:id="230" w:name="_Toc215170962"/>
      <w:bookmarkEnd w:id="230"/>
      <w:bookmarkStart w:id="231" w:name="_Toc203148065"/>
      <w:bookmarkEnd w:id="231"/>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 </w:t>
      </w:r>
      <w:bookmarkStart w:id="232" w:name="_Hlk215163812"/>
      <w:r>
        <w:rPr>
          <w:rFonts w:hint="default" w:ascii="Times New Roman" w:hAnsi="Times New Roman" w:eastAsia="仿宋_GB2312" w:cs="Times New Roman"/>
          <w:szCs w:val="32"/>
        </w:rPr>
        <w:t xml:space="preserve"> </w:t>
      </w:r>
      <w:bookmarkStart w:id="233" w:name="_Toc215170963"/>
      <w:r>
        <w:rPr>
          <w:rFonts w:hint="default" w:ascii="Times New Roman" w:hAnsi="Times New Roman" w:eastAsia="仿宋_GB2312" w:cs="Times New Roman"/>
          <w:szCs w:val="32"/>
        </w:rPr>
        <w:t>应急队伍保障</w:t>
      </w:r>
      <w:bookmarkEnd w:id="233"/>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lang w:bidi="en-US"/>
        </w:rPr>
        <w:t>辐射事故应急救援成员单位，以生态环境、公安、卫生健康等部门为骨干力量，组建事故现场应急救援队伍，按照应急职责加强队伍能力建设，配备应急必要的专业物资装备，适时更新应急救援设备，建立信息共享、部门联动机制，强化专业培训和应急演练，切实提高应急处置能力，保证应急队伍和设备随时处于良好的待命状态</w:t>
      </w:r>
      <w:r>
        <w:rPr>
          <w:rFonts w:hint="default" w:ascii="Times New Roman" w:hAnsi="Times New Roman" w:eastAsia="仿宋_GB2312" w:cs="Times New Roman"/>
          <w:sz w:val="32"/>
          <w:szCs w:val="32"/>
        </w:rPr>
        <w:t>。</w:t>
      </w:r>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  </w:t>
      </w:r>
      <w:bookmarkStart w:id="234" w:name="_Toc215170964"/>
      <w:r>
        <w:rPr>
          <w:rFonts w:hint="default" w:ascii="Times New Roman" w:hAnsi="Times New Roman" w:eastAsia="仿宋_GB2312" w:cs="Times New Roman"/>
          <w:szCs w:val="32"/>
        </w:rPr>
        <w:t>应急资金保障</w:t>
      </w:r>
      <w:bookmarkEnd w:id="234"/>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区政府对辐射事故应急处置工作提供资金保障，处置辐射事故实施中涉及政府职能的经费按照有关财政管理规定执行。市生态环境局荔湾分局的应急项目经费列入财政年度预算。辐射事故处理处置费用按照“谁污染，谁治理”的原则，由事故责任单位承担。特殊情况下，由辐射监管职能部门按程序报同级政府批准后，由同级财政解决。</w:t>
      </w:r>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bookmarkStart w:id="235" w:name="_Toc13565"/>
      <w:bookmarkStart w:id="236" w:name="_Toc4491"/>
      <w:r>
        <w:rPr>
          <w:rFonts w:hint="default" w:ascii="Times New Roman" w:hAnsi="Times New Roman" w:eastAsia="仿宋_GB2312" w:cs="Times New Roman"/>
          <w:szCs w:val="32"/>
        </w:rPr>
        <w:t xml:space="preserve">  </w:t>
      </w:r>
      <w:bookmarkStart w:id="237" w:name="_Toc215170965"/>
      <w:r>
        <w:rPr>
          <w:rFonts w:hint="default" w:ascii="Times New Roman" w:hAnsi="Times New Roman" w:eastAsia="仿宋_GB2312" w:cs="Times New Roman"/>
          <w:szCs w:val="32"/>
        </w:rPr>
        <w:t>应急场所保障</w:t>
      </w:r>
      <w:bookmarkEnd w:id="235"/>
      <w:bookmarkEnd w:id="236"/>
      <w:bookmarkEnd w:id="237"/>
    </w:p>
    <w:p>
      <w:pPr>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sz w:val="32"/>
          <w:szCs w:val="32"/>
        </w:rPr>
        <w:t>区应急办</w:t>
      </w:r>
      <w:r>
        <w:rPr>
          <w:rFonts w:hint="default" w:ascii="Times New Roman" w:hAnsi="Times New Roman" w:eastAsia="仿宋_GB2312" w:cs="Times New Roman"/>
          <w:kern w:val="0"/>
          <w:sz w:val="32"/>
          <w:szCs w:val="32"/>
          <w:lang w:bidi="en-US"/>
        </w:rPr>
        <w:t>及各成员单位应根据预案规定的职责，配备用于应急响应期间工作人员指挥和办公的场所及附属设施、设备。区辐射事故应急指挥中心设在市生态环境局荔湾分局。</w:t>
      </w:r>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bookmarkStart w:id="238" w:name="_Toc16547"/>
      <w:bookmarkStart w:id="239" w:name="_Toc26492"/>
      <w:bookmarkStart w:id="240" w:name="_Toc7403"/>
      <w:bookmarkStart w:id="241" w:name="_Toc29406"/>
      <w:bookmarkStart w:id="242" w:name="_Toc30766"/>
      <w:bookmarkStart w:id="243" w:name="_Toc14052"/>
      <w:r>
        <w:rPr>
          <w:rFonts w:hint="default" w:ascii="Times New Roman" w:hAnsi="Times New Roman" w:eastAsia="仿宋_GB2312" w:cs="Times New Roman"/>
          <w:szCs w:val="32"/>
        </w:rPr>
        <w:t xml:space="preserve">  </w:t>
      </w:r>
      <w:bookmarkStart w:id="244" w:name="_Toc215170966"/>
      <w:r>
        <w:rPr>
          <w:rFonts w:hint="default" w:ascii="Times New Roman" w:hAnsi="Times New Roman" w:eastAsia="仿宋_GB2312" w:cs="Times New Roman"/>
          <w:szCs w:val="32"/>
        </w:rPr>
        <w:t>应急设施设备保障</w:t>
      </w:r>
      <w:bookmarkEnd w:id="238"/>
      <w:bookmarkEnd w:id="239"/>
      <w:bookmarkEnd w:id="240"/>
      <w:bookmarkEnd w:id="241"/>
      <w:bookmarkEnd w:id="242"/>
      <w:bookmarkEnd w:id="243"/>
      <w:bookmarkEnd w:id="244"/>
    </w:p>
    <w:p>
      <w:pPr>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sz w:val="32"/>
          <w:szCs w:val="32"/>
        </w:rPr>
        <w:t>区应急办</w:t>
      </w:r>
      <w:r>
        <w:rPr>
          <w:rFonts w:hint="default" w:ascii="Times New Roman" w:hAnsi="Times New Roman" w:eastAsia="仿宋_GB2312" w:cs="Times New Roman"/>
          <w:kern w:val="0"/>
          <w:sz w:val="32"/>
          <w:szCs w:val="32"/>
          <w:lang w:bidi="en-US"/>
        </w:rPr>
        <w:t>及各成员单位应当结合实际需要，建设能互联互通的应急保障与响应设施设备，并保证应急设施设备始终处于良好的状态，定期</w:t>
      </w:r>
      <w:r>
        <w:rPr>
          <w:rFonts w:hint="default" w:ascii="Times New Roman" w:hAnsi="Times New Roman" w:eastAsia="仿宋_GB2312" w:cs="Times New Roman"/>
          <w:sz w:val="32"/>
          <w:szCs w:val="32"/>
        </w:rPr>
        <w:t>检查、测试和维护，</w:t>
      </w:r>
      <w:r>
        <w:rPr>
          <w:rFonts w:hint="default" w:ascii="Times New Roman" w:hAnsi="Times New Roman" w:eastAsia="仿宋_GB2312" w:cs="Times New Roman"/>
          <w:kern w:val="0"/>
          <w:sz w:val="32"/>
          <w:szCs w:val="32"/>
          <w:lang w:bidi="en-US"/>
        </w:rPr>
        <w:t>及时对应急指挥系统等设备进行运行维护及系统升级。</w:t>
      </w:r>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bookmarkStart w:id="245" w:name="_Toc2402"/>
      <w:bookmarkStart w:id="246" w:name="_Toc22404"/>
      <w:bookmarkStart w:id="247" w:name="_Toc29392"/>
      <w:bookmarkStart w:id="248" w:name="_Toc10042"/>
      <w:bookmarkStart w:id="249" w:name="_Toc22121"/>
      <w:bookmarkStart w:id="250" w:name="_Toc29005"/>
      <w:bookmarkStart w:id="251" w:name="_Toc490"/>
      <w:r>
        <w:rPr>
          <w:rFonts w:hint="default" w:ascii="Times New Roman" w:hAnsi="Times New Roman" w:eastAsia="仿宋_GB2312" w:cs="Times New Roman"/>
          <w:szCs w:val="32"/>
        </w:rPr>
        <w:t xml:space="preserve">  </w:t>
      </w:r>
      <w:bookmarkStart w:id="252" w:name="_Toc215170967"/>
      <w:r>
        <w:rPr>
          <w:rFonts w:hint="default" w:ascii="Times New Roman" w:hAnsi="Times New Roman" w:eastAsia="仿宋_GB2312" w:cs="Times New Roman"/>
          <w:szCs w:val="32"/>
        </w:rPr>
        <w:t>应急物资保障</w:t>
      </w:r>
      <w:bookmarkEnd w:id="245"/>
      <w:bookmarkEnd w:id="246"/>
      <w:bookmarkEnd w:id="247"/>
      <w:bookmarkEnd w:id="248"/>
      <w:bookmarkEnd w:id="249"/>
      <w:bookmarkEnd w:id="250"/>
      <w:bookmarkEnd w:id="251"/>
      <w:bookmarkEnd w:id="252"/>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sz w:val="32"/>
          <w:szCs w:val="32"/>
        </w:rPr>
        <w:t>区应急办</w:t>
      </w:r>
      <w:r>
        <w:rPr>
          <w:rFonts w:hint="default" w:ascii="Times New Roman" w:hAnsi="Times New Roman" w:eastAsia="仿宋_GB2312" w:cs="Times New Roman"/>
          <w:kern w:val="0"/>
          <w:sz w:val="32"/>
          <w:szCs w:val="32"/>
          <w:lang w:bidi="en-US"/>
        </w:rPr>
        <w:t>及各成员单位要建立健全应急监测与防护、医疗救治、抢险救灾、去污洗消、交通运输、通信等器材物资的储备机制，建设应急物资储备库，及时予以补充和更新，储备必要的各类应急物资和装备。</w:t>
      </w:r>
      <w:bookmarkStart w:id="253" w:name="_Toc32685"/>
      <w:bookmarkStart w:id="254" w:name="_Toc2559"/>
      <w:bookmarkStart w:id="255" w:name="_Toc13039"/>
      <w:bookmarkStart w:id="256" w:name="_Toc26804"/>
      <w:bookmarkStart w:id="257" w:name="_Toc21818"/>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bookmarkStart w:id="258" w:name="_Toc10968"/>
      <w:bookmarkStart w:id="259" w:name="_Toc18150"/>
      <w:r>
        <w:rPr>
          <w:rFonts w:hint="default" w:ascii="Times New Roman" w:hAnsi="Times New Roman" w:eastAsia="仿宋_GB2312" w:cs="Times New Roman"/>
          <w:szCs w:val="32"/>
        </w:rPr>
        <w:t xml:space="preserve">  </w:t>
      </w:r>
      <w:bookmarkStart w:id="260" w:name="_Toc215170968"/>
      <w:r>
        <w:rPr>
          <w:rFonts w:hint="default" w:ascii="Times New Roman" w:hAnsi="Times New Roman" w:eastAsia="仿宋_GB2312" w:cs="Times New Roman"/>
          <w:szCs w:val="32"/>
        </w:rPr>
        <w:t>应急通信保障</w:t>
      </w:r>
      <w:bookmarkEnd w:id="253"/>
      <w:bookmarkEnd w:id="254"/>
      <w:bookmarkEnd w:id="255"/>
      <w:bookmarkEnd w:id="256"/>
      <w:bookmarkEnd w:id="257"/>
      <w:bookmarkEnd w:id="258"/>
      <w:bookmarkEnd w:id="259"/>
      <w:bookmarkEnd w:id="260"/>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sz w:val="32"/>
          <w:szCs w:val="32"/>
        </w:rPr>
        <w:t>区应急办</w:t>
      </w:r>
      <w:r>
        <w:rPr>
          <w:rFonts w:hint="default" w:ascii="Times New Roman" w:hAnsi="Times New Roman" w:eastAsia="仿宋_GB2312" w:cs="Times New Roman"/>
          <w:kern w:val="0"/>
          <w:sz w:val="32"/>
          <w:szCs w:val="32"/>
          <w:lang w:bidi="en-US"/>
        </w:rPr>
        <w:t>及各成员单位应当建立和完善应急指挥通信联络系统，确保指挥部和有关部门、各应急工作组的联络畅通。</w:t>
      </w:r>
      <w:bookmarkStart w:id="261" w:name="_Toc8508"/>
      <w:bookmarkStart w:id="262" w:name="_Toc14194"/>
      <w:bookmarkStart w:id="263" w:name="_Toc602"/>
      <w:bookmarkStart w:id="264" w:name="_Toc7013"/>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bookmarkStart w:id="265" w:name="_Toc27401"/>
      <w:bookmarkStart w:id="266" w:name="_Toc22692"/>
      <w:r>
        <w:rPr>
          <w:rFonts w:hint="default" w:ascii="Times New Roman" w:hAnsi="Times New Roman" w:eastAsia="仿宋_GB2312" w:cs="Times New Roman"/>
          <w:szCs w:val="32"/>
        </w:rPr>
        <w:t xml:space="preserve">  </w:t>
      </w:r>
      <w:bookmarkStart w:id="267" w:name="_Toc215170969"/>
      <w:r>
        <w:rPr>
          <w:rFonts w:hint="default" w:ascii="Times New Roman" w:hAnsi="Times New Roman" w:eastAsia="仿宋_GB2312" w:cs="Times New Roman"/>
          <w:szCs w:val="32"/>
        </w:rPr>
        <w:t>文件保障</w:t>
      </w:r>
      <w:bookmarkEnd w:id="261"/>
      <w:bookmarkEnd w:id="262"/>
      <w:bookmarkEnd w:id="263"/>
      <w:bookmarkEnd w:id="264"/>
      <w:bookmarkEnd w:id="265"/>
      <w:bookmarkEnd w:id="266"/>
      <w:bookmarkEnd w:id="267"/>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sz w:val="32"/>
          <w:szCs w:val="32"/>
        </w:rPr>
        <w:t>区应急办</w:t>
      </w:r>
      <w:r>
        <w:rPr>
          <w:rFonts w:hint="default" w:ascii="Times New Roman" w:hAnsi="Times New Roman" w:eastAsia="仿宋_GB2312" w:cs="Times New Roman"/>
          <w:kern w:val="0"/>
          <w:sz w:val="32"/>
          <w:szCs w:val="32"/>
          <w:lang w:bidi="en-US"/>
        </w:rPr>
        <w:t>及各成员单位应根据预案规定的职责，配备辐射事故应急准备与响应工作所需的文件资料，并加强对辐射事故响应文件的分类、归档、更新和管理。</w:t>
      </w:r>
    </w:p>
    <w:bookmarkEnd w:id="232"/>
    <w:p>
      <w:pPr>
        <w:pStyle w:val="3"/>
        <w:numPr>
          <w:ilvl w:val="0"/>
          <w:numId w:val="1"/>
        </w:numPr>
        <w:spacing w:before="0" w:after="0" w:line="560" w:lineRule="exact"/>
        <w:ind w:left="0" w:firstLine="643" w:firstLineChars="200"/>
        <w:rPr>
          <w:rFonts w:hint="default" w:ascii="Times New Roman" w:hAnsi="Times New Roman" w:eastAsia="仿宋_GB2312" w:cs="Times New Roman"/>
          <w:sz w:val="32"/>
          <w:szCs w:val="32"/>
        </w:rPr>
      </w:pPr>
      <w:bookmarkStart w:id="268" w:name="_Toc13705"/>
      <w:bookmarkStart w:id="269" w:name="_Toc18650"/>
      <w:bookmarkStart w:id="270" w:name="_Toc16036"/>
      <w:bookmarkStart w:id="271" w:name="_Toc12054"/>
      <w:r>
        <w:rPr>
          <w:rFonts w:hint="default" w:ascii="Times New Roman" w:hAnsi="Times New Roman" w:eastAsia="仿宋_GB2312" w:cs="Times New Roman"/>
          <w:sz w:val="32"/>
          <w:szCs w:val="32"/>
        </w:rPr>
        <w:t xml:space="preserve">  </w:t>
      </w:r>
      <w:bookmarkStart w:id="272" w:name="_Toc215170970"/>
      <w:r>
        <w:rPr>
          <w:rFonts w:hint="default" w:ascii="Times New Roman" w:hAnsi="Times New Roman" w:eastAsia="仿宋_GB2312" w:cs="Times New Roman"/>
          <w:sz w:val="32"/>
          <w:szCs w:val="32"/>
        </w:rPr>
        <w:t>应急响应能力维持</w:t>
      </w:r>
      <w:bookmarkEnd w:id="268"/>
      <w:bookmarkEnd w:id="269"/>
      <w:bookmarkEnd w:id="270"/>
      <w:bookmarkEnd w:id="271"/>
      <w:bookmarkEnd w:id="272"/>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区指挥部及成员单位应当认真履行职责分工，加强日常应急响应训练和设施设备维护保养，能随时启动应急响应。区应急办应当加强与成员单位沟通联络，注重平时检查和综合训练，确保应急能力维持。</w:t>
      </w:r>
    </w:p>
    <w:p>
      <w:pPr>
        <w:pStyle w:val="37"/>
        <w:keepNext/>
        <w:keepLines/>
        <w:numPr>
          <w:ilvl w:val="0"/>
          <w:numId w:val="4"/>
        </w:numPr>
        <w:spacing w:line="560" w:lineRule="exact"/>
        <w:ind w:left="0" w:firstLine="643"/>
        <w:outlineLvl w:val="1"/>
        <w:rPr>
          <w:rFonts w:hint="default" w:ascii="Times New Roman" w:hAnsi="Times New Roman" w:eastAsia="仿宋_GB2312" w:cs="Times New Roman"/>
          <w:b/>
          <w:vanish/>
          <w:sz w:val="32"/>
          <w:szCs w:val="32"/>
        </w:rPr>
      </w:pPr>
      <w:bookmarkStart w:id="273" w:name="_Toc180501867"/>
      <w:bookmarkEnd w:id="273"/>
      <w:bookmarkStart w:id="274" w:name="_Toc180501999"/>
      <w:bookmarkEnd w:id="274"/>
      <w:bookmarkStart w:id="275" w:name="_Toc203148074"/>
      <w:bookmarkEnd w:id="275"/>
      <w:bookmarkStart w:id="276" w:name="_Toc201825718"/>
      <w:bookmarkEnd w:id="276"/>
      <w:bookmarkStart w:id="277" w:name="_Toc203147831"/>
      <w:bookmarkEnd w:id="277"/>
      <w:bookmarkStart w:id="278" w:name="_Toc215170971"/>
      <w:bookmarkEnd w:id="278"/>
      <w:bookmarkStart w:id="279" w:name="_Toc180501735"/>
      <w:bookmarkEnd w:id="279"/>
      <w:bookmarkStart w:id="280" w:name="_Toc180400066"/>
      <w:bookmarkEnd w:id="280"/>
      <w:bookmarkStart w:id="281" w:name="_Toc2668"/>
      <w:bookmarkStart w:id="282" w:name="_Toc180502009"/>
      <w:bookmarkStart w:id="283" w:name="_Toc26902"/>
      <w:bookmarkStart w:id="284" w:name="_Toc29828"/>
      <w:bookmarkStart w:id="285" w:name="_Toc3082"/>
      <w:bookmarkStart w:id="286" w:name="_Toc67"/>
      <w:bookmarkStart w:id="287" w:name="_Toc4560"/>
      <w:bookmarkStart w:id="288" w:name="_Toc11610"/>
      <w:bookmarkStart w:id="289" w:name="_Toc413"/>
      <w:bookmarkStart w:id="290" w:name="_Toc30874"/>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  </w:t>
      </w:r>
      <w:bookmarkStart w:id="291" w:name="_Toc215170972"/>
      <w:r>
        <w:rPr>
          <w:rFonts w:hint="default" w:ascii="Times New Roman" w:hAnsi="Times New Roman" w:eastAsia="仿宋_GB2312" w:cs="Times New Roman"/>
          <w:szCs w:val="32"/>
        </w:rPr>
        <w:t>应急演练</w:t>
      </w:r>
      <w:bookmarkEnd w:id="281"/>
      <w:bookmarkEnd w:id="282"/>
      <w:bookmarkEnd w:id="283"/>
      <w:bookmarkEnd w:id="284"/>
      <w:bookmarkEnd w:id="285"/>
      <w:bookmarkEnd w:id="286"/>
      <w:bookmarkEnd w:id="287"/>
      <w:bookmarkEnd w:id="288"/>
      <w:bookmarkEnd w:id="289"/>
      <w:bookmarkEnd w:id="290"/>
      <w:bookmarkEnd w:id="291"/>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应急演练旨在检验广州市荔湾区辐射事故应急预案的可操作性、应急准备的完备性、应急设施设备的可用性、应急能力的适应性和应急人员的协同性，同时为修订应急预案提供实践依据，需结合实际情况，有计划、有重点地组织演练。</w:t>
      </w:r>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按照规定定期举行辐射事故应急演练，演练包括辐射事故应急单项演练（应急通讯、应急监测、放射源收贮等）。</w:t>
      </w:r>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bookmarkStart w:id="292" w:name="_Toc46507908"/>
      <w:bookmarkStart w:id="293" w:name="_Toc17099"/>
      <w:bookmarkStart w:id="294" w:name="_Toc179298978"/>
      <w:bookmarkStart w:id="295" w:name="_Toc24725"/>
      <w:bookmarkStart w:id="296" w:name="_Toc4697"/>
      <w:bookmarkStart w:id="297" w:name="_Toc180502010"/>
      <w:bookmarkStart w:id="298" w:name="_Toc27386"/>
      <w:bookmarkStart w:id="299" w:name="_Toc22761"/>
      <w:bookmarkStart w:id="300" w:name="_Toc4555"/>
      <w:bookmarkStart w:id="301" w:name="_Toc16628"/>
      <w:bookmarkStart w:id="302" w:name="_Toc23244658"/>
      <w:bookmarkStart w:id="303" w:name="_Toc24737"/>
      <w:bookmarkStart w:id="304" w:name="_Toc6596"/>
      <w:bookmarkStart w:id="305" w:name="_Toc15197"/>
      <w:bookmarkStart w:id="306" w:name="_Toc12862"/>
      <w:bookmarkStart w:id="307" w:name="_Toc20494"/>
      <w:r>
        <w:rPr>
          <w:rFonts w:hint="default" w:ascii="Times New Roman" w:hAnsi="Times New Roman" w:eastAsia="仿宋_GB2312" w:cs="Times New Roman"/>
          <w:szCs w:val="32"/>
        </w:rPr>
        <w:t xml:space="preserve">  </w:t>
      </w:r>
      <w:bookmarkStart w:id="308" w:name="_Toc215170973"/>
      <w:r>
        <w:rPr>
          <w:rFonts w:hint="default" w:ascii="Times New Roman" w:hAnsi="Times New Roman" w:eastAsia="仿宋_GB2312" w:cs="Times New Roman"/>
          <w:szCs w:val="32"/>
        </w:rPr>
        <w:t>应急培训</w:t>
      </w:r>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应急培训旨在使应急人员熟悉和掌握应急预案基本内容，具有完成特定辐射事故应急任务的基本知识、专业技能和响应能力。区辐射事故应急组织体系所有成员均应接受培训。</w:t>
      </w:r>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bookmarkStart w:id="309" w:name="_Toc32267"/>
      <w:bookmarkStart w:id="310" w:name="_Toc179298979"/>
      <w:bookmarkStart w:id="311" w:name="_Toc6504"/>
      <w:bookmarkStart w:id="312" w:name="_Toc6627"/>
      <w:bookmarkStart w:id="313" w:name="_Toc13581"/>
      <w:bookmarkStart w:id="314" w:name="_Toc11261"/>
      <w:bookmarkStart w:id="315" w:name="_Toc46507909"/>
      <w:bookmarkStart w:id="316" w:name="_Toc23244659"/>
      <w:bookmarkStart w:id="317" w:name="_Toc7238"/>
      <w:bookmarkStart w:id="318" w:name="_Toc20535"/>
      <w:bookmarkStart w:id="319" w:name="_Toc180502011"/>
      <w:bookmarkStart w:id="320" w:name="_Toc20399"/>
      <w:bookmarkStart w:id="321" w:name="_Toc4879"/>
      <w:bookmarkStart w:id="322" w:name="_Toc29238"/>
      <w:bookmarkStart w:id="323" w:name="_Toc5546"/>
      <w:bookmarkStart w:id="324" w:name="_Toc11880"/>
      <w:r>
        <w:rPr>
          <w:rFonts w:hint="default" w:ascii="Times New Roman" w:hAnsi="Times New Roman" w:eastAsia="仿宋_GB2312" w:cs="Times New Roman"/>
          <w:szCs w:val="32"/>
        </w:rPr>
        <w:t xml:space="preserve">  </w:t>
      </w:r>
      <w:bookmarkStart w:id="325" w:name="_Toc215170974"/>
      <w:r>
        <w:rPr>
          <w:rFonts w:hint="default" w:ascii="Times New Roman" w:hAnsi="Times New Roman" w:eastAsia="仿宋_GB2312" w:cs="Times New Roman"/>
          <w:szCs w:val="32"/>
        </w:rPr>
        <w:t>应急值守</w:t>
      </w:r>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区应急办建立应急值班制度，辐射事故应急值班人员24小时保持通讯通畅，保证在发生辐射事故时能及时准确接收信息，快速响应。</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接报后，由区应急办应急值班人员负责通知区辐射事故应急组织相关工作人员。</w:t>
      </w:r>
      <w:bookmarkStart w:id="326" w:name="_Toc11332"/>
      <w:bookmarkStart w:id="327" w:name="_Toc1672"/>
      <w:bookmarkStart w:id="328" w:name="_Toc24936"/>
      <w:bookmarkStart w:id="329" w:name="_Toc525"/>
      <w:bookmarkStart w:id="330" w:name="_Toc16408"/>
      <w:bookmarkStart w:id="331" w:name="_Toc32314"/>
    </w:p>
    <w:bookmarkEnd w:id="326"/>
    <w:bookmarkEnd w:id="327"/>
    <w:bookmarkEnd w:id="328"/>
    <w:bookmarkEnd w:id="329"/>
    <w:bookmarkEnd w:id="330"/>
    <w:bookmarkEnd w:id="331"/>
    <w:p>
      <w:pPr>
        <w:pStyle w:val="3"/>
        <w:numPr>
          <w:ilvl w:val="0"/>
          <w:numId w:val="1"/>
        </w:numPr>
        <w:spacing w:before="0" w:after="0" w:line="560" w:lineRule="exact"/>
        <w:ind w:left="0" w:firstLine="643" w:firstLineChars="200"/>
        <w:rPr>
          <w:rFonts w:hint="default" w:ascii="Times New Roman" w:hAnsi="Times New Roman" w:eastAsia="仿宋_GB2312" w:cs="Times New Roman"/>
          <w:sz w:val="32"/>
          <w:szCs w:val="32"/>
        </w:rPr>
      </w:pPr>
      <w:bookmarkStart w:id="332" w:name="_Toc25419"/>
      <w:bookmarkStart w:id="333" w:name="_Toc11996"/>
      <w:bookmarkStart w:id="334" w:name="_Toc9556"/>
      <w:bookmarkStart w:id="335" w:name="_Toc31535"/>
      <w:bookmarkStart w:id="336" w:name="_Toc46507915"/>
      <w:bookmarkStart w:id="337" w:name="_Toc22633"/>
      <w:bookmarkStart w:id="338" w:name="_Toc23244665"/>
      <w:bookmarkStart w:id="339" w:name="_Toc2567"/>
      <w:bookmarkStart w:id="340" w:name="_Toc5739"/>
      <w:bookmarkStart w:id="341" w:name="_Toc25757"/>
      <w:bookmarkStart w:id="342" w:name="_Toc2396"/>
      <w:bookmarkStart w:id="343" w:name="_Toc24417"/>
      <w:bookmarkStart w:id="344" w:name="_Toc17640"/>
      <w:bookmarkStart w:id="345" w:name="_Toc21167"/>
      <w:bookmarkStart w:id="346" w:name="_Toc29618"/>
      <w:bookmarkStart w:id="347" w:name="_Toc180502027"/>
      <w:bookmarkStart w:id="348" w:name="_Toc8695"/>
      <w:bookmarkStart w:id="349" w:name="_Toc179298984"/>
      <w:r>
        <w:rPr>
          <w:rFonts w:hint="default" w:ascii="Times New Roman" w:hAnsi="Times New Roman" w:eastAsia="仿宋_GB2312" w:cs="Times New Roman"/>
          <w:sz w:val="32"/>
          <w:szCs w:val="32"/>
        </w:rPr>
        <w:t xml:space="preserve">  </w:t>
      </w:r>
      <w:bookmarkStart w:id="350" w:name="_Toc215170975"/>
      <w:r>
        <w:rPr>
          <w:rFonts w:hint="default" w:ascii="Times New Roman" w:hAnsi="Times New Roman" w:eastAsia="仿宋_GB2312" w:cs="Times New Roman"/>
          <w:sz w:val="32"/>
          <w:szCs w:val="32"/>
        </w:rPr>
        <w:t>监督管理</w:t>
      </w:r>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Start w:id="351" w:name="_Toc180501764"/>
      <w:bookmarkEnd w:id="351"/>
      <w:bookmarkStart w:id="352" w:name="_Toc180400095"/>
      <w:bookmarkEnd w:id="352"/>
      <w:bookmarkStart w:id="353" w:name="_Toc46509905"/>
      <w:bookmarkEnd w:id="353"/>
      <w:bookmarkStart w:id="354" w:name="_Toc53393281"/>
      <w:bookmarkEnd w:id="354"/>
      <w:bookmarkStart w:id="355" w:name="_Toc180501896"/>
      <w:bookmarkEnd w:id="355"/>
      <w:bookmarkStart w:id="356" w:name="_Toc46507916"/>
      <w:bookmarkEnd w:id="356"/>
      <w:bookmarkStart w:id="357" w:name="_Toc21249"/>
      <w:bookmarkEnd w:id="357"/>
      <w:bookmarkStart w:id="358" w:name="_Toc23244666"/>
      <w:bookmarkEnd w:id="358"/>
      <w:bookmarkStart w:id="359" w:name="_Toc180502028"/>
      <w:bookmarkEnd w:id="359"/>
      <w:bookmarkStart w:id="360" w:name="_Toc46742217"/>
      <w:bookmarkEnd w:id="360"/>
      <w:bookmarkStart w:id="361" w:name="_Toc46501379"/>
      <w:bookmarkEnd w:id="361"/>
      <w:bookmarkStart w:id="362" w:name="_Toc179298985"/>
      <w:bookmarkStart w:id="363" w:name="_Toc23369"/>
      <w:bookmarkStart w:id="364" w:name="_Toc46507917"/>
      <w:bookmarkStart w:id="365" w:name="_Toc15476"/>
      <w:bookmarkStart w:id="366" w:name="_Toc23244667"/>
      <w:bookmarkStart w:id="367" w:name="_Toc3761"/>
    </w:p>
    <w:p>
      <w:pPr>
        <w:pStyle w:val="37"/>
        <w:keepNext/>
        <w:keepLines/>
        <w:numPr>
          <w:ilvl w:val="0"/>
          <w:numId w:val="4"/>
        </w:numPr>
        <w:spacing w:line="560" w:lineRule="exact"/>
        <w:ind w:left="0" w:firstLine="643"/>
        <w:outlineLvl w:val="1"/>
        <w:rPr>
          <w:rFonts w:hint="default" w:ascii="Times New Roman" w:hAnsi="Times New Roman" w:eastAsia="仿宋_GB2312" w:cs="Times New Roman"/>
          <w:b/>
          <w:vanish/>
          <w:sz w:val="32"/>
          <w:szCs w:val="32"/>
        </w:rPr>
      </w:pPr>
      <w:bookmarkStart w:id="368" w:name="_Toc215170976"/>
      <w:bookmarkEnd w:id="368"/>
      <w:bookmarkStart w:id="369" w:name="_Toc203147836"/>
      <w:bookmarkEnd w:id="369"/>
      <w:bookmarkStart w:id="370" w:name="_Toc180400103"/>
      <w:bookmarkEnd w:id="370"/>
      <w:bookmarkStart w:id="371" w:name="_Toc180501772"/>
      <w:bookmarkEnd w:id="371"/>
      <w:bookmarkStart w:id="372" w:name="_Toc201825723"/>
      <w:bookmarkEnd w:id="372"/>
      <w:bookmarkStart w:id="373" w:name="_Toc180502036"/>
      <w:bookmarkEnd w:id="373"/>
      <w:bookmarkStart w:id="374" w:name="_Toc203148079"/>
      <w:bookmarkEnd w:id="374"/>
      <w:bookmarkStart w:id="375" w:name="_Toc180501904"/>
      <w:bookmarkEnd w:id="375"/>
      <w:bookmarkStart w:id="376" w:name="_Toc32265"/>
      <w:bookmarkStart w:id="377" w:name="_Toc462"/>
      <w:bookmarkStart w:id="378" w:name="_Toc27543"/>
      <w:bookmarkStart w:id="379" w:name="_Toc32101"/>
      <w:bookmarkStart w:id="380" w:name="_Toc15444"/>
      <w:bookmarkStart w:id="381" w:name="_Toc5554"/>
      <w:bookmarkStart w:id="382" w:name="_Toc180502040"/>
      <w:bookmarkStart w:id="383" w:name="_Toc21572"/>
      <w:bookmarkStart w:id="384" w:name="_Toc12350"/>
      <w:bookmarkStart w:id="385" w:name="_Toc9094"/>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  </w:t>
      </w:r>
      <w:bookmarkStart w:id="386" w:name="_Toc215170977"/>
      <w:r>
        <w:rPr>
          <w:rFonts w:hint="default" w:ascii="Times New Roman" w:hAnsi="Times New Roman" w:eastAsia="仿宋_GB2312" w:cs="Times New Roman"/>
          <w:szCs w:val="32"/>
        </w:rPr>
        <w:t>预案宣传</w:t>
      </w:r>
      <w:bookmarkEnd w:id="362"/>
      <w:bookmarkEnd w:id="363"/>
      <w:bookmarkEnd w:id="364"/>
      <w:bookmarkEnd w:id="365"/>
      <w:bookmarkEnd w:id="366"/>
      <w:bookmarkEnd w:id="367"/>
      <w:bookmarkEnd w:id="376"/>
      <w:bookmarkEnd w:id="377"/>
      <w:bookmarkEnd w:id="378"/>
      <w:bookmarkEnd w:id="379"/>
      <w:bookmarkEnd w:id="380"/>
      <w:bookmarkEnd w:id="381"/>
      <w:bookmarkEnd w:id="382"/>
      <w:bookmarkEnd w:id="383"/>
      <w:bookmarkEnd w:id="384"/>
      <w:bookmarkEnd w:id="385"/>
      <w:bookmarkEnd w:id="386"/>
    </w:p>
    <w:p>
      <w:pPr>
        <w:pStyle w:val="31"/>
        <w:autoSpaceDE/>
        <w:autoSpaceDN/>
        <w:snapToGrid w:val="0"/>
        <w:spacing w:line="560" w:lineRule="exact"/>
        <w:ind w:firstLine="640" w:firstLineChars="200"/>
        <w:jc w:val="both"/>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预案实施后，区指挥部组织预案宣传、应急队伍培训和演练，及时修订完善本预案。区指挥部各成员单位和核技术利用等单位，结合各自职责和实际情况，制定本部门的辐射事故应急预案。</w:t>
      </w:r>
      <w:bookmarkStart w:id="387" w:name="_Toc18472"/>
      <w:bookmarkStart w:id="388" w:name="_Toc180502041"/>
      <w:bookmarkStart w:id="389" w:name="_Toc29152"/>
      <w:bookmarkStart w:id="390" w:name="_Toc23244668"/>
      <w:bookmarkStart w:id="391" w:name="_Toc22816"/>
      <w:bookmarkStart w:id="392" w:name="_Toc2967"/>
      <w:bookmarkStart w:id="393" w:name="_Toc21431"/>
      <w:bookmarkStart w:id="394" w:name="_Toc16682"/>
      <w:bookmarkStart w:id="395" w:name="_Toc20613"/>
      <w:bookmarkStart w:id="396" w:name="_Toc21061"/>
      <w:bookmarkStart w:id="397" w:name="_Toc23045"/>
      <w:bookmarkStart w:id="398" w:name="_Toc46507918"/>
      <w:bookmarkStart w:id="399" w:name="_Toc11319"/>
      <w:bookmarkStart w:id="400" w:name="_Toc179298986"/>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bookmarkStart w:id="401" w:name="_Toc23565"/>
      <w:bookmarkStart w:id="402" w:name="_Toc23789"/>
      <w:r>
        <w:rPr>
          <w:rFonts w:hint="default" w:ascii="Times New Roman" w:hAnsi="Times New Roman" w:eastAsia="仿宋_GB2312" w:cs="Times New Roman"/>
          <w:szCs w:val="32"/>
        </w:rPr>
        <w:t xml:space="preserve">  </w:t>
      </w:r>
      <w:bookmarkStart w:id="403" w:name="_Toc215170978"/>
      <w:r>
        <w:rPr>
          <w:rFonts w:hint="default" w:ascii="Times New Roman" w:hAnsi="Times New Roman" w:eastAsia="仿宋_GB2312" w:cs="Times New Roman"/>
          <w:szCs w:val="32"/>
        </w:rPr>
        <w:t>责任与奖惩</w:t>
      </w:r>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对在辐射事故应急处置和救援工作中做出突出贡献的先进集体和个人，要给予表扬。对玩忽职守、失职、渎职的有关责任人，要依据有关规定严肃追究责任，构成犯罪的，依法追究刑事责任。</w:t>
      </w:r>
    </w:p>
    <w:p>
      <w:pPr>
        <w:pStyle w:val="3"/>
        <w:numPr>
          <w:ilvl w:val="0"/>
          <w:numId w:val="1"/>
        </w:numPr>
        <w:spacing w:before="0" w:after="0" w:line="560" w:lineRule="exact"/>
        <w:ind w:left="0" w:firstLine="883" w:firstLineChars="200"/>
        <w:rPr>
          <w:rFonts w:hint="default" w:ascii="Times New Roman" w:hAnsi="Times New Roman" w:eastAsia="黑体" w:cs="Times New Roman"/>
          <w:sz w:val="32"/>
          <w:szCs w:val="32"/>
        </w:rPr>
      </w:pPr>
      <w:r>
        <w:rPr>
          <w:rFonts w:hint="default" w:ascii="Times New Roman" w:hAnsi="Times New Roman" w:eastAsia="仿宋_GB2312" w:cs="Times New Roman"/>
          <w:bCs/>
          <w:kern w:val="2"/>
        </w:rPr>
        <w:t xml:space="preserve">  </w:t>
      </w:r>
      <w:bookmarkStart w:id="404" w:name="_Toc215170979"/>
      <w:r>
        <w:rPr>
          <w:rFonts w:hint="default" w:ascii="Times New Roman" w:hAnsi="Times New Roman" w:eastAsia="仿宋_GB2312" w:cs="Times New Roman"/>
          <w:sz w:val="32"/>
          <w:szCs w:val="32"/>
        </w:rPr>
        <w:t>附则</w:t>
      </w:r>
      <w:bookmarkEnd w:id="404"/>
    </w:p>
    <w:p>
      <w:pPr>
        <w:pStyle w:val="37"/>
        <w:keepNext/>
        <w:keepLines/>
        <w:numPr>
          <w:ilvl w:val="0"/>
          <w:numId w:val="4"/>
        </w:numPr>
        <w:spacing w:line="560" w:lineRule="exact"/>
        <w:ind w:left="0" w:firstLine="643"/>
        <w:outlineLvl w:val="1"/>
        <w:rPr>
          <w:rFonts w:hint="default" w:ascii="Times New Roman" w:hAnsi="Times New Roman" w:eastAsia="仿宋_GB2312" w:cs="Times New Roman"/>
          <w:b/>
          <w:vanish/>
          <w:sz w:val="32"/>
          <w:szCs w:val="32"/>
        </w:rPr>
      </w:pPr>
      <w:bookmarkStart w:id="405" w:name="_Toc203148083"/>
      <w:bookmarkEnd w:id="405"/>
      <w:bookmarkStart w:id="406" w:name="_Toc201825727"/>
      <w:bookmarkEnd w:id="406"/>
      <w:bookmarkStart w:id="407" w:name="_Toc215170980"/>
      <w:bookmarkEnd w:id="407"/>
      <w:bookmarkStart w:id="408" w:name="_Toc203147840"/>
      <w:bookmarkEnd w:id="408"/>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  </w:t>
      </w:r>
      <w:bookmarkStart w:id="409" w:name="_Toc215170981"/>
      <w:r>
        <w:rPr>
          <w:rFonts w:hint="default" w:ascii="Times New Roman" w:hAnsi="Times New Roman" w:eastAsia="仿宋_GB2312" w:cs="Times New Roman"/>
          <w:szCs w:val="32"/>
        </w:rPr>
        <w:t>名词术语解释</w:t>
      </w:r>
      <w:bookmarkEnd w:id="409"/>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放射性同位素，是指某种发生放射性衰变的元素中具有相同原子序数但质量不同的核素。</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放射源，是指除研究堆和动力堆核燃料循环范畴的材料以外，永久密封在容器中或者有严密包层并呈固态的放射性材料。</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射线装置，是指X线机、加速器、中子发生器以及含放射源的装置。</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伴生放射性矿，是指原矿、中间产品、尾矿、尾渣或者其他残留物中铀（钍）系单个核素活度浓度超过1贝可/克的非铀（钍）矿。</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辐射事故，是指放射源丢失、被盗、失控，或者放射性同位素和射线装置失控导致人员受到意外的异常照射，放射性物质泄漏及伴生矿开发利用中超标排放，造成辐射污染等。</w:t>
      </w:r>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  </w:t>
      </w:r>
      <w:bookmarkStart w:id="410" w:name="_Toc215170982"/>
      <w:r>
        <w:rPr>
          <w:rFonts w:hint="default" w:ascii="Times New Roman" w:hAnsi="Times New Roman" w:eastAsia="仿宋_GB2312" w:cs="Times New Roman"/>
          <w:szCs w:val="32"/>
        </w:rPr>
        <w:t>预案修订与解释</w:t>
      </w:r>
      <w:bookmarkEnd w:id="410"/>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本预案由市生态环境局荔湾分局牵头编制，报广州市荔湾区人民政府批准，由市生态环境局荔湾分局负责解释。</w:t>
      </w:r>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  </w:t>
      </w:r>
      <w:bookmarkStart w:id="411" w:name="_Toc215170983"/>
      <w:r>
        <w:rPr>
          <w:rFonts w:hint="default" w:ascii="Times New Roman" w:hAnsi="Times New Roman" w:eastAsia="仿宋_GB2312" w:cs="Times New Roman"/>
          <w:szCs w:val="32"/>
        </w:rPr>
        <w:t>预案实施</w:t>
      </w:r>
      <w:bookmarkEnd w:id="411"/>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本预案自印发之日起实施。</w:t>
      </w:r>
    </w:p>
    <w:p>
      <w:pPr>
        <w:pStyle w:val="3"/>
        <w:numPr>
          <w:ilvl w:val="0"/>
          <w:numId w:val="1"/>
        </w:numPr>
        <w:spacing w:before="0" w:after="0" w:line="560" w:lineRule="exact"/>
        <w:ind w:left="0"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bookmarkStart w:id="412" w:name="_Toc215170984"/>
      <w:r>
        <w:rPr>
          <w:rFonts w:hint="default" w:ascii="Times New Roman" w:hAnsi="Times New Roman" w:eastAsia="仿宋_GB2312" w:cs="Times New Roman"/>
          <w:sz w:val="32"/>
          <w:szCs w:val="32"/>
        </w:rPr>
        <w:t>附件</w:t>
      </w:r>
      <w:bookmarkEnd w:id="412"/>
    </w:p>
    <w:p>
      <w:pPr>
        <w:pStyle w:val="37"/>
        <w:keepNext/>
        <w:keepLines/>
        <w:numPr>
          <w:ilvl w:val="0"/>
          <w:numId w:val="5"/>
        </w:numPr>
        <w:spacing w:line="560" w:lineRule="exact"/>
        <w:ind w:left="0" w:firstLine="643"/>
        <w:outlineLvl w:val="1"/>
        <w:rPr>
          <w:rFonts w:hint="default" w:ascii="Times New Roman" w:hAnsi="Times New Roman" w:eastAsia="仿宋_GB2312" w:cs="Times New Roman"/>
          <w:b/>
          <w:vanish/>
          <w:sz w:val="32"/>
          <w:szCs w:val="32"/>
        </w:rPr>
      </w:pPr>
      <w:bookmarkStart w:id="413" w:name="_Toc201825732"/>
      <w:bookmarkEnd w:id="413"/>
      <w:bookmarkStart w:id="414" w:name="_Toc203148088"/>
      <w:bookmarkEnd w:id="414"/>
      <w:bookmarkStart w:id="415" w:name="_Toc215170985"/>
      <w:bookmarkEnd w:id="415"/>
      <w:bookmarkStart w:id="416" w:name="_Toc203147845"/>
      <w:bookmarkEnd w:id="416"/>
    </w:p>
    <w:p>
      <w:pPr>
        <w:pStyle w:val="37"/>
        <w:keepNext/>
        <w:keepLines/>
        <w:numPr>
          <w:ilvl w:val="0"/>
          <w:numId w:val="5"/>
        </w:numPr>
        <w:spacing w:line="560" w:lineRule="exact"/>
        <w:ind w:left="0" w:firstLine="643"/>
        <w:outlineLvl w:val="1"/>
        <w:rPr>
          <w:rFonts w:hint="default" w:ascii="Times New Roman" w:hAnsi="Times New Roman" w:eastAsia="仿宋_GB2312" w:cs="Times New Roman"/>
          <w:b/>
          <w:vanish/>
          <w:sz w:val="32"/>
          <w:szCs w:val="32"/>
        </w:rPr>
      </w:pPr>
      <w:bookmarkStart w:id="417" w:name="_Toc201825733"/>
      <w:bookmarkEnd w:id="417"/>
      <w:bookmarkStart w:id="418" w:name="_Toc215170986"/>
      <w:bookmarkEnd w:id="418"/>
      <w:bookmarkStart w:id="419" w:name="_Toc203148089"/>
      <w:bookmarkEnd w:id="419"/>
      <w:bookmarkStart w:id="420" w:name="_Toc203147846"/>
      <w:bookmarkEnd w:id="420"/>
    </w:p>
    <w:p>
      <w:pPr>
        <w:pStyle w:val="37"/>
        <w:keepNext/>
        <w:keepLines/>
        <w:numPr>
          <w:ilvl w:val="0"/>
          <w:numId w:val="5"/>
        </w:numPr>
        <w:spacing w:line="560" w:lineRule="exact"/>
        <w:ind w:left="0" w:firstLine="643"/>
        <w:outlineLvl w:val="1"/>
        <w:rPr>
          <w:rFonts w:hint="default" w:ascii="Times New Roman" w:hAnsi="Times New Roman" w:eastAsia="仿宋_GB2312" w:cs="Times New Roman"/>
          <w:b/>
          <w:vanish/>
          <w:sz w:val="32"/>
          <w:szCs w:val="32"/>
        </w:rPr>
      </w:pPr>
      <w:bookmarkStart w:id="421" w:name="_Toc203147847"/>
      <w:bookmarkEnd w:id="421"/>
      <w:bookmarkStart w:id="422" w:name="_Toc215170987"/>
      <w:bookmarkEnd w:id="422"/>
      <w:bookmarkStart w:id="423" w:name="_Toc203148090"/>
      <w:bookmarkEnd w:id="423"/>
      <w:bookmarkStart w:id="424" w:name="_Toc201825734"/>
      <w:bookmarkEnd w:id="424"/>
    </w:p>
    <w:p>
      <w:pPr>
        <w:pStyle w:val="37"/>
        <w:keepNext/>
        <w:keepLines/>
        <w:numPr>
          <w:ilvl w:val="0"/>
          <w:numId w:val="5"/>
        </w:numPr>
        <w:spacing w:line="560" w:lineRule="exact"/>
        <w:ind w:left="0" w:firstLine="643"/>
        <w:outlineLvl w:val="1"/>
        <w:rPr>
          <w:rFonts w:hint="default" w:ascii="Times New Roman" w:hAnsi="Times New Roman" w:eastAsia="仿宋_GB2312" w:cs="Times New Roman"/>
          <w:b/>
          <w:vanish/>
          <w:sz w:val="32"/>
          <w:szCs w:val="32"/>
        </w:rPr>
      </w:pPr>
      <w:bookmarkStart w:id="425" w:name="_Toc203147848"/>
      <w:bookmarkEnd w:id="425"/>
      <w:bookmarkStart w:id="426" w:name="_Toc201825735"/>
      <w:bookmarkEnd w:id="426"/>
      <w:bookmarkStart w:id="427" w:name="_Toc203148091"/>
      <w:bookmarkEnd w:id="427"/>
      <w:bookmarkStart w:id="428" w:name="_Toc215170988"/>
      <w:bookmarkEnd w:id="428"/>
    </w:p>
    <w:p>
      <w:pPr>
        <w:pStyle w:val="37"/>
        <w:keepNext/>
        <w:keepLines/>
        <w:numPr>
          <w:ilvl w:val="0"/>
          <w:numId w:val="5"/>
        </w:numPr>
        <w:spacing w:line="560" w:lineRule="exact"/>
        <w:ind w:left="0" w:firstLine="643"/>
        <w:outlineLvl w:val="1"/>
        <w:rPr>
          <w:rFonts w:hint="default" w:ascii="Times New Roman" w:hAnsi="Times New Roman" w:eastAsia="仿宋_GB2312" w:cs="Times New Roman"/>
          <w:b/>
          <w:vanish/>
          <w:sz w:val="32"/>
          <w:szCs w:val="32"/>
        </w:rPr>
      </w:pPr>
      <w:bookmarkStart w:id="429" w:name="_Toc203148092"/>
      <w:bookmarkEnd w:id="429"/>
      <w:bookmarkStart w:id="430" w:name="_Toc203147849"/>
      <w:bookmarkEnd w:id="430"/>
      <w:bookmarkStart w:id="431" w:name="_Toc215170989"/>
      <w:bookmarkEnd w:id="431"/>
      <w:bookmarkStart w:id="432" w:name="_Toc201825736"/>
      <w:bookmarkEnd w:id="432"/>
    </w:p>
    <w:p>
      <w:pPr>
        <w:pStyle w:val="37"/>
        <w:keepNext/>
        <w:keepLines/>
        <w:numPr>
          <w:ilvl w:val="0"/>
          <w:numId w:val="5"/>
        </w:numPr>
        <w:spacing w:line="560" w:lineRule="exact"/>
        <w:ind w:left="0" w:firstLine="643"/>
        <w:outlineLvl w:val="1"/>
        <w:rPr>
          <w:rFonts w:hint="default" w:ascii="Times New Roman" w:hAnsi="Times New Roman" w:eastAsia="仿宋_GB2312" w:cs="Times New Roman"/>
          <w:b/>
          <w:vanish/>
          <w:sz w:val="32"/>
          <w:szCs w:val="32"/>
        </w:rPr>
      </w:pPr>
      <w:bookmarkStart w:id="433" w:name="_Toc203147850"/>
      <w:bookmarkEnd w:id="433"/>
      <w:bookmarkStart w:id="434" w:name="_Toc203148093"/>
      <w:bookmarkEnd w:id="434"/>
      <w:bookmarkStart w:id="435" w:name="_Toc201825737"/>
      <w:bookmarkEnd w:id="435"/>
      <w:bookmarkStart w:id="436" w:name="_Toc215170990"/>
      <w:bookmarkEnd w:id="436"/>
    </w:p>
    <w:p>
      <w:pPr>
        <w:pStyle w:val="37"/>
        <w:keepNext/>
        <w:keepLines/>
        <w:numPr>
          <w:ilvl w:val="0"/>
          <w:numId w:val="5"/>
        </w:numPr>
        <w:spacing w:line="560" w:lineRule="exact"/>
        <w:ind w:left="0" w:firstLine="643"/>
        <w:outlineLvl w:val="1"/>
        <w:rPr>
          <w:rFonts w:hint="default" w:ascii="Times New Roman" w:hAnsi="Times New Roman" w:eastAsia="仿宋_GB2312" w:cs="Times New Roman"/>
          <w:b/>
          <w:vanish/>
          <w:sz w:val="32"/>
          <w:szCs w:val="32"/>
        </w:rPr>
      </w:pPr>
      <w:bookmarkStart w:id="437" w:name="_Toc203148094"/>
      <w:bookmarkEnd w:id="437"/>
      <w:bookmarkStart w:id="438" w:name="_Toc215170991"/>
      <w:bookmarkEnd w:id="438"/>
      <w:bookmarkStart w:id="439" w:name="_Toc203147851"/>
      <w:bookmarkEnd w:id="439"/>
      <w:bookmarkStart w:id="440" w:name="_Toc201825738"/>
      <w:bookmarkEnd w:id="440"/>
    </w:p>
    <w:p>
      <w:pPr>
        <w:pStyle w:val="37"/>
        <w:keepNext/>
        <w:keepLines/>
        <w:numPr>
          <w:ilvl w:val="0"/>
          <w:numId w:val="5"/>
        </w:numPr>
        <w:spacing w:line="560" w:lineRule="exact"/>
        <w:ind w:left="0" w:firstLine="643"/>
        <w:outlineLvl w:val="1"/>
        <w:rPr>
          <w:rFonts w:hint="default" w:ascii="Times New Roman" w:hAnsi="Times New Roman" w:eastAsia="仿宋_GB2312" w:cs="Times New Roman"/>
          <w:b/>
          <w:vanish/>
          <w:sz w:val="32"/>
          <w:szCs w:val="32"/>
        </w:rPr>
      </w:pPr>
      <w:bookmarkStart w:id="441" w:name="_Toc215170992"/>
      <w:bookmarkEnd w:id="441"/>
      <w:bookmarkStart w:id="442" w:name="_Toc203147852"/>
      <w:bookmarkEnd w:id="442"/>
      <w:bookmarkStart w:id="443" w:name="_Toc201825739"/>
      <w:bookmarkEnd w:id="443"/>
      <w:bookmarkStart w:id="444" w:name="_Toc203148095"/>
      <w:bookmarkEnd w:id="444"/>
    </w:p>
    <w:p>
      <w:pPr>
        <w:pStyle w:val="37"/>
        <w:keepNext/>
        <w:keepLines/>
        <w:numPr>
          <w:ilvl w:val="0"/>
          <w:numId w:val="5"/>
        </w:numPr>
        <w:spacing w:line="560" w:lineRule="exact"/>
        <w:ind w:left="0" w:firstLine="643"/>
        <w:outlineLvl w:val="1"/>
        <w:rPr>
          <w:rFonts w:hint="default" w:ascii="Times New Roman" w:hAnsi="Times New Roman" w:eastAsia="仿宋_GB2312" w:cs="Times New Roman"/>
          <w:b/>
          <w:vanish/>
          <w:sz w:val="32"/>
          <w:szCs w:val="32"/>
        </w:rPr>
      </w:pPr>
      <w:bookmarkStart w:id="445" w:name="_Toc203147853"/>
      <w:bookmarkEnd w:id="445"/>
      <w:bookmarkStart w:id="446" w:name="_Toc203148096"/>
      <w:bookmarkEnd w:id="446"/>
      <w:bookmarkStart w:id="447" w:name="_Toc215170993"/>
      <w:bookmarkEnd w:id="447"/>
      <w:bookmarkStart w:id="448" w:name="_Toc201825740"/>
      <w:bookmarkEnd w:id="448"/>
    </w:p>
    <w:p>
      <w:pPr>
        <w:pStyle w:val="4"/>
        <w:numPr>
          <w:ilvl w:val="1"/>
          <w:numId w:val="1"/>
        </w:numPr>
        <w:tabs>
          <w:tab w:val="left" w:pos="1132"/>
        </w:tabs>
        <w:spacing w:before="0" w:after="0" w:line="560" w:lineRule="exact"/>
        <w:ind w:left="0" w:firstLine="643" w:firstLineChars="200"/>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  </w:t>
      </w:r>
      <w:bookmarkStart w:id="449" w:name="_Toc215170994"/>
      <w:r>
        <w:rPr>
          <w:rFonts w:hint="default" w:ascii="Times New Roman" w:hAnsi="Times New Roman" w:eastAsia="仿宋_GB2312" w:cs="Times New Roman"/>
          <w:szCs w:val="32"/>
        </w:rPr>
        <w:t>应急组织框架及对外接口图</w:t>
      </w:r>
      <w:bookmarkEnd w:id="449"/>
    </w:p>
    <w:p>
      <w:pPr>
        <w:rPr>
          <w:rFonts w:hint="default" w:ascii="Times New Roman" w:hAnsi="Times New Roman" w:eastAsia="仿宋_GB2312" w:cs="Times New Roman"/>
          <w:szCs w:val="32"/>
        </w:rPr>
      </w:pPr>
      <w:r>
        <w:rPr>
          <w:rFonts w:hint="default" w:ascii="Times New Roman" w:hAnsi="Times New Roman" w:eastAsia="仿宋_GB2312" w:cs="Times New Roman"/>
          <w:sz w:val="32"/>
          <w:szCs w:val="32"/>
        </w:rPr>
        <w:drawing>
          <wp:anchor distT="0" distB="0" distL="114300" distR="114300" simplePos="0" relativeHeight="251661312" behindDoc="0" locked="0" layoutInCell="1" allowOverlap="1">
            <wp:simplePos x="0" y="0"/>
            <wp:positionH relativeFrom="margin">
              <wp:posOffset>282575</wp:posOffset>
            </wp:positionH>
            <wp:positionV relativeFrom="margin">
              <wp:posOffset>3313430</wp:posOffset>
            </wp:positionV>
            <wp:extent cx="5614670" cy="2895600"/>
            <wp:effectExtent l="0" t="0" r="5080" b="0"/>
            <wp:wrapSquare wrapText="bothSides"/>
            <wp:docPr id="32658980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589804" name="图片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614670" cy="2895600"/>
                    </a:xfrm>
                    <a:prstGeom prst="rect">
                      <a:avLst/>
                    </a:prstGeom>
                    <a:noFill/>
                  </pic:spPr>
                </pic:pic>
              </a:graphicData>
            </a:graphic>
          </wp:anchor>
        </w:drawing>
      </w:r>
      <w:r>
        <w:rPr>
          <w:rFonts w:hint="default" w:ascii="Times New Roman" w:hAnsi="Times New Roman" w:eastAsia="仿宋_GB2312" w:cs="Times New Roman"/>
          <w:szCs w:val="32"/>
        </w:rPr>
        <w:br w:type="page"/>
      </w:r>
    </w:p>
    <w:p>
      <w:pPr>
        <w:pStyle w:val="4"/>
        <w:numPr>
          <w:ilvl w:val="1"/>
          <w:numId w:val="1"/>
        </w:numPr>
        <w:tabs>
          <w:tab w:val="left" w:pos="1132"/>
        </w:tabs>
        <w:spacing w:before="0" w:after="0" w:line="540" w:lineRule="exact"/>
        <w:ind w:left="0" w:firstLine="643" w:firstLineChars="200"/>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  </w:t>
      </w:r>
      <w:bookmarkStart w:id="450" w:name="_Toc215170995"/>
      <w:r>
        <w:rPr>
          <w:rFonts w:hint="default" w:ascii="Times New Roman" w:hAnsi="Times New Roman" w:eastAsia="仿宋_GB2312" w:cs="Times New Roman"/>
          <w:szCs w:val="32"/>
        </w:rPr>
        <w:t>应急响应流程图</w:t>
      </w:r>
      <w:bookmarkEnd w:id="450"/>
    </w:p>
    <w:p>
      <w:pPr>
        <w:spacing w:line="540" w:lineRule="exact"/>
        <w:rPr>
          <w:rFonts w:hint="default" w:ascii="Times New Roman" w:hAnsi="Times New Roman" w:eastAsia="仿宋_GB2312" w:cs="Times New Roman"/>
          <w:sz w:val="32"/>
          <w:szCs w:val="32"/>
        </w:rPr>
      </w:pPr>
    </w:p>
    <w:p>
      <w:pPr>
        <w:spacing w:line="540" w:lineRule="exact"/>
        <w:rPr>
          <w:rFonts w:hint="default" w:ascii="Times New Roman" w:hAnsi="Times New Roman" w:eastAsia="仿宋_GB2312" w:cs="Times New Roman"/>
          <w:sz w:val="32"/>
          <w:szCs w:val="32"/>
        </w:rPr>
        <w:sectPr>
          <w:footerReference r:id="rId7" w:type="default"/>
          <w:footerReference r:id="rId8" w:type="even"/>
          <w:pgSz w:w="11907" w:h="16840"/>
          <w:pgMar w:top="2098" w:right="1474" w:bottom="1985" w:left="1588" w:header="1134" w:footer="794" w:gutter="0"/>
          <w:pgNumType w:fmt="numberInDash" w:start="1"/>
          <w:cols w:space="720" w:num="1"/>
          <w:docGrid w:linePitch="579" w:charSpace="21686"/>
        </w:sectPr>
      </w:pPr>
      <w:r>
        <w:rPr>
          <w:rFonts w:hint="default" w:ascii="Times New Roman" w:hAnsi="Times New Roman" w:cs="Times New Roman"/>
        </w:rPr>
        <w:drawing>
          <wp:anchor distT="0" distB="0" distL="114300" distR="114300" simplePos="0" relativeHeight="251659264" behindDoc="0" locked="0" layoutInCell="1" allowOverlap="1">
            <wp:simplePos x="0" y="0"/>
            <wp:positionH relativeFrom="margin">
              <wp:posOffset>185420</wp:posOffset>
            </wp:positionH>
            <wp:positionV relativeFrom="margin">
              <wp:posOffset>570230</wp:posOffset>
            </wp:positionV>
            <wp:extent cx="5505450" cy="6257925"/>
            <wp:effectExtent l="0" t="0" r="0" b="9525"/>
            <wp:wrapSquare wrapText="bothSides"/>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5505450" cy="6257925"/>
                    </a:xfrm>
                    <a:prstGeom prst="rect">
                      <a:avLst/>
                    </a:prstGeom>
                  </pic:spPr>
                </pic:pic>
              </a:graphicData>
            </a:graphic>
          </wp:anchor>
        </w:drawing>
      </w:r>
    </w:p>
    <w:p>
      <w:pPr>
        <w:pStyle w:val="4"/>
        <w:numPr>
          <w:ilvl w:val="1"/>
          <w:numId w:val="1"/>
        </w:numPr>
        <w:tabs>
          <w:tab w:val="left" w:pos="1132"/>
        </w:tabs>
        <w:spacing w:before="0" w:after="0" w:line="540" w:lineRule="exact"/>
        <w:ind w:left="0" w:firstLine="643" w:firstLineChars="200"/>
        <w:rPr>
          <w:rFonts w:hint="default" w:ascii="Times New Roman" w:hAnsi="Times New Roman" w:eastAsia="仿宋_GB2312" w:cs="Times New Roman"/>
          <w:szCs w:val="32"/>
        </w:rPr>
      </w:pPr>
      <w:bookmarkStart w:id="451" w:name="_Toc17010"/>
      <w:bookmarkStart w:id="452" w:name="_Toc21503"/>
      <w:bookmarkStart w:id="453" w:name="_Toc25404"/>
      <w:bookmarkStart w:id="454" w:name="_Toc5931"/>
      <w:bookmarkStart w:id="455" w:name="_Toc24599"/>
      <w:bookmarkStart w:id="456" w:name="_Toc29606"/>
      <w:bookmarkStart w:id="457" w:name="_Toc24442"/>
      <w:bookmarkStart w:id="458" w:name="_Toc12603"/>
      <w:r>
        <w:rPr>
          <w:rFonts w:hint="default" w:ascii="Times New Roman" w:hAnsi="Times New Roman" w:eastAsia="仿宋_GB2312" w:cs="Times New Roman"/>
          <w:szCs w:val="32"/>
        </w:rPr>
        <w:t xml:space="preserve">  </w:t>
      </w:r>
      <w:bookmarkStart w:id="459" w:name="_Toc215170996"/>
      <w:r>
        <w:rPr>
          <w:rFonts w:hint="default" w:ascii="Times New Roman" w:hAnsi="Times New Roman" w:eastAsia="仿宋_GB2312" w:cs="Times New Roman"/>
          <w:szCs w:val="32"/>
        </w:rPr>
        <w:t>应急响应启动表</w:t>
      </w:r>
      <w:bookmarkEnd w:id="459"/>
    </w:p>
    <w:p>
      <w:pPr>
        <w:pStyle w:val="13"/>
        <w:spacing w:line="540" w:lineRule="exact"/>
        <w:rPr>
          <w:rFonts w:hint="default" w:ascii="Times New Roman" w:hAnsi="Times New Roman" w:cs="Times New Roman"/>
        </w:rPr>
      </w:pPr>
      <w:r>
        <w:rPr>
          <w:rFonts w:hint="default" w:ascii="Times New Roman" w:hAnsi="Times New Roman" w:cs="Times New Roman"/>
        </w:rPr>
        <w:t>9.5-1广州市荔湾区辐射事故应急响应启动表</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7" w:type="dxa"/>
          <w:bottom w:w="0" w:type="dxa"/>
          <w:right w:w="17" w:type="dxa"/>
        </w:tblCellMar>
      </w:tblPr>
      <w:tblGrid>
        <w:gridCol w:w="1132"/>
        <w:gridCol w:w="710"/>
        <w:gridCol w:w="1022"/>
        <w:gridCol w:w="1215"/>
        <w:gridCol w:w="1215"/>
        <w:gridCol w:w="1215"/>
        <w:gridCol w:w="1215"/>
        <w:gridCol w:w="1215"/>
        <w:gridCol w:w="1215"/>
        <w:gridCol w:w="1215"/>
        <w:gridCol w:w="1219"/>
        <w:gridCol w:w="12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397" w:hRule="atLeast"/>
          <w:jc w:val="center"/>
        </w:trPr>
        <w:tc>
          <w:tcPr>
            <w:tcW w:w="41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辐射事故等级</w:t>
            </w:r>
          </w:p>
        </w:tc>
        <w:tc>
          <w:tcPr>
            <w:tcW w:w="257"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响应</w:t>
            </w:r>
          </w:p>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级别</w:t>
            </w:r>
          </w:p>
        </w:tc>
        <w:tc>
          <w:tcPr>
            <w:tcW w:w="37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区指挥部</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区应急办</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舆情信息组</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救援处置组</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现场监测组</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医疗救护组</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事故调查组</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安全保卫组</w:t>
            </w:r>
          </w:p>
        </w:tc>
        <w:tc>
          <w:tcPr>
            <w:tcW w:w="441"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后勤保障组</w:t>
            </w:r>
          </w:p>
        </w:tc>
        <w:tc>
          <w:tcPr>
            <w:tcW w:w="442"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专家组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850" w:hRule="atLeast"/>
          <w:jc w:val="center"/>
        </w:trPr>
        <w:tc>
          <w:tcPr>
            <w:tcW w:w="41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一般事故</w:t>
            </w:r>
          </w:p>
        </w:tc>
        <w:tc>
          <w:tcPr>
            <w:tcW w:w="257"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Ⅳ级</w:t>
            </w:r>
          </w:p>
        </w:tc>
        <w:tc>
          <w:tcPr>
            <w:tcW w:w="37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2"/>
                <w:szCs w:val="24"/>
              </w:rPr>
              <w:t>√</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2"/>
                <w:szCs w:val="24"/>
              </w:rPr>
              <w:t>√</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2"/>
                <w:szCs w:val="24"/>
              </w:rPr>
              <w:t>√</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2"/>
                <w:szCs w:val="24"/>
              </w:rPr>
              <w:t>√</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2"/>
                <w:szCs w:val="24"/>
              </w:rPr>
              <w:t>√</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2"/>
                <w:szCs w:val="24"/>
              </w:rPr>
              <w:t>√</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2"/>
                <w:szCs w:val="24"/>
              </w:rPr>
              <w:t>√</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2"/>
                <w:szCs w:val="24"/>
              </w:rPr>
              <w:t>√</w:t>
            </w:r>
          </w:p>
        </w:tc>
        <w:tc>
          <w:tcPr>
            <w:tcW w:w="441"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2"/>
                <w:szCs w:val="24"/>
              </w:rPr>
              <w:t>√</w:t>
            </w:r>
          </w:p>
        </w:tc>
        <w:tc>
          <w:tcPr>
            <w:tcW w:w="442"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2"/>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850" w:hRule="atLeast"/>
          <w:jc w:val="center"/>
        </w:trPr>
        <w:tc>
          <w:tcPr>
            <w:tcW w:w="41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较大事故</w:t>
            </w:r>
          </w:p>
        </w:tc>
        <w:tc>
          <w:tcPr>
            <w:tcW w:w="257"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Ⅲ级</w:t>
            </w:r>
          </w:p>
        </w:tc>
        <w:tc>
          <w:tcPr>
            <w:tcW w:w="37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441"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442"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850" w:hRule="atLeast"/>
          <w:jc w:val="center"/>
        </w:trPr>
        <w:tc>
          <w:tcPr>
            <w:tcW w:w="41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重大事故</w:t>
            </w:r>
          </w:p>
        </w:tc>
        <w:tc>
          <w:tcPr>
            <w:tcW w:w="257"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Ⅱ级</w:t>
            </w:r>
          </w:p>
        </w:tc>
        <w:tc>
          <w:tcPr>
            <w:tcW w:w="37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441"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442"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850" w:hRule="atLeast"/>
          <w:jc w:val="center"/>
        </w:trPr>
        <w:tc>
          <w:tcPr>
            <w:tcW w:w="41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特别重大事故</w:t>
            </w:r>
          </w:p>
        </w:tc>
        <w:tc>
          <w:tcPr>
            <w:tcW w:w="257"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Ⅰ级</w:t>
            </w:r>
          </w:p>
        </w:tc>
        <w:tc>
          <w:tcPr>
            <w:tcW w:w="37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440"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441"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c>
          <w:tcPr>
            <w:tcW w:w="442"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w:t>
            </w:r>
          </w:p>
        </w:tc>
      </w:tr>
    </w:tbl>
    <w:p>
      <w:pPr>
        <w:snapToGrid w:val="0"/>
        <w:spacing w:line="540" w:lineRule="exact"/>
        <w:rPr>
          <w:rFonts w:hint="default" w:ascii="Times New Roman" w:hAnsi="Times New Roman" w:eastAsia="仿宋_GB2312" w:cs="Times New Roman"/>
          <w:sz w:val="22"/>
          <w:szCs w:val="24"/>
        </w:rPr>
        <w:sectPr>
          <w:footerReference r:id="rId9" w:type="default"/>
          <w:pgSz w:w="16838" w:h="11906" w:orient="landscape"/>
          <w:pgMar w:top="2098" w:right="1474" w:bottom="1985" w:left="1588" w:header="1134" w:footer="794" w:gutter="0"/>
          <w:pgNumType w:fmt="numberInDash"/>
          <w:cols w:space="720" w:num="1"/>
          <w:docGrid w:linePitch="579" w:charSpace="-1668"/>
        </w:sectPr>
      </w:pPr>
      <w:r>
        <w:rPr>
          <w:rFonts w:hint="default" w:ascii="Times New Roman" w:hAnsi="Times New Roman" w:eastAsia="仿宋_GB2312" w:cs="Times New Roman"/>
          <w:sz w:val="22"/>
          <w:szCs w:val="24"/>
        </w:rPr>
        <w:t>注：－表示不启动，○表示待命，○√表示根据实际情况决定处于待命或启动，√表示应急响应人员启动并到达责任岗位。</w:t>
      </w:r>
    </w:p>
    <w:p>
      <w:pPr>
        <w:pStyle w:val="4"/>
        <w:numPr>
          <w:ilvl w:val="1"/>
          <w:numId w:val="1"/>
        </w:numPr>
        <w:tabs>
          <w:tab w:val="left" w:pos="1132"/>
        </w:tabs>
        <w:spacing w:before="0" w:after="0" w:line="540" w:lineRule="exact"/>
        <w:ind w:left="0" w:firstLine="643" w:firstLineChars="200"/>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  </w:t>
      </w:r>
      <w:bookmarkStart w:id="460" w:name="_Toc215170997"/>
      <w:r>
        <w:rPr>
          <w:rFonts w:hint="default" w:ascii="Times New Roman" w:hAnsi="Times New Roman" w:eastAsia="仿宋_GB2312" w:cs="Times New Roman"/>
          <w:szCs w:val="32"/>
        </w:rPr>
        <w:t>辐射事故应急指令</w:t>
      </w:r>
      <w:bookmarkEnd w:id="460"/>
    </w:p>
    <w:p>
      <w:pPr>
        <w:pStyle w:val="13"/>
        <w:keepNext/>
        <w:spacing w:line="540" w:lineRule="exact"/>
        <w:rPr>
          <w:rFonts w:hint="default" w:ascii="Times New Roman" w:hAnsi="Times New Roman" w:cs="Times New Roman"/>
          <w:b/>
          <w:bCs/>
        </w:rPr>
      </w:pPr>
    </w:p>
    <w:p>
      <w:pPr>
        <w:pStyle w:val="13"/>
        <w:keepNext/>
        <w:spacing w:line="540" w:lineRule="exact"/>
        <w:rPr>
          <w:rFonts w:hint="default" w:ascii="Times New Roman" w:hAnsi="Times New Roman" w:cs="Times New Roman"/>
          <w:b/>
          <w:bCs/>
          <w:sz w:val="32"/>
          <w:szCs w:val="32"/>
        </w:rPr>
      </w:pPr>
      <w:r>
        <w:rPr>
          <w:rFonts w:hint="default" w:ascii="Times New Roman" w:hAnsi="Times New Roman" w:cs="Times New Roman"/>
          <w:b/>
          <w:bCs/>
          <w:sz w:val="32"/>
          <w:szCs w:val="32"/>
        </w:rPr>
        <w:t>辐射事故应急指令</w:t>
      </w:r>
      <w:bookmarkEnd w:id="451"/>
      <w:bookmarkEnd w:id="452"/>
      <w:bookmarkEnd w:id="453"/>
      <w:bookmarkEnd w:id="454"/>
    </w:p>
    <w:p>
      <w:pPr>
        <w:tabs>
          <w:tab w:val="left" w:pos="1092"/>
        </w:tabs>
        <w:adjustRightInd w:val="0"/>
        <w:snapToGrid w:val="0"/>
        <w:spacing w:line="540" w:lineRule="exact"/>
        <w:rPr>
          <w:rFonts w:hint="default" w:ascii="Times New Roman" w:hAnsi="Times New Roman" w:eastAsia="仿宋_GB2312" w:cs="Times New Roman"/>
          <w:b/>
          <w:bCs/>
          <w:sz w:val="32"/>
          <w:szCs w:val="32"/>
        </w:rPr>
      </w:pPr>
    </w:p>
    <w:bookmarkEnd w:id="455"/>
    <w:bookmarkEnd w:id="456"/>
    <w:bookmarkEnd w:id="457"/>
    <w:bookmarkEnd w:id="458"/>
    <w:p>
      <w:pPr>
        <w:spacing w:line="540" w:lineRule="exact"/>
        <w:jc w:val="center"/>
        <w:rPr>
          <w:rFonts w:hint="default" w:ascii="Times New Roman" w:hAnsi="Times New Roman" w:eastAsia="仿宋_GB2312" w:cs="Times New Roman"/>
          <w:sz w:val="32"/>
          <w:szCs w:val="32"/>
          <w:lang w:bidi="en-US"/>
        </w:rPr>
      </w:pPr>
      <w:r>
        <w:rPr>
          <w:rFonts w:hint="default" w:ascii="Times New Roman" w:hAnsi="Times New Roman" w:eastAsia="仿宋_GB2312" w:cs="Times New Roman"/>
          <w:sz w:val="32"/>
          <w:szCs w:val="32"/>
          <w:lang w:bidi="en-US"/>
        </w:rPr>
        <w:t>20XX年第XX号</w:t>
      </w:r>
    </w:p>
    <w:p>
      <w:pPr>
        <w:spacing w:line="540" w:lineRule="exact"/>
        <w:rPr>
          <w:rFonts w:hint="default" w:ascii="Times New Roman" w:hAnsi="Times New Roman" w:eastAsia="仿宋_GB2312" w:cs="Times New Roman"/>
          <w:sz w:val="32"/>
          <w:szCs w:val="32"/>
          <w:lang w:bidi="en-US"/>
        </w:rPr>
      </w:pPr>
      <w:r>
        <w:rPr>
          <w:rFonts w:hint="default" w:ascii="Times New Roman" w:hAnsi="Times New Roman" w:eastAsia="仿宋_GB2312" w:cs="Times New Roman"/>
          <w:sz w:val="32"/>
          <w:szCs w:val="32"/>
          <w:lang w:bidi="en-US"/>
        </w:rPr>
        <w:t>广州市各辐射事故应急响应组织：</w:t>
      </w:r>
    </w:p>
    <w:p>
      <w:pPr>
        <w:spacing w:line="540" w:lineRule="exact"/>
        <w:ind w:firstLine="640" w:firstLineChars="200"/>
        <w:rPr>
          <w:rFonts w:hint="default" w:ascii="Times New Roman" w:hAnsi="Times New Roman" w:eastAsia="仿宋_GB2312" w:cs="Times New Roman"/>
          <w:sz w:val="32"/>
          <w:szCs w:val="32"/>
          <w:lang w:bidi="en-US"/>
        </w:rPr>
      </w:pPr>
      <w:r>
        <w:rPr>
          <w:rFonts w:hint="default" w:ascii="Times New Roman" w:hAnsi="Times New Roman" w:eastAsia="仿宋_GB2312" w:cs="Times New Roman"/>
          <w:sz w:val="32"/>
          <w:szCs w:val="32"/>
          <w:lang w:bidi="en-US"/>
        </w:rPr>
        <w:t>20XX年XX月XX日XX时XX分，接XX报告，XX地，（事件基本情况），初步判定发生一起XX辐射事故。根据《广州市荔湾区辐射事故应急预案》，区辐射事故应急响应组织立即进入XX级应急响应状态，区辐射应急组织做好先期应急响应行动。</w:t>
      </w:r>
    </w:p>
    <w:p>
      <w:pPr>
        <w:spacing w:line="540" w:lineRule="exact"/>
        <w:rPr>
          <w:rFonts w:hint="default" w:ascii="Times New Roman" w:hAnsi="Times New Roman" w:eastAsia="仿宋_GB2312" w:cs="Times New Roman"/>
          <w:sz w:val="32"/>
          <w:szCs w:val="32"/>
          <w:lang w:bidi="en-US"/>
        </w:rPr>
      </w:pPr>
    </w:p>
    <w:p>
      <w:pPr>
        <w:spacing w:line="540" w:lineRule="exact"/>
        <w:rPr>
          <w:rFonts w:hint="default" w:ascii="Times New Roman" w:hAnsi="Times New Roman" w:eastAsia="仿宋_GB2312" w:cs="Times New Roman"/>
          <w:sz w:val="32"/>
          <w:szCs w:val="32"/>
          <w:lang w:bidi="en-US"/>
        </w:rPr>
      </w:pPr>
    </w:p>
    <w:p>
      <w:pPr>
        <w:spacing w:line="540" w:lineRule="exact"/>
        <w:rPr>
          <w:rFonts w:hint="default" w:ascii="Times New Roman" w:hAnsi="Times New Roman" w:eastAsia="仿宋_GB2312" w:cs="Times New Roman"/>
          <w:sz w:val="32"/>
          <w:szCs w:val="32"/>
          <w:lang w:bidi="en-US"/>
        </w:rPr>
      </w:pPr>
    </w:p>
    <w:p>
      <w:pPr>
        <w:spacing w:line="540" w:lineRule="exact"/>
        <w:ind w:right="-1"/>
        <w:jc w:val="right"/>
        <w:rPr>
          <w:rFonts w:hint="default" w:ascii="Times New Roman" w:hAnsi="Times New Roman" w:eastAsia="仿宋_GB2312" w:cs="Times New Roman"/>
          <w:sz w:val="32"/>
          <w:szCs w:val="32"/>
          <w:lang w:bidi="en-US"/>
        </w:rPr>
      </w:pPr>
      <w:r>
        <w:rPr>
          <w:rFonts w:hint="default" w:ascii="Times New Roman" w:hAnsi="Times New Roman" w:eastAsia="仿宋_GB2312" w:cs="Times New Roman"/>
          <w:sz w:val="32"/>
          <w:szCs w:val="32"/>
          <w:lang w:bidi="en-US"/>
        </w:rPr>
        <w:t>广州市荔湾区辐射事故应急指挥部</w:t>
      </w:r>
    </w:p>
    <w:p>
      <w:pPr>
        <w:spacing w:line="540" w:lineRule="exact"/>
        <w:ind w:right="-1" w:firstLine="4393" w:firstLineChars="1373"/>
        <w:rPr>
          <w:rFonts w:hint="default" w:ascii="Times New Roman" w:hAnsi="Times New Roman" w:eastAsia="仿宋_GB2312" w:cs="Times New Roman"/>
          <w:sz w:val="32"/>
          <w:szCs w:val="32"/>
          <w:lang w:bidi="en-US"/>
        </w:rPr>
      </w:pPr>
      <w:r>
        <w:rPr>
          <w:rFonts w:hint="default" w:ascii="Times New Roman" w:hAnsi="Times New Roman" w:eastAsia="仿宋_GB2312" w:cs="Times New Roman"/>
          <w:sz w:val="32"/>
          <w:szCs w:val="32"/>
          <w:lang w:bidi="en-US"/>
        </w:rPr>
        <w:t xml:space="preserve">总指挥或授权人签字：      </w:t>
      </w:r>
    </w:p>
    <w:p>
      <w:pPr>
        <w:spacing w:line="540" w:lineRule="exact"/>
        <w:ind w:right="-1" w:firstLine="3520" w:firstLineChars="1100"/>
        <w:rPr>
          <w:rFonts w:hint="default" w:ascii="Times New Roman" w:hAnsi="Times New Roman" w:eastAsia="仿宋_GB2312" w:cs="Times New Roman"/>
          <w:sz w:val="32"/>
          <w:szCs w:val="36"/>
          <w:lang w:bidi="en-US"/>
        </w:rPr>
      </w:pPr>
      <w:r>
        <w:rPr>
          <w:rFonts w:hint="default" w:ascii="Times New Roman" w:hAnsi="Times New Roman" w:eastAsia="仿宋_GB2312" w:cs="Times New Roman"/>
          <w:sz w:val="32"/>
          <w:szCs w:val="32"/>
          <w:lang w:bidi="en-US"/>
        </w:rPr>
        <w:t>20XX年XX月XX日XX时XX分</w:t>
      </w:r>
      <w:r>
        <w:rPr>
          <w:rFonts w:hint="default" w:ascii="Times New Roman" w:hAnsi="Times New Roman" w:eastAsia="仿宋_GB2312" w:cs="Times New Roman"/>
          <w:sz w:val="32"/>
          <w:szCs w:val="36"/>
          <w:lang w:bidi="en-US"/>
        </w:rPr>
        <w:br w:type="page"/>
      </w:r>
    </w:p>
    <w:p>
      <w:pPr>
        <w:pStyle w:val="4"/>
        <w:numPr>
          <w:ilvl w:val="1"/>
          <w:numId w:val="1"/>
        </w:numPr>
        <w:tabs>
          <w:tab w:val="left" w:pos="1132"/>
        </w:tabs>
        <w:spacing w:before="0" w:after="0" w:line="540" w:lineRule="exact"/>
        <w:ind w:left="0" w:firstLine="643" w:firstLineChars="200"/>
        <w:rPr>
          <w:rFonts w:hint="default" w:ascii="Times New Roman" w:hAnsi="Times New Roman" w:eastAsia="仿宋_GB2312" w:cs="Times New Roman"/>
          <w:szCs w:val="32"/>
        </w:rPr>
      </w:pPr>
      <w:bookmarkStart w:id="461" w:name="_Toc2722"/>
      <w:bookmarkStart w:id="462" w:name="_Toc28799"/>
      <w:bookmarkStart w:id="463" w:name="_Toc22609"/>
      <w:bookmarkStart w:id="464" w:name="_Toc17797"/>
      <w:bookmarkStart w:id="465" w:name="_Toc179298993"/>
      <w:r>
        <w:rPr>
          <w:rFonts w:hint="default" w:ascii="Times New Roman" w:hAnsi="Times New Roman" w:eastAsia="仿宋_GB2312" w:cs="Times New Roman"/>
          <w:szCs w:val="32"/>
        </w:rPr>
        <w:t xml:space="preserve">  </w:t>
      </w:r>
      <w:bookmarkStart w:id="466" w:name="_Toc215170998"/>
      <w:r>
        <w:rPr>
          <w:rFonts w:hint="default" w:ascii="Times New Roman" w:hAnsi="Times New Roman" w:eastAsia="仿宋_GB2312" w:cs="Times New Roman"/>
          <w:szCs w:val="32"/>
        </w:rPr>
        <w:t>辐射事故初始报告表</w:t>
      </w:r>
      <w:bookmarkEnd w:id="466"/>
    </w:p>
    <w:p>
      <w:pPr>
        <w:pStyle w:val="13"/>
        <w:keepNext/>
        <w:spacing w:line="540" w:lineRule="exact"/>
        <w:rPr>
          <w:rFonts w:hint="default" w:ascii="Times New Roman" w:hAnsi="Times New Roman" w:cs="Times New Roman"/>
          <w:b/>
          <w:bCs/>
          <w:sz w:val="32"/>
          <w:szCs w:val="24"/>
        </w:rPr>
      </w:pPr>
      <w:r>
        <w:rPr>
          <w:rFonts w:hint="default" w:ascii="Times New Roman" w:hAnsi="Times New Roman" w:cs="Times New Roman"/>
          <w:b/>
          <w:bCs/>
          <w:sz w:val="32"/>
          <w:szCs w:val="24"/>
        </w:rPr>
        <w:t>辐射事故初始报告表</w:t>
      </w:r>
      <w:bookmarkEnd w:id="461"/>
      <w:bookmarkEnd w:id="462"/>
      <w:bookmarkEnd w:id="463"/>
      <w:bookmarkEnd w:id="464"/>
    </w:p>
    <w:p>
      <w:pPr>
        <w:widowControl/>
        <w:spacing w:line="54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u w:val="single"/>
          <w:shd w:val="clear" w:color="auto" w:fill="FFFFFF"/>
          <w:lang w:bidi="ar"/>
        </w:rPr>
        <w:t xml:space="preserve">                        </w:t>
      </w:r>
      <w:r>
        <w:rPr>
          <w:rFonts w:hint="default" w:ascii="Times New Roman" w:hAnsi="Times New Roman" w:eastAsia="仿宋_GB2312" w:cs="Times New Roman"/>
          <w:kern w:val="0"/>
          <w:sz w:val="32"/>
          <w:szCs w:val="32"/>
          <w:shd w:val="clear" w:color="auto" w:fill="FFFFFF"/>
          <w:lang w:bidi="ar"/>
        </w:rPr>
        <w:t>辐射事故初始报告表</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34"/>
        <w:gridCol w:w="363"/>
        <w:gridCol w:w="756"/>
        <w:gridCol w:w="443"/>
        <w:gridCol w:w="758"/>
        <w:gridCol w:w="559"/>
        <w:gridCol w:w="640"/>
        <w:gridCol w:w="602"/>
        <w:gridCol w:w="600"/>
        <w:gridCol w:w="140"/>
        <w:gridCol w:w="1064"/>
        <w:gridCol w:w="18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8" w:type="pct"/>
            <w:gridSpan w:val="2"/>
            <w:vAlign w:val="center"/>
          </w:tcPr>
          <w:p>
            <w:pPr>
              <w:spacing w:line="540" w:lineRule="exac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单  位</w:t>
            </w:r>
          </w:p>
        </w:tc>
        <w:tc>
          <w:tcPr>
            <w:tcW w:w="4292" w:type="pct"/>
            <w:gridSpan w:val="11"/>
            <w:vAlign w:val="center"/>
          </w:tcPr>
          <w:p>
            <w:pPr>
              <w:spacing w:line="54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8" w:type="pct"/>
            <w:gridSpan w:val="2"/>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法定代表人</w:t>
            </w:r>
          </w:p>
        </w:tc>
        <w:tc>
          <w:tcPr>
            <w:tcW w:w="619" w:type="pct"/>
            <w:gridSpan w:val="2"/>
            <w:vAlign w:val="center"/>
          </w:tcPr>
          <w:p>
            <w:pPr>
              <w:jc w:val="center"/>
              <w:rPr>
                <w:rFonts w:hint="default" w:ascii="Times New Roman" w:hAnsi="Times New Roman" w:eastAsia="仿宋_GB2312" w:cs="Times New Roman"/>
                <w:sz w:val="24"/>
                <w:szCs w:val="24"/>
              </w:rPr>
            </w:pPr>
          </w:p>
        </w:tc>
        <w:tc>
          <w:tcPr>
            <w:tcW w:w="664" w:type="pct"/>
            <w:gridSpan w:val="2"/>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地  址</w:t>
            </w:r>
          </w:p>
        </w:tc>
        <w:tc>
          <w:tcPr>
            <w:tcW w:w="1327" w:type="pct"/>
            <w:gridSpan w:val="4"/>
            <w:vAlign w:val="center"/>
          </w:tcPr>
          <w:p>
            <w:pPr>
              <w:jc w:val="center"/>
              <w:rPr>
                <w:rFonts w:hint="default" w:ascii="Times New Roman" w:hAnsi="Times New Roman" w:eastAsia="仿宋_GB2312" w:cs="Times New Roman"/>
                <w:sz w:val="24"/>
                <w:szCs w:val="24"/>
              </w:rPr>
            </w:pPr>
          </w:p>
        </w:tc>
        <w:tc>
          <w:tcPr>
            <w:tcW w:w="664" w:type="pct"/>
            <w:gridSpan w:val="2"/>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邮  编</w:t>
            </w:r>
          </w:p>
        </w:tc>
        <w:tc>
          <w:tcPr>
            <w:tcW w:w="1018" w:type="pct"/>
            <w:vAlign w:val="center"/>
          </w:tcPr>
          <w:p>
            <w:pPr>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8" w:type="pct"/>
            <w:gridSpan w:val="2"/>
            <w:vAlign w:val="center"/>
          </w:tcPr>
          <w:p>
            <w:pPr>
              <w:spacing w:line="54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电  话</w:t>
            </w:r>
          </w:p>
        </w:tc>
        <w:tc>
          <w:tcPr>
            <w:tcW w:w="1283" w:type="pct"/>
            <w:gridSpan w:val="4"/>
            <w:vAlign w:val="center"/>
          </w:tcPr>
          <w:p>
            <w:pPr>
              <w:spacing w:line="540" w:lineRule="exact"/>
              <w:jc w:val="center"/>
              <w:rPr>
                <w:rFonts w:hint="default" w:ascii="Times New Roman" w:hAnsi="Times New Roman" w:eastAsia="仿宋_GB2312" w:cs="Times New Roman"/>
                <w:sz w:val="24"/>
                <w:szCs w:val="24"/>
              </w:rPr>
            </w:pPr>
          </w:p>
        </w:tc>
        <w:tc>
          <w:tcPr>
            <w:tcW w:w="663" w:type="pct"/>
            <w:gridSpan w:val="2"/>
            <w:vAlign w:val="center"/>
          </w:tcPr>
          <w:p>
            <w:pPr>
              <w:spacing w:line="54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传  真</w:t>
            </w:r>
          </w:p>
        </w:tc>
        <w:tc>
          <w:tcPr>
            <w:tcW w:w="664" w:type="pct"/>
            <w:gridSpan w:val="2"/>
            <w:vAlign w:val="center"/>
          </w:tcPr>
          <w:p>
            <w:pPr>
              <w:spacing w:line="540" w:lineRule="exact"/>
              <w:jc w:val="center"/>
              <w:rPr>
                <w:rFonts w:hint="default" w:ascii="Times New Roman" w:hAnsi="Times New Roman" w:eastAsia="仿宋_GB2312" w:cs="Times New Roman"/>
                <w:sz w:val="24"/>
                <w:szCs w:val="24"/>
              </w:rPr>
            </w:pPr>
          </w:p>
        </w:tc>
        <w:tc>
          <w:tcPr>
            <w:tcW w:w="664" w:type="pct"/>
            <w:gridSpan w:val="2"/>
            <w:vAlign w:val="center"/>
          </w:tcPr>
          <w:p>
            <w:pPr>
              <w:spacing w:line="54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联系人</w:t>
            </w:r>
          </w:p>
        </w:tc>
        <w:tc>
          <w:tcPr>
            <w:tcW w:w="1018" w:type="pct"/>
            <w:vAlign w:val="center"/>
          </w:tcPr>
          <w:p>
            <w:pPr>
              <w:spacing w:line="540" w:lineRule="exact"/>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8" w:type="pct"/>
            <w:gridSpan w:val="2"/>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辐射安全</w:t>
            </w:r>
          </w:p>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许可证号</w:t>
            </w:r>
          </w:p>
        </w:tc>
        <w:tc>
          <w:tcPr>
            <w:tcW w:w="1283" w:type="pct"/>
            <w:gridSpan w:val="4"/>
            <w:vAlign w:val="center"/>
          </w:tcPr>
          <w:p>
            <w:pPr>
              <w:jc w:val="center"/>
              <w:rPr>
                <w:rFonts w:hint="default" w:ascii="Times New Roman" w:hAnsi="Times New Roman" w:eastAsia="仿宋_GB2312" w:cs="Times New Roman"/>
                <w:sz w:val="24"/>
                <w:szCs w:val="24"/>
              </w:rPr>
            </w:pPr>
          </w:p>
        </w:tc>
        <w:tc>
          <w:tcPr>
            <w:tcW w:w="996" w:type="pct"/>
            <w:gridSpan w:val="3"/>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许可证审批机关</w:t>
            </w:r>
          </w:p>
        </w:tc>
        <w:tc>
          <w:tcPr>
            <w:tcW w:w="2013" w:type="pct"/>
            <w:gridSpan w:val="4"/>
            <w:vAlign w:val="center"/>
          </w:tcPr>
          <w:p>
            <w:pPr>
              <w:spacing w:line="540" w:lineRule="exact"/>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8" w:type="pct"/>
            <w:gridSpan w:val="2"/>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事    故</w:t>
            </w:r>
          </w:p>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发生时间</w:t>
            </w:r>
          </w:p>
        </w:tc>
        <w:tc>
          <w:tcPr>
            <w:tcW w:w="1283" w:type="pct"/>
            <w:gridSpan w:val="4"/>
            <w:vAlign w:val="center"/>
          </w:tcPr>
          <w:p>
            <w:pPr>
              <w:jc w:val="center"/>
              <w:rPr>
                <w:rFonts w:hint="default" w:ascii="Times New Roman" w:hAnsi="Times New Roman" w:eastAsia="仿宋_GB2312" w:cs="Times New Roman"/>
                <w:sz w:val="24"/>
                <w:szCs w:val="24"/>
              </w:rPr>
            </w:pPr>
          </w:p>
        </w:tc>
        <w:tc>
          <w:tcPr>
            <w:tcW w:w="996" w:type="pct"/>
            <w:gridSpan w:val="3"/>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事故发生地点</w:t>
            </w:r>
          </w:p>
        </w:tc>
        <w:tc>
          <w:tcPr>
            <w:tcW w:w="2013" w:type="pct"/>
            <w:gridSpan w:val="4"/>
            <w:vAlign w:val="center"/>
          </w:tcPr>
          <w:p>
            <w:pPr>
              <w:spacing w:line="540" w:lineRule="exact"/>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8" w:type="pct"/>
            <w:gridSpan w:val="2"/>
            <w:vMerge w:val="restar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事    故</w:t>
            </w:r>
          </w:p>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类    型</w:t>
            </w:r>
          </w:p>
        </w:tc>
        <w:tc>
          <w:tcPr>
            <w:tcW w:w="1592" w:type="pct"/>
            <w:gridSpan w:val="5"/>
            <w:vAlign w:val="center"/>
          </w:tcPr>
          <w:p>
            <w:pPr>
              <w:spacing w:line="54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Cs w:val="21"/>
              </w:rPr>
              <w:t>人员受照</w:t>
            </w:r>
            <w:r>
              <w:rPr>
                <w:rFonts w:hint="default" w:ascii="Times New Roman" w:hAnsi="Times New Roman" w:eastAsia="仿宋_GB2312" w:cs="Times New Roman"/>
                <w:kern w:val="0"/>
              </w:rPr>
              <w:t>○</w:t>
            </w:r>
            <w:r>
              <w:rPr>
                <w:rFonts w:hint="default" w:ascii="Times New Roman" w:hAnsi="Times New Roman" w:eastAsia="仿宋_GB2312" w:cs="Times New Roman"/>
                <w:szCs w:val="21"/>
              </w:rPr>
              <w:t xml:space="preserve">  人员污染</w:t>
            </w:r>
            <w:r>
              <w:rPr>
                <w:rFonts w:hint="default" w:ascii="Times New Roman" w:hAnsi="Times New Roman" w:eastAsia="仿宋_GB2312" w:cs="Times New Roman"/>
                <w:kern w:val="0"/>
              </w:rPr>
              <w:t>○</w:t>
            </w:r>
            <w:r>
              <w:rPr>
                <w:rFonts w:hint="default" w:ascii="Times New Roman" w:hAnsi="Times New Roman" w:eastAsia="仿宋_GB2312" w:cs="Times New Roman"/>
                <w:szCs w:val="21"/>
              </w:rPr>
              <w:t xml:space="preserve"> </w:t>
            </w:r>
          </w:p>
        </w:tc>
        <w:tc>
          <w:tcPr>
            <w:tcW w:w="2700" w:type="pct"/>
            <w:gridSpan w:val="6"/>
            <w:vAlign w:val="center"/>
          </w:tcPr>
          <w:p>
            <w:pPr>
              <w:spacing w:line="5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受照人数：           受污染人数：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708" w:type="pct"/>
            <w:gridSpan w:val="2"/>
            <w:vMerge w:val="continue"/>
            <w:vAlign w:val="center"/>
          </w:tcPr>
          <w:p>
            <w:pPr>
              <w:spacing w:line="540" w:lineRule="exact"/>
              <w:jc w:val="center"/>
              <w:rPr>
                <w:rFonts w:hint="default" w:ascii="Times New Roman" w:hAnsi="Times New Roman" w:eastAsia="仿宋_GB2312" w:cs="Times New Roman"/>
                <w:sz w:val="24"/>
                <w:szCs w:val="24"/>
              </w:rPr>
            </w:pPr>
          </w:p>
        </w:tc>
        <w:tc>
          <w:tcPr>
            <w:tcW w:w="1592" w:type="pct"/>
            <w:gridSpan w:val="5"/>
            <w:vAlign w:val="center"/>
          </w:tcPr>
          <w:p>
            <w:pPr>
              <w:spacing w:line="54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Cs w:val="21"/>
              </w:rPr>
              <w:t>丢失</w:t>
            </w:r>
            <w:r>
              <w:rPr>
                <w:rFonts w:hint="default" w:ascii="Times New Roman" w:hAnsi="Times New Roman" w:eastAsia="仿宋_GB2312" w:cs="Times New Roman"/>
                <w:kern w:val="0"/>
              </w:rPr>
              <w:t>○</w:t>
            </w:r>
            <w:r>
              <w:rPr>
                <w:rFonts w:hint="default" w:ascii="Times New Roman" w:hAnsi="Times New Roman" w:eastAsia="仿宋_GB2312" w:cs="Times New Roman"/>
                <w:szCs w:val="21"/>
              </w:rPr>
              <w:t xml:space="preserve">    被盗</w:t>
            </w:r>
            <w:r>
              <w:rPr>
                <w:rFonts w:hint="default" w:ascii="Times New Roman" w:hAnsi="Times New Roman" w:eastAsia="仿宋_GB2312" w:cs="Times New Roman"/>
                <w:kern w:val="0"/>
              </w:rPr>
              <w:t>○</w:t>
            </w:r>
            <w:r>
              <w:rPr>
                <w:rFonts w:hint="default" w:ascii="Times New Roman" w:hAnsi="Times New Roman" w:eastAsia="仿宋_GB2312" w:cs="Times New Roman"/>
                <w:szCs w:val="21"/>
              </w:rPr>
              <w:t xml:space="preserve">   失控</w:t>
            </w:r>
            <w:r>
              <w:rPr>
                <w:rFonts w:hint="default" w:ascii="Times New Roman" w:hAnsi="Times New Roman" w:eastAsia="仿宋_GB2312" w:cs="Times New Roman"/>
                <w:kern w:val="0"/>
              </w:rPr>
              <w:t>○</w:t>
            </w:r>
            <w:r>
              <w:rPr>
                <w:rFonts w:hint="default" w:ascii="Times New Roman" w:hAnsi="Times New Roman" w:eastAsia="仿宋_GB2312" w:cs="Times New Roman"/>
                <w:szCs w:val="21"/>
              </w:rPr>
              <w:t xml:space="preserve"> </w:t>
            </w:r>
          </w:p>
        </w:tc>
        <w:tc>
          <w:tcPr>
            <w:tcW w:w="2700" w:type="pct"/>
            <w:gridSpan w:val="6"/>
            <w:vAlign w:val="center"/>
          </w:tcPr>
          <w:p>
            <w:pPr>
              <w:spacing w:line="540" w:lineRule="exac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事故源数量：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8" w:type="pct"/>
            <w:gridSpan w:val="2"/>
            <w:vMerge w:val="continue"/>
            <w:vAlign w:val="center"/>
          </w:tcPr>
          <w:p>
            <w:pPr>
              <w:spacing w:line="540" w:lineRule="exact"/>
              <w:jc w:val="center"/>
              <w:rPr>
                <w:rFonts w:hint="default" w:ascii="Times New Roman" w:hAnsi="Times New Roman" w:eastAsia="仿宋_GB2312" w:cs="Times New Roman"/>
                <w:sz w:val="24"/>
                <w:szCs w:val="24"/>
              </w:rPr>
            </w:pPr>
          </w:p>
        </w:tc>
        <w:tc>
          <w:tcPr>
            <w:tcW w:w="1592" w:type="pct"/>
            <w:gridSpan w:val="5"/>
            <w:vAlign w:val="center"/>
          </w:tcPr>
          <w:p>
            <w:pPr>
              <w:spacing w:line="54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放射性污染</w:t>
            </w:r>
            <w:r>
              <w:rPr>
                <w:rFonts w:hint="default" w:ascii="Times New Roman" w:hAnsi="Times New Roman" w:eastAsia="仿宋_GB2312" w:cs="Times New Roman"/>
                <w:kern w:val="0"/>
              </w:rPr>
              <w:t>○</w:t>
            </w:r>
            <w:r>
              <w:rPr>
                <w:rFonts w:hint="default" w:ascii="Times New Roman" w:hAnsi="Times New Roman" w:eastAsia="仿宋_GB2312" w:cs="Times New Roman"/>
                <w:szCs w:val="21"/>
              </w:rPr>
              <w:t xml:space="preserve"> </w:t>
            </w:r>
          </w:p>
        </w:tc>
        <w:tc>
          <w:tcPr>
            <w:tcW w:w="2700" w:type="pct"/>
            <w:gridSpan w:val="6"/>
            <w:vAlign w:val="center"/>
          </w:tcPr>
          <w:p>
            <w:pPr>
              <w:spacing w:line="540" w:lineRule="exac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污染面积（m</w:t>
            </w:r>
            <w:r>
              <w:rPr>
                <w:rFonts w:hint="default" w:ascii="Times New Roman" w:hAnsi="Times New Roman" w:eastAsia="仿宋_GB2312" w:cs="Times New Roman"/>
                <w:sz w:val="24"/>
                <w:szCs w:val="24"/>
                <w:vertAlign w:val="superscript"/>
              </w:rPr>
              <w:t>2</w:t>
            </w:r>
            <w:r>
              <w:rPr>
                <w:rFonts w:hint="default" w:ascii="Times New Roman" w:hAnsi="Times New Roman" w:eastAsia="仿宋_GB2312"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7"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序号</w:t>
            </w:r>
          </w:p>
        </w:tc>
        <w:tc>
          <w:tcPr>
            <w:tcW w:w="662" w:type="pct"/>
            <w:gridSpan w:val="2"/>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事 故 源</w:t>
            </w:r>
          </w:p>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核素名称</w:t>
            </w:r>
          </w:p>
        </w:tc>
        <w:tc>
          <w:tcPr>
            <w:tcW w:w="663" w:type="pct"/>
            <w:gridSpan w:val="2"/>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出厂活度（Bq）</w:t>
            </w:r>
          </w:p>
        </w:tc>
        <w:tc>
          <w:tcPr>
            <w:tcW w:w="728" w:type="pct"/>
            <w:gridSpan w:val="2"/>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出厂日期</w:t>
            </w:r>
          </w:p>
        </w:tc>
        <w:tc>
          <w:tcPr>
            <w:tcW w:w="1095" w:type="pct"/>
            <w:gridSpan w:val="4"/>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放射源编码</w:t>
            </w:r>
          </w:p>
        </w:tc>
        <w:tc>
          <w:tcPr>
            <w:tcW w:w="587"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事故时活度（Bq）</w:t>
            </w:r>
          </w:p>
        </w:tc>
        <w:tc>
          <w:tcPr>
            <w:tcW w:w="1018"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非密封放射性物质状态（固/液态）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7" w:type="pct"/>
            <w:vAlign w:val="center"/>
          </w:tcPr>
          <w:p>
            <w:pPr>
              <w:spacing w:line="540" w:lineRule="exact"/>
              <w:jc w:val="center"/>
              <w:rPr>
                <w:rFonts w:hint="default" w:ascii="Times New Roman" w:hAnsi="Times New Roman" w:eastAsia="仿宋_GB2312" w:cs="Times New Roman"/>
                <w:sz w:val="24"/>
                <w:szCs w:val="24"/>
              </w:rPr>
            </w:pPr>
          </w:p>
        </w:tc>
        <w:tc>
          <w:tcPr>
            <w:tcW w:w="662" w:type="pct"/>
            <w:gridSpan w:val="2"/>
            <w:vAlign w:val="center"/>
          </w:tcPr>
          <w:p>
            <w:pPr>
              <w:spacing w:line="540" w:lineRule="exact"/>
              <w:jc w:val="center"/>
              <w:rPr>
                <w:rFonts w:hint="default" w:ascii="Times New Roman" w:hAnsi="Times New Roman" w:eastAsia="仿宋_GB2312" w:cs="Times New Roman"/>
                <w:sz w:val="24"/>
                <w:szCs w:val="24"/>
              </w:rPr>
            </w:pPr>
          </w:p>
        </w:tc>
        <w:tc>
          <w:tcPr>
            <w:tcW w:w="663" w:type="pct"/>
            <w:gridSpan w:val="2"/>
            <w:vAlign w:val="center"/>
          </w:tcPr>
          <w:p>
            <w:pPr>
              <w:spacing w:line="540" w:lineRule="exact"/>
              <w:jc w:val="center"/>
              <w:rPr>
                <w:rFonts w:hint="default" w:ascii="Times New Roman" w:hAnsi="Times New Roman" w:eastAsia="仿宋_GB2312" w:cs="Times New Roman"/>
                <w:sz w:val="24"/>
                <w:szCs w:val="24"/>
              </w:rPr>
            </w:pPr>
          </w:p>
        </w:tc>
        <w:tc>
          <w:tcPr>
            <w:tcW w:w="728" w:type="pct"/>
            <w:gridSpan w:val="2"/>
            <w:vAlign w:val="center"/>
          </w:tcPr>
          <w:p>
            <w:pPr>
              <w:spacing w:line="540" w:lineRule="exact"/>
              <w:jc w:val="center"/>
              <w:rPr>
                <w:rFonts w:hint="default" w:ascii="Times New Roman" w:hAnsi="Times New Roman" w:eastAsia="仿宋_GB2312" w:cs="Times New Roman"/>
                <w:sz w:val="24"/>
                <w:szCs w:val="24"/>
              </w:rPr>
            </w:pPr>
          </w:p>
        </w:tc>
        <w:tc>
          <w:tcPr>
            <w:tcW w:w="1095" w:type="pct"/>
            <w:gridSpan w:val="4"/>
            <w:vAlign w:val="center"/>
          </w:tcPr>
          <w:p>
            <w:pPr>
              <w:spacing w:line="540" w:lineRule="exact"/>
              <w:jc w:val="center"/>
              <w:rPr>
                <w:rFonts w:hint="default" w:ascii="Times New Roman" w:hAnsi="Times New Roman" w:eastAsia="仿宋_GB2312" w:cs="Times New Roman"/>
                <w:sz w:val="24"/>
                <w:szCs w:val="24"/>
              </w:rPr>
            </w:pPr>
          </w:p>
        </w:tc>
        <w:tc>
          <w:tcPr>
            <w:tcW w:w="587" w:type="pct"/>
            <w:vAlign w:val="center"/>
          </w:tcPr>
          <w:p>
            <w:pPr>
              <w:spacing w:line="540" w:lineRule="exact"/>
              <w:jc w:val="center"/>
              <w:rPr>
                <w:rFonts w:hint="default" w:ascii="Times New Roman" w:hAnsi="Times New Roman" w:eastAsia="仿宋_GB2312" w:cs="Times New Roman"/>
                <w:sz w:val="24"/>
                <w:szCs w:val="24"/>
              </w:rPr>
            </w:pPr>
          </w:p>
        </w:tc>
        <w:tc>
          <w:tcPr>
            <w:tcW w:w="1018" w:type="pct"/>
            <w:vAlign w:val="center"/>
          </w:tcPr>
          <w:p>
            <w:pPr>
              <w:spacing w:line="540" w:lineRule="exact"/>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247" w:type="pct"/>
            <w:vAlign w:val="center"/>
          </w:tcPr>
          <w:p>
            <w:pPr>
              <w:spacing w:line="540" w:lineRule="exact"/>
              <w:jc w:val="center"/>
              <w:rPr>
                <w:rFonts w:hint="default" w:ascii="Times New Roman" w:hAnsi="Times New Roman" w:eastAsia="仿宋_GB2312" w:cs="Times New Roman"/>
                <w:sz w:val="24"/>
                <w:szCs w:val="24"/>
              </w:rPr>
            </w:pPr>
          </w:p>
        </w:tc>
        <w:tc>
          <w:tcPr>
            <w:tcW w:w="662" w:type="pct"/>
            <w:gridSpan w:val="2"/>
            <w:vAlign w:val="center"/>
          </w:tcPr>
          <w:p>
            <w:pPr>
              <w:spacing w:line="540" w:lineRule="exact"/>
              <w:jc w:val="center"/>
              <w:rPr>
                <w:rFonts w:hint="default" w:ascii="Times New Roman" w:hAnsi="Times New Roman" w:eastAsia="仿宋_GB2312" w:cs="Times New Roman"/>
                <w:sz w:val="24"/>
                <w:szCs w:val="24"/>
              </w:rPr>
            </w:pPr>
          </w:p>
        </w:tc>
        <w:tc>
          <w:tcPr>
            <w:tcW w:w="663" w:type="pct"/>
            <w:gridSpan w:val="2"/>
            <w:vAlign w:val="center"/>
          </w:tcPr>
          <w:p>
            <w:pPr>
              <w:spacing w:line="540" w:lineRule="exact"/>
              <w:jc w:val="center"/>
              <w:rPr>
                <w:rFonts w:hint="default" w:ascii="Times New Roman" w:hAnsi="Times New Roman" w:eastAsia="仿宋_GB2312" w:cs="Times New Roman"/>
                <w:sz w:val="24"/>
                <w:szCs w:val="24"/>
              </w:rPr>
            </w:pPr>
          </w:p>
        </w:tc>
        <w:tc>
          <w:tcPr>
            <w:tcW w:w="728" w:type="pct"/>
            <w:gridSpan w:val="2"/>
            <w:vAlign w:val="center"/>
          </w:tcPr>
          <w:p>
            <w:pPr>
              <w:spacing w:line="540" w:lineRule="exact"/>
              <w:jc w:val="center"/>
              <w:rPr>
                <w:rFonts w:hint="default" w:ascii="Times New Roman" w:hAnsi="Times New Roman" w:eastAsia="仿宋_GB2312" w:cs="Times New Roman"/>
                <w:sz w:val="24"/>
                <w:szCs w:val="24"/>
              </w:rPr>
            </w:pPr>
          </w:p>
        </w:tc>
        <w:tc>
          <w:tcPr>
            <w:tcW w:w="1095" w:type="pct"/>
            <w:gridSpan w:val="4"/>
            <w:vAlign w:val="center"/>
          </w:tcPr>
          <w:p>
            <w:pPr>
              <w:spacing w:line="540" w:lineRule="exact"/>
              <w:jc w:val="center"/>
              <w:rPr>
                <w:rFonts w:hint="default" w:ascii="Times New Roman" w:hAnsi="Times New Roman" w:eastAsia="仿宋_GB2312" w:cs="Times New Roman"/>
                <w:sz w:val="24"/>
                <w:szCs w:val="24"/>
              </w:rPr>
            </w:pPr>
          </w:p>
        </w:tc>
        <w:tc>
          <w:tcPr>
            <w:tcW w:w="587" w:type="pct"/>
            <w:vAlign w:val="center"/>
          </w:tcPr>
          <w:p>
            <w:pPr>
              <w:spacing w:line="540" w:lineRule="exact"/>
              <w:jc w:val="center"/>
              <w:rPr>
                <w:rFonts w:hint="default" w:ascii="Times New Roman" w:hAnsi="Times New Roman" w:eastAsia="仿宋_GB2312" w:cs="Times New Roman"/>
                <w:sz w:val="24"/>
                <w:szCs w:val="24"/>
              </w:rPr>
            </w:pPr>
          </w:p>
        </w:tc>
        <w:tc>
          <w:tcPr>
            <w:tcW w:w="1018" w:type="pct"/>
            <w:vAlign w:val="center"/>
          </w:tcPr>
          <w:p>
            <w:pPr>
              <w:spacing w:line="540" w:lineRule="exact"/>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7"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序号</w:t>
            </w:r>
          </w:p>
        </w:tc>
        <w:tc>
          <w:tcPr>
            <w:tcW w:w="662" w:type="pct"/>
            <w:gridSpan w:val="2"/>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射线装置名称</w:t>
            </w:r>
          </w:p>
        </w:tc>
        <w:tc>
          <w:tcPr>
            <w:tcW w:w="663" w:type="pct"/>
            <w:gridSpan w:val="2"/>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型号</w:t>
            </w:r>
          </w:p>
        </w:tc>
        <w:tc>
          <w:tcPr>
            <w:tcW w:w="728" w:type="pct"/>
            <w:gridSpan w:val="2"/>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生产厂家</w:t>
            </w:r>
          </w:p>
        </w:tc>
        <w:tc>
          <w:tcPr>
            <w:tcW w:w="1095" w:type="pct"/>
            <w:gridSpan w:val="4"/>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设备编号</w:t>
            </w:r>
          </w:p>
        </w:tc>
        <w:tc>
          <w:tcPr>
            <w:tcW w:w="587"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所在场所</w:t>
            </w:r>
          </w:p>
        </w:tc>
        <w:tc>
          <w:tcPr>
            <w:tcW w:w="1018" w:type="pct"/>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主要参数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7" w:type="pct"/>
            <w:vAlign w:val="center"/>
          </w:tcPr>
          <w:p>
            <w:pPr>
              <w:spacing w:line="540" w:lineRule="exact"/>
              <w:jc w:val="center"/>
              <w:rPr>
                <w:rFonts w:hint="default" w:ascii="Times New Roman" w:hAnsi="Times New Roman" w:eastAsia="仿宋_GB2312" w:cs="Times New Roman"/>
                <w:sz w:val="24"/>
                <w:szCs w:val="24"/>
              </w:rPr>
            </w:pPr>
          </w:p>
        </w:tc>
        <w:tc>
          <w:tcPr>
            <w:tcW w:w="662" w:type="pct"/>
            <w:gridSpan w:val="2"/>
            <w:vAlign w:val="center"/>
          </w:tcPr>
          <w:p>
            <w:pPr>
              <w:spacing w:line="540" w:lineRule="exact"/>
              <w:jc w:val="center"/>
              <w:rPr>
                <w:rFonts w:hint="default" w:ascii="Times New Roman" w:hAnsi="Times New Roman" w:eastAsia="仿宋_GB2312" w:cs="Times New Roman"/>
                <w:sz w:val="24"/>
                <w:szCs w:val="24"/>
              </w:rPr>
            </w:pPr>
          </w:p>
        </w:tc>
        <w:tc>
          <w:tcPr>
            <w:tcW w:w="663" w:type="pct"/>
            <w:gridSpan w:val="2"/>
            <w:vAlign w:val="center"/>
          </w:tcPr>
          <w:p>
            <w:pPr>
              <w:spacing w:line="540" w:lineRule="exact"/>
              <w:jc w:val="center"/>
              <w:rPr>
                <w:rFonts w:hint="default" w:ascii="Times New Roman" w:hAnsi="Times New Roman" w:eastAsia="仿宋_GB2312" w:cs="Times New Roman"/>
                <w:sz w:val="24"/>
                <w:szCs w:val="24"/>
              </w:rPr>
            </w:pPr>
          </w:p>
        </w:tc>
        <w:tc>
          <w:tcPr>
            <w:tcW w:w="728" w:type="pct"/>
            <w:gridSpan w:val="2"/>
            <w:vAlign w:val="center"/>
          </w:tcPr>
          <w:p>
            <w:pPr>
              <w:spacing w:line="540" w:lineRule="exact"/>
              <w:jc w:val="center"/>
              <w:rPr>
                <w:rFonts w:hint="default" w:ascii="Times New Roman" w:hAnsi="Times New Roman" w:eastAsia="仿宋_GB2312" w:cs="Times New Roman"/>
                <w:sz w:val="24"/>
                <w:szCs w:val="24"/>
              </w:rPr>
            </w:pPr>
          </w:p>
        </w:tc>
        <w:tc>
          <w:tcPr>
            <w:tcW w:w="1095" w:type="pct"/>
            <w:gridSpan w:val="4"/>
            <w:vAlign w:val="center"/>
          </w:tcPr>
          <w:p>
            <w:pPr>
              <w:spacing w:line="540" w:lineRule="exact"/>
              <w:jc w:val="center"/>
              <w:rPr>
                <w:rFonts w:hint="default" w:ascii="Times New Roman" w:hAnsi="Times New Roman" w:eastAsia="仿宋_GB2312" w:cs="Times New Roman"/>
                <w:sz w:val="24"/>
                <w:szCs w:val="24"/>
              </w:rPr>
            </w:pPr>
          </w:p>
        </w:tc>
        <w:tc>
          <w:tcPr>
            <w:tcW w:w="587" w:type="pct"/>
            <w:vAlign w:val="center"/>
          </w:tcPr>
          <w:p>
            <w:pPr>
              <w:spacing w:line="540" w:lineRule="exact"/>
              <w:jc w:val="center"/>
              <w:rPr>
                <w:rFonts w:hint="default" w:ascii="Times New Roman" w:hAnsi="Times New Roman" w:eastAsia="仿宋_GB2312" w:cs="Times New Roman"/>
                <w:sz w:val="24"/>
                <w:szCs w:val="24"/>
              </w:rPr>
            </w:pPr>
          </w:p>
        </w:tc>
        <w:tc>
          <w:tcPr>
            <w:tcW w:w="1018" w:type="pct"/>
            <w:vAlign w:val="center"/>
          </w:tcPr>
          <w:p>
            <w:pPr>
              <w:spacing w:line="540" w:lineRule="exact"/>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7" w:type="pct"/>
            <w:vAlign w:val="center"/>
          </w:tcPr>
          <w:p>
            <w:pPr>
              <w:spacing w:line="540" w:lineRule="exact"/>
              <w:jc w:val="center"/>
              <w:rPr>
                <w:rFonts w:hint="default" w:ascii="Times New Roman" w:hAnsi="Times New Roman" w:eastAsia="仿宋_GB2312" w:cs="Times New Roman"/>
                <w:sz w:val="24"/>
                <w:szCs w:val="24"/>
              </w:rPr>
            </w:pPr>
          </w:p>
        </w:tc>
        <w:tc>
          <w:tcPr>
            <w:tcW w:w="662" w:type="pct"/>
            <w:gridSpan w:val="2"/>
            <w:vAlign w:val="center"/>
          </w:tcPr>
          <w:p>
            <w:pPr>
              <w:spacing w:line="540" w:lineRule="exact"/>
              <w:jc w:val="center"/>
              <w:rPr>
                <w:rFonts w:hint="default" w:ascii="Times New Roman" w:hAnsi="Times New Roman" w:eastAsia="仿宋_GB2312" w:cs="Times New Roman"/>
                <w:sz w:val="24"/>
                <w:szCs w:val="24"/>
              </w:rPr>
            </w:pPr>
          </w:p>
        </w:tc>
        <w:tc>
          <w:tcPr>
            <w:tcW w:w="663" w:type="pct"/>
            <w:gridSpan w:val="2"/>
            <w:vAlign w:val="center"/>
          </w:tcPr>
          <w:p>
            <w:pPr>
              <w:spacing w:line="540" w:lineRule="exact"/>
              <w:jc w:val="center"/>
              <w:rPr>
                <w:rFonts w:hint="default" w:ascii="Times New Roman" w:hAnsi="Times New Roman" w:eastAsia="仿宋_GB2312" w:cs="Times New Roman"/>
                <w:sz w:val="24"/>
                <w:szCs w:val="24"/>
              </w:rPr>
            </w:pPr>
          </w:p>
        </w:tc>
        <w:tc>
          <w:tcPr>
            <w:tcW w:w="728" w:type="pct"/>
            <w:gridSpan w:val="2"/>
            <w:vAlign w:val="center"/>
          </w:tcPr>
          <w:p>
            <w:pPr>
              <w:spacing w:line="540" w:lineRule="exact"/>
              <w:jc w:val="center"/>
              <w:rPr>
                <w:rFonts w:hint="default" w:ascii="Times New Roman" w:hAnsi="Times New Roman" w:eastAsia="仿宋_GB2312" w:cs="Times New Roman"/>
                <w:sz w:val="24"/>
                <w:szCs w:val="24"/>
              </w:rPr>
            </w:pPr>
          </w:p>
        </w:tc>
        <w:tc>
          <w:tcPr>
            <w:tcW w:w="1095" w:type="pct"/>
            <w:gridSpan w:val="4"/>
            <w:vAlign w:val="center"/>
          </w:tcPr>
          <w:p>
            <w:pPr>
              <w:spacing w:line="540" w:lineRule="exact"/>
              <w:jc w:val="center"/>
              <w:rPr>
                <w:rFonts w:hint="default" w:ascii="Times New Roman" w:hAnsi="Times New Roman" w:eastAsia="仿宋_GB2312" w:cs="Times New Roman"/>
                <w:sz w:val="24"/>
                <w:szCs w:val="24"/>
              </w:rPr>
            </w:pPr>
          </w:p>
        </w:tc>
        <w:tc>
          <w:tcPr>
            <w:tcW w:w="587" w:type="pct"/>
            <w:vAlign w:val="center"/>
          </w:tcPr>
          <w:p>
            <w:pPr>
              <w:spacing w:line="540" w:lineRule="exact"/>
              <w:jc w:val="center"/>
              <w:rPr>
                <w:rFonts w:hint="default" w:ascii="Times New Roman" w:hAnsi="Times New Roman" w:eastAsia="仿宋_GB2312" w:cs="Times New Roman"/>
                <w:sz w:val="24"/>
                <w:szCs w:val="24"/>
              </w:rPr>
            </w:pPr>
          </w:p>
        </w:tc>
        <w:tc>
          <w:tcPr>
            <w:tcW w:w="1018" w:type="pct"/>
            <w:vAlign w:val="center"/>
          </w:tcPr>
          <w:p>
            <w:pPr>
              <w:spacing w:line="540" w:lineRule="exact"/>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708" w:type="pct"/>
            <w:gridSpan w:val="2"/>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事故经过</w:t>
            </w:r>
          </w:p>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情况</w:t>
            </w:r>
          </w:p>
        </w:tc>
        <w:tc>
          <w:tcPr>
            <w:tcW w:w="4292" w:type="pct"/>
            <w:gridSpan w:val="11"/>
            <w:vAlign w:val="center"/>
          </w:tcPr>
          <w:p>
            <w:pPr>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8" w:type="pct"/>
            <w:gridSpan w:val="2"/>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报告人签字</w:t>
            </w:r>
          </w:p>
        </w:tc>
        <w:tc>
          <w:tcPr>
            <w:tcW w:w="619" w:type="pct"/>
            <w:gridSpan w:val="2"/>
            <w:vAlign w:val="center"/>
          </w:tcPr>
          <w:p>
            <w:pPr>
              <w:jc w:val="center"/>
              <w:rPr>
                <w:rFonts w:hint="default" w:ascii="Times New Roman" w:hAnsi="Times New Roman" w:eastAsia="仿宋_GB2312" w:cs="Times New Roman"/>
                <w:sz w:val="24"/>
                <w:szCs w:val="24"/>
              </w:rPr>
            </w:pPr>
          </w:p>
        </w:tc>
        <w:tc>
          <w:tcPr>
            <w:tcW w:w="664" w:type="pct"/>
            <w:gridSpan w:val="2"/>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报告时间</w:t>
            </w:r>
          </w:p>
        </w:tc>
        <w:tc>
          <w:tcPr>
            <w:tcW w:w="3009" w:type="pct"/>
            <w:gridSpan w:val="7"/>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年     月     日     时     分</w:t>
            </w:r>
          </w:p>
        </w:tc>
      </w:tr>
    </w:tbl>
    <w:p>
      <w:pPr>
        <w:widowControl/>
        <w:spacing w:line="540" w:lineRule="exact"/>
        <w:jc w:val="left"/>
        <w:rPr>
          <w:rFonts w:hint="default" w:ascii="Times New Roman" w:hAnsi="Times New Roman" w:eastAsia="仿宋_GB2312" w:cs="Times New Roman"/>
          <w:kern w:val="0"/>
          <w:sz w:val="24"/>
          <w:szCs w:val="24"/>
          <w:shd w:val="clear" w:color="auto" w:fill="FFFFFF"/>
          <w:lang w:bidi="ar"/>
        </w:rPr>
      </w:pPr>
      <w:r>
        <w:rPr>
          <w:rFonts w:hint="default" w:ascii="Times New Roman" w:hAnsi="Times New Roman" w:eastAsia="仿宋_GB2312" w:cs="Times New Roman"/>
          <w:kern w:val="0"/>
          <w:sz w:val="24"/>
          <w:szCs w:val="24"/>
          <w:shd w:val="clear" w:color="auto" w:fill="FFFFFF"/>
          <w:lang w:bidi="ar"/>
        </w:rPr>
        <w:t>注：射线装置的“主要参数”是指X射线机的电流（mA）和电压（kV）、加速器线速能量等主要性能参数。</w:t>
      </w:r>
      <w:bookmarkStart w:id="467" w:name="_Toc13541"/>
      <w:bookmarkStart w:id="468" w:name="_Toc24258"/>
      <w:bookmarkStart w:id="469" w:name="_Toc180502049"/>
      <w:bookmarkStart w:id="470" w:name="_Toc25373"/>
      <w:bookmarkStart w:id="471" w:name="_Toc24860"/>
      <w:bookmarkStart w:id="472" w:name="_Toc24332"/>
      <w:bookmarkStart w:id="473" w:name="_Toc31815"/>
      <w:bookmarkStart w:id="474" w:name="_Toc22389"/>
      <w:bookmarkStart w:id="475" w:name="_Toc5020"/>
    </w:p>
    <w:p>
      <w:pPr>
        <w:pStyle w:val="4"/>
        <w:numPr>
          <w:ilvl w:val="1"/>
          <w:numId w:val="1"/>
        </w:numPr>
        <w:tabs>
          <w:tab w:val="left" w:pos="1132"/>
        </w:tabs>
        <w:spacing w:before="0" w:after="0" w:line="540" w:lineRule="exact"/>
        <w:ind w:left="0" w:firstLine="482" w:firstLineChars="200"/>
        <w:rPr>
          <w:rFonts w:hint="default" w:ascii="Times New Roman" w:hAnsi="Times New Roman" w:eastAsia="仿宋_GB2312" w:cs="Times New Roman"/>
          <w:szCs w:val="32"/>
          <w:lang w:bidi="en-US"/>
        </w:rPr>
      </w:pPr>
      <w:r>
        <w:rPr>
          <w:rFonts w:hint="default" w:ascii="Times New Roman" w:hAnsi="Times New Roman" w:eastAsia="仿宋_GB2312" w:cs="Times New Roman"/>
          <w:kern w:val="0"/>
          <w:sz w:val="24"/>
          <w:szCs w:val="24"/>
          <w:shd w:val="clear" w:color="auto" w:fill="FFFFFF"/>
          <w:lang w:bidi="ar"/>
        </w:rPr>
        <w:br w:type="page"/>
      </w:r>
      <w:bookmarkStart w:id="476" w:name="_Toc13597"/>
      <w:bookmarkStart w:id="477" w:name="_Toc29858"/>
      <w:bookmarkStart w:id="478" w:name="_Toc18415"/>
      <w:bookmarkStart w:id="479" w:name="_Toc7492"/>
      <w:r>
        <w:rPr>
          <w:rFonts w:hint="default" w:ascii="Times New Roman" w:hAnsi="Times New Roman" w:eastAsia="仿宋_GB2312" w:cs="Times New Roman"/>
          <w:kern w:val="0"/>
          <w:sz w:val="24"/>
          <w:szCs w:val="24"/>
          <w:shd w:val="clear" w:color="auto" w:fill="FFFFFF"/>
          <w:lang w:bidi="ar"/>
        </w:rPr>
        <w:t xml:space="preserve">  </w:t>
      </w:r>
      <w:bookmarkStart w:id="480" w:name="_Toc215170999"/>
      <w:r>
        <w:rPr>
          <w:rFonts w:hint="default" w:ascii="Times New Roman" w:hAnsi="Times New Roman" w:eastAsia="仿宋_GB2312" w:cs="Times New Roman"/>
          <w:szCs w:val="32"/>
        </w:rPr>
        <w:t>辐射事故处理结果报告表</w:t>
      </w:r>
      <w:bookmarkEnd w:id="480"/>
    </w:p>
    <w:p>
      <w:pPr>
        <w:spacing w:line="540" w:lineRule="exact"/>
        <w:jc w:val="center"/>
        <w:rPr>
          <w:rFonts w:hint="default" w:ascii="Times New Roman" w:hAnsi="Times New Roman" w:eastAsia="仿宋_GB2312" w:cs="Times New Roman"/>
          <w:sz w:val="32"/>
          <w:szCs w:val="36"/>
          <w:lang w:bidi="en-US"/>
        </w:rPr>
      </w:pPr>
      <w:r>
        <w:rPr>
          <w:rFonts w:hint="default" w:ascii="Times New Roman" w:hAnsi="Times New Roman" w:eastAsia="仿宋_GB2312" w:cs="Times New Roman"/>
          <w:b/>
          <w:bCs/>
          <w:sz w:val="32"/>
          <w:szCs w:val="32"/>
          <w:lang w:bidi="en-US"/>
        </w:rPr>
        <w:t>辐射事故</w:t>
      </w:r>
      <w:bookmarkEnd w:id="476"/>
      <w:r>
        <w:rPr>
          <w:rFonts w:hint="default" w:ascii="Times New Roman" w:hAnsi="Times New Roman" w:eastAsia="仿宋_GB2312" w:cs="Times New Roman"/>
          <w:b/>
          <w:bCs/>
          <w:sz w:val="32"/>
          <w:szCs w:val="32"/>
          <w:lang w:bidi="en-US"/>
        </w:rPr>
        <w:t>处理结果报告表</w:t>
      </w:r>
      <w:bookmarkEnd w:id="477"/>
      <w:bookmarkEnd w:id="478"/>
      <w:bookmarkEnd w:id="479"/>
    </w:p>
    <w:bookmarkEnd w:id="467"/>
    <w:bookmarkEnd w:id="468"/>
    <w:bookmarkEnd w:id="469"/>
    <w:bookmarkEnd w:id="470"/>
    <w:bookmarkEnd w:id="471"/>
    <w:bookmarkEnd w:id="472"/>
    <w:bookmarkEnd w:id="473"/>
    <w:bookmarkEnd w:id="474"/>
    <w:bookmarkEnd w:id="475"/>
    <w:p>
      <w:pPr>
        <w:widowControl/>
        <w:spacing w:line="540" w:lineRule="exact"/>
        <w:jc w:val="center"/>
        <w:rPr>
          <w:rFonts w:hint="default" w:ascii="Times New Roman" w:hAnsi="Times New Roman" w:eastAsia="仿宋_GB2312" w:cs="Times New Roman"/>
        </w:rPr>
      </w:pPr>
      <w:r>
        <w:rPr>
          <w:rFonts w:hint="default" w:ascii="Times New Roman" w:hAnsi="Times New Roman" w:eastAsia="仿宋_GB2312" w:cs="Times New Roman"/>
          <w:kern w:val="0"/>
          <w:sz w:val="32"/>
          <w:szCs w:val="32"/>
          <w:u w:val="single"/>
          <w:shd w:val="clear" w:color="auto" w:fill="FFFFFF"/>
          <w:lang w:bidi="ar"/>
        </w:rPr>
        <w:t xml:space="preserve">                         </w:t>
      </w:r>
      <w:r>
        <w:rPr>
          <w:rFonts w:hint="default" w:ascii="Times New Roman" w:hAnsi="Times New Roman" w:eastAsia="仿宋_GB2312" w:cs="Times New Roman"/>
          <w:kern w:val="0"/>
          <w:sz w:val="32"/>
          <w:szCs w:val="32"/>
          <w:shd w:val="clear" w:color="auto" w:fill="FFFFFF"/>
          <w:lang w:bidi="ar"/>
        </w:rPr>
        <w:t>辐射事故处理结果报告表</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1345"/>
        <w:gridCol w:w="1224"/>
        <w:gridCol w:w="800"/>
        <w:gridCol w:w="586"/>
        <w:gridCol w:w="1035"/>
        <w:gridCol w:w="59"/>
        <w:gridCol w:w="650"/>
        <w:gridCol w:w="1063"/>
        <w:gridCol w:w="1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0" w:type="pct"/>
            <w:gridSpan w:val="2"/>
            <w:vMerge w:val="restart"/>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单   位</w:t>
            </w:r>
          </w:p>
        </w:tc>
        <w:tc>
          <w:tcPr>
            <w:tcW w:w="2047" w:type="pct"/>
            <w:gridSpan w:val="5"/>
            <w:tcBorders>
              <w:top w:val="single" w:color="auto" w:sz="4" w:space="0"/>
              <w:left w:val="single" w:color="auto" w:sz="4" w:space="0"/>
              <w:bottom w:val="single" w:color="auto" w:sz="4" w:space="0"/>
              <w:right w:val="single" w:color="auto" w:sz="4" w:space="0"/>
            </w:tcBorders>
            <w:vAlign w:val="center"/>
          </w:tcPr>
          <w:p>
            <w:pPr>
              <w:spacing w:line="5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名    称：</w:t>
            </w:r>
          </w:p>
        </w:tc>
        <w:tc>
          <w:tcPr>
            <w:tcW w:w="1963" w:type="pct"/>
            <w:gridSpan w:val="3"/>
            <w:tcBorders>
              <w:top w:val="single" w:color="auto" w:sz="4" w:space="0"/>
              <w:left w:val="single" w:color="auto" w:sz="4" w:space="0"/>
              <w:bottom w:val="single" w:color="auto" w:sz="4" w:space="0"/>
              <w:right w:val="single" w:color="auto" w:sz="4" w:space="0"/>
            </w:tcBorders>
            <w:vAlign w:val="center"/>
          </w:tcPr>
          <w:p>
            <w:pPr>
              <w:spacing w:line="540" w:lineRule="exac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地    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0" w:type="pct"/>
            <w:gridSpan w:val="2"/>
            <w:vMerge w:val="continue"/>
            <w:tcBorders>
              <w:top w:val="single" w:color="auto" w:sz="4" w:space="0"/>
              <w:left w:val="single" w:color="auto" w:sz="4" w:space="0"/>
              <w:bottom w:val="single" w:color="auto" w:sz="4" w:space="0"/>
              <w:right w:val="single" w:color="auto" w:sz="4" w:space="0"/>
            </w:tcBorders>
            <w:vAlign w:val="center"/>
          </w:tcPr>
          <w:p>
            <w:pPr>
              <w:spacing w:line="540" w:lineRule="exact"/>
              <w:rPr>
                <w:rFonts w:hint="default" w:ascii="Times New Roman" w:hAnsi="Times New Roman" w:eastAsia="仿宋_GB2312" w:cs="Times New Roman"/>
                <w:sz w:val="20"/>
                <w:szCs w:val="20"/>
              </w:rPr>
            </w:pPr>
          </w:p>
        </w:tc>
        <w:tc>
          <w:tcPr>
            <w:tcW w:w="2047" w:type="pct"/>
            <w:gridSpan w:val="5"/>
            <w:tcBorders>
              <w:top w:val="single" w:color="auto" w:sz="4" w:space="0"/>
              <w:left w:val="single" w:color="auto" w:sz="4" w:space="0"/>
              <w:bottom w:val="single" w:color="auto" w:sz="4" w:space="0"/>
              <w:right w:val="single" w:color="auto" w:sz="4" w:space="0"/>
            </w:tcBorders>
            <w:vAlign w:val="center"/>
          </w:tcPr>
          <w:p>
            <w:pPr>
              <w:spacing w:line="5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许可证号：</w:t>
            </w:r>
          </w:p>
        </w:tc>
        <w:tc>
          <w:tcPr>
            <w:tcW w:w="1963" w:type="pct"/>
            <w:gridSpan w:val="3"/>
            <w:tcBorders>
              <w:top w:val="single" w:color="auto" w:sz="4" w:space="0"/>
              <w:left w:val="single" w:color="auto" w:sz="4" w:space="0"/>
              <w:bottom w:val="single" w:color="auto" w:sz="4" w:space="0"/>
              <w:right w:val="single" w:color="auto" w:sz="4" w:space="0"/>
            </w:tcBorders>
            <w:vAlign w:val="center"/>
          </w:tcPr>
          <w:p>
            <w:pPr>
              <w:spacing w:line="540" w:lineRule="exac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辐射安全许可证审批机关：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0" w:type="pct"/>
            <w:gridSpan w:val="2"/>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事故发生时间</w:t>
            </w:r>
          </w:p>
        </w:tc>
        <w:tc>
          <w:tcPr>
            <w:tcW w:w="1118" w:type="pct"/>
            <w:gridSpan w:val="2"/>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p>
        </w:tc>
        <w:tc>
          <w:tcPr>
            <w:tcW w:w="929" w:type="pct"/>
            <w:gridSpan w:val="3"/>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事故报告时间</w:t>
            </w:r>
          </w:p>
        </w:tc>
        <w:tc>
          <w:tcPr>
            <w:tcW w:w="1963" w:type="pct"/>
            <w:gridSpan w:val="3"/>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0" w:type="pct"/>
            <w:gridSpan w:val="2"/>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事故发生地点</w:t>
            </w:r>
          </w:p>
        </w:tc>
        <w:tc>
          <w:tcPr>
            <w:tcW w:w="4010" w:type="pct"/>
            <w:gridSpan w:val="8"/>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0" w:type="pct"/>
            <w:gridSpan w:val="2"/>
            <w:vMerge w:val="restart"/>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事故类型</w:t>
            </w:r>
          </w:p>
        </w:tc>
        <w:tc>
          <w:tcPr>
            <w:tcW w:w="1442" w:type="pct"/>
            <w:gridSpan w:val="3"/>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Cs w:val="21"/>
                <w:lang w:bidi="ar"/>
              </w:rPr>
              <w:t>人员受照</w:t>
            </w:r>
            <w:r>
              <w:rPr>
                <w:rFonts w:hint="default" w:ascii="Times New Roman" w:hAnsi="Times New Roman" w:eastAsia="仿宋_GB2312" w:cs="Times New Roman"/>
                <w:kern w:val="0"/>
                <w:sz w:val="32"/>
                <w:szCs w:val="32"/>
                <w:lang w:bidi="ar"/>
              </w:rPr>
              <w:t>○</w:t>
            </w:r>
            <w:r>
              <w:rPr>
                <w:rFonts w:hint="default" w:ascii="Times New Roman" w:hAnsi="Times New Roman" w:eastAsia="仿宋_GB2312" w:cs="Times New Roman"/>
                <w:szCs w:val="21"/>
                <w:lang w:bidi="ar"/>
              </w:rPr>
              <w:t xml:space="preserve">  人员污染</w:t>
            </w:r>
            <w:r>
              <w:rPr>
                <w:rFonts w:hint="default" w:ascii="Times New Roman" w:hAnsi="Times New Roman" w:eastAsia="仿宋_GB2312" w:cs="Times New Roman"/>
                <w:kern w:val="0"/>
                <w:sz w:val="32"/>
                <w:szCs w:val="32"/>
                <w:lang w:bidi="ar"/>
              </w:rPr>
              <w:t>○</w:t>
            </w:r>
            <w:r>
              <w:rPr>
                <w:rFonts w:hint="default" w:ascii="Times New Roman" w:hAnsi="Times New Roman" w:eastAsia="仿宋_GB2312" w:cs="Times New Roman"/>
                <w:szCs w:val="21"/>
                <w:lang w:bidi="ar"/>
              </w:rPr>
              <w:t xml:space="preserve"> </w:t>
            </w:r>
          </w:p>
        </w:tc>
        <w:tc>
          <w:tcPr>
            <w:tcW w:w="2568" w:type="pct"/>
            <w:gridSpan w:val="5"/>
            <w:tcBorders>
              <w:top w:val="single" w:color="auto" w:sz="4" w:space="0"/>
              <w:left w:val="single" w:color="auto" w:sz="4" w:space="0"/>
              <w:bottom w:val="single" w:color="auto" w:sz="4" w:space="0"/>
              <w:right w:val="single" w:color="auto" w:sz="4" w:space="0"/>
            </w:tcBorders>
            <w:vAlign w:val="center"/>
          </w:tcPr>
          <w:p>
            <w:pPr>
              <w:spacing w:line="5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受照人数：           受污染人数：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0" w:type="pct"/>
            <w:gridSpan w:val="2"/>
            <w:vMerge w:val="continue"/>
            <w:tcBorders>
              <w:top w:val="single" w:color="auto" w:sz="4" w:space="0"/>
              <w:left w:val="single" w:color="auto" w:sz="4" w:space="0"/>
              <w:bottom w:val="single" w:color="auto" w:sz="4" w:space="0"/>
              <w:right w:val="single" w:color="auto" w:sz="4" w:space="0"/>
            </w:tcBorders>
            <w:vAlign w:val="center"/>
          </w:tcPr>
          <w:p>
            <w:pPr>
              <w:spacing w:line="540" w:lineRule="exact"/>
              <w:rPr>
                <w:rFonts w:hint="default" w:ascii="Times New Roman" w:hAnsi="Times New Roman" w:eastAsia="仿宋_GB2312" w:cs="Times New Roman"/>
                <w:sz w:val="20"/>
                <w:szCs w:val="20"/>
              </w:rPr>
            </w:pPr>
          </w:p>
        </w:tc>
        <w:tc>
          <w:tcPr>
            <w:tcW w:w="1442" w:type="pct"/>
            <w:gridSpan w:val="3"/>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Cs w:val="21"/>
                <w:lang w:bidi="ar"/>
              </w:rPr>
              <w:t>丢失</w:t>
            </w:r>
            <w:r>
              <w:rPr>
                <w:rFonts w:hint="default" w:ascii="Times New Roman" w:hAnsi="Times New Roman" w:eastAsia="仿宋_GB2312" w:cs="Times New Roman"/>
                <w:kern w:val="0"/>
                <w:sz w:val="32"/>
                <w:szCs w:val="32"/>
                <w:lang w:bidi="ar"/>
              </w:rPr>
              <w:t>○</w:t>
            </w:r>
            <w:r>
              <w:rPr>
                <w:rFonts w:hint="default" w:ascii="Times New Roman" w:hAnsi="Times New Roman" w:eastAsia="仿宋_GB2312" w:cs="Times New Roman"/>
                <w:szCs w:val="21"/>
                <w:lang w:bidi="ar"/>
              </w:rPr>
              <w:t xml:space="preserve">  被盗</w:t>
            </w:r>
            <w:r>
              <w:rPr>
                <w:rFonts w:hint="default" w:ascii="Times New Roman" w:hAnsi="Times New Roman" w:eastAsia="仿宋_GB2312" w:cs="Times New Roman"/>
                <w:kern w:val="0"/>
                <w:sz w:val="32"/>
                <w:szCs w:val="32"/>
                <w:lang w:bidi="ar"/>
              </w:rPr>
              <w:t>○</w:t>
            </w:r>
            <w:r>
              <w:rPr>
                <w:rFonts w:hint="default" w:ascii="Times New Roman" w:hAnsi="Times New Roman" w:eastAsia="仿宋_GB2312" w:cs="Times New Roman"/>
                <w:szCs w:val="21"/>
                <w:lang w:bidi="ar"/>
              </w:rPr>
              <w:t xml:space="preserve">  失控</w:t>
            </w:r>
            <w:r>
              <w:rPr>
                <w:rFonts w:hint="default" w:ascii="Times New Roman" w:hAnsi="Times New Roman" w:eastAsia="仿宋_GB2312" w:cs="Times New Roman"/>
                <w:kern w:val="0"/>
                <w:sz w:val="32"/>
                <w:szCs w:val="32"/>
                <w:lang w:bidi="ar"/>
              </w:rPr>
              <w:t>○</w:t>
            </w:r>
            <w:r>
              <w:rPr>
                <w:rFonts w:hint="default" w:ascii="Times New Roman" w:hAnsi="Times New Roman" w:eastAsia="仿宋_GB2312" w:cs="Times New Roman"/>
                <w:szCs w:val="21"/>
                <w:lang w:bidi="ar"/>
              </w:rPr>
              <w:t xml:space="preserve"> </w:t>
            </w:r>
          </w:p>
        </w:tc>
        <w:tc>
          <w:tcPr>
            <w:tcW w:w="2568" w:type="pct"/>
            <w:gridSpan w:val="5"/>
            <w:tcBorders>
              <w:top w:val="single" w:color="auto" w:sz="4" w:space="0"/>
              <w:left w:val="single" w:color="auto" w:sz="4" w:space="0"/>
              <w:bottom w:val="single" w:color="auto" w:sz="4" w:space="0"/>
              <w:right w:val="single" w:color="auto" w:sz="4" w:space="0"/>
            </w:tcBorders>
            <w:vAlign w:val="center"/>
          </w:tcPr>
          <w:p>
            <w:pPr>
              <w:spacing w:line="540" w:lineRule="exac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事故源数量：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0" w:type="pct"/>
            <w:gridSpan w:val="2"/>
            <w:vMerge w:val="continue"/>
            <w:tcBorders>
              <w:top w:val="single" w:color="auto" w:sz="4" w:space="0"/>
              <w:left w:val="single" w:color="auto" w:sz="4" w:space="0"/>
              <w:bottom w:val="single" w:color="auto" w:sz="4" w:space="0"/>
              <w:right w:val="single" w:color="auto" w:sz="4" w:space="0"/>
            </w:tcBorders>
            <w:vAlign w:val="center"/>
          </w:tcPr>
          <w:p>
            <w:pPr>
              <w:spacing w:line="540" w:lineRule="exact"/>
              <w:rPr>
                <w:rFonts w:hint="default" w:ascii="Times New Roman" w:hAnsi="Times New Roman" w:eastAsia="仿宋_GB2312" w:cs="Times New Roman"/>
                <w:sz w:val="20"/>
                <w:szCs w:val="20"/>
              </w:rPr>
            </w:pPr>
          </w:p>
        </w:tc>
        <w:tc>
          <w:tcPr>
            <w:tcW w:w="1442" w:type="pct"/>
            <w:gridSpan w:val="3"/>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放射性污染</w:t>
            </w:r>
            <w:r>
              <w:rPr>
                <w:rFonts w:hint="default" w:ascii="Times New Roman" w:hAnsi="Times New Roman" w:eastAsia="仿宋_GB2312" w:cs="Times New Roman"/>
                <w:kern w:val="0"/>
                <w:sz w:val="32"/>
                <w:szCs w:val="32"/>
                <w:lang w:bidi="ar"/>
              </w:rPr>
              <w:t>○</w:t>
            </w:r>
            <w:r>
              <w:rPr>
                <w:rFonts w:hint="default" w:ascii="Times New Roman" w:hAnsi="Times New Roman" w:eastAsia="仿宋_GB2312" w:cs="Times New Roman"/>
                <w:szCs w:val="21"/>
                <w:lang w:bidi="ar"/>
              </w:rPr>
              <w:t xml:space="preserve"> </w:t>
            </w:r>
          </w:p>
        </w:tc>
        <w:tc>
          <w:tcPr>
            <w:tcW w:w="2568" w:type="pct"/>
            <w:gridSpan w:val="5"/>
            <w:tcBorders>
              <w:top w:val="single" w:color="auto" w:sz="4" w:space="0"/>
              <w:left w:val="single" w:color="auto" w:sz="4" w:space="0"/>
              <w:bottom w:val="single" w:color="auto" w:sz="4" w:space="0"/>
              <w:right w:val="single" w:color="auto" w:sz="4" w:space="0"/>
            </w:tcBorders>
            <w:vAlign w:val="center"/>
          </w:tcPr>
          <w:p>
            <w:pPr>
              <w:spacing w:line="540" w:lineRule="exac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污染面积（m</w:t>
            </w:r>
            <w:r>
              <w:rPr>
                <w:rFonts w:hint="default" w:ascii="Times New Roman" w:hAnsi="Times New Roman" w:eastAsia="仿宋_GB2312" w:cs="Times New Roman"/>
                <w:sz w:val="24"/>
                <w:szCs w:val="24"/>
                <w:vertAlign w:val="superscript"/>
                <w:lang w:bidi="ar"/>
              </w:rPr>
              <w:t>2</w:t>
            </w:r>
            <w:r>
              <w:rPr>
                <w:rFonts w:hint="default" w:ascii="Times New Roman" w:hAnsi="Times New Roman" w:eastAsia="仿宋_GB2312" w:cs="Times New Roman"/>
                <w:sz w:val="24"/>
                <w:szCs w:val="24"/>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序号</w:t>
            </w:r>
          </w:p>
        </w:tc>
        <w:tc>
          <w:tcPr>
            <w:tcW w:w="74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事 故 源</w:t>
            </w:r>
          </w:p>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核素名称</w:t>
            </w:r>
          </w:p>
        </w:tc>
        <w:tc>
          <w:tcPr>
            <w:tcW w:w="67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出厂活度（Bq）</w:t>
            </w:r>
          </w:p>
        </w:tc>
        <w:tc>
          <w:tcPr>
            <w:tcW w:w="766" w:type="pct"/>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出厂日期</w:t>
            </w:r>
          </w:p>
        </w:tc>
        <w:tc>
          <w:tcPr>
            <w:tcW w:w="964" w:type="pct"/>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放射源编码</w:t>
            </w:r>
          </w:p>
        </w:tc>
        <w:tc>
          <w:tcPr>
            <w:tcW w:w="58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事故时活度（Bq）</w:t>
            </w:r>
          </w:p>
        </w:tc>
        <w:tc>
          <w:tcPr>
            <w:tcW w:w="101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非密封放射性物质状态（固/液态）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7" w:type="pct"/>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p>
        </w:tc>
        <w:tc>
          <w:tcPr>
            <w:tcW w:w="743" w:type="pct"/>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p>
        </w:tc>
        <w:tc>
          <w:tcPr>
            <w:tcW w:w="676" w:type="pct"/>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p>
        </w:tc>
        <w:tc>
          <w:tcPr>
            <w:tcW w:w="766" w:type="pct"/>
            <w:gridSpan w:val="2"/>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p>
        </w:tc>
        <w:tc>
          <w:tcPr>
            <w:tcW w:w="964" w:type="pct"/>
            <w:gridSpan w:val="3"/>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p>
        </w:tc>
        <w:tc>
          <w:tcPr>
            <w:tcW w:w="587" w:type="pct"/>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p>
        </w:tc>
        <w:tc>
          <w:tcPr>
            <w:tcW w:w="1018" w:type="pct"/>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7" w:type="pct"/>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p>
        </w:tc>
        <w:tc>
          <w:tcPr>
            <w:tcW w:w="743" w:type="pct"/>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p>
        </w:tc>
        <w:tc>
          <w:tcPr>
            <w:tcW w:w="676" w:type="pct"/>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p>
        </w:tc>
        <w:tc>
          <w:tcPr>
            <w:tcW w:w="766" w:type="pct"/>
            <w:gridSpan w:val="2"/>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p>
        </w:tc>
        <w:tc>
          <w:tcPr>
            <w:tcW w:w="964" w:type="pct"/>
            <w:gridSpan w:val="3"/>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p>
        </w:tc>
        <w:tc>
          <w:tcPr>
            <w:tcW w:w="587" w:type="pct"/>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p>
        </w:tc>
        <w:tc>
          <w:tcPr>
            <w:tcW w:w="1018" w:type="pct"/>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序号</w:t>
            </w:r>
          </w:p>
        </w:tc>
        <w:tc>
          <w:tcPr>
            <w:tcW w:w="74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射线装置名称</w:t>
            </w:r>
          </w:p>
        </w:tc>
        <w:tc>
          <w:tcPr>
            <w:tcW w:w="67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型号</w:t>
            </w:r>
          </w:p>
        </w:tc>
        <w:tc>
          <w:tcPr>
            <w:tcW w:w="766" w:type="pct"/>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生产厂家</w:t>
            </w:r>
          </w:p>
        </w:tc>
        <w:tc>
          <w:tcPr>
            <w:tcW w:w="964" w:type="pct"/>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设备编号</w:t>
            </w:r>
          </w:p>
        </w:tc>
        <w:tc>
          <w:tcPr>
            <w:tcW w:w="58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所在场所</w:t>
            </w:r>
          </w:p>
        </w:tc>
        <w:tc>
          <w:tcPr>
            <w:tcW w:w="101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主要参数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7" w:type="pct"/>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p>
        </w:tc>
        <w:tc>
          <w:tcPr>
            <w:tcW w:w="743" w:type="pct"/>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p>
        </w:tc>
        <w:tc>
          <w:tcPr>
            <w:tcW w:w="676" w:type="pct"/>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p>
        </w:tc>
        <w:tc>
          <w:tcPr>
            <w:tcW w:w="766" w:type="pct"/>
            <w:gridSpan w:val="2"/>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p>
        </w:tc>
        <w:tc>
          <w:tcPr>
            <w:tcW w:w="964" w:type="pct"/>
            <w:gridSpan w:val="3"/>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p>
        </w:tc>
        <w:tc>
          <w:tcPr>
            <w:tcW w:w="587" w:type="pct"/>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p>
        </w:tc>
        <w:tc>
          <w:tcPr>
            <w:tcW w:w="1018" w:type="pct"/>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7" w:type="pct"/>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p>
        </w:tc>
        <w:tc>
          <w:tcPr>
            <w:tcW w:w="743" w:type="pct"/>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p>
        </w:tc>
        <w:tc>
          <w:tcPr>
            <w:tcW w:w="676" w:type="pct"/>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p>
        </w:tc>
        <w:tc>
          <w:tcPr>
            <w:tcW w:w="766" w:type="pct"/>
            <w:gridSpan w:val="2"/>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p>
        </w:tc>
        <w:tc>
          <w:tcPr>
            <w:tcW w:w="964" w:type="pct"/>
            <w:gridSpan w:val="3"/>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p>
        </w:tc>
        <w:tc>
          <w:tcPr>
            <w:tcW w:w="587" w:type="pct"/>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p>
        </w:tc>
        <w:tc>
          <w:tcPr>
            <w:tcW w:w="1018" w:type="pct"/>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990" w:type="pct"/>
            <w:gridSpan w:val="2"/>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事故级别</w:t>
            </w:r>
          </w:p>
        </w:tc>
        <w:tc>
          <w:tcPr>
            <w:tcW w:w="4010" w:type="pct"/>
            <w:gridSpan w:val="8"/>
            <w:tcBorders>
              <w:top w:val="single" w:color="auto" w:sz="4" w:space="0"/>
              <w:left w:val="single" w:color="auto" w:sz="4" w:space="0"/>
              <w:bottom w:val="single" w:color="auto" w:sz="4" w:space="0"/>
              <w:right w:val="single" w:color="auto" w:sz="4" w:space="0"/>
            </w:tcBorders>
            <w:vAlign w:val="center"/>
          </w:tcPr>
          <w:p>
            <w:pPr>
              <w:spacing w:line="540" w:lineRule="exact"/>
              <w:rPr>
                <w:rFonts w:hint="default" w:ascii="Times New Roman" w:hAnsi="Times New Roman" w:eastAsia="仿宋_GB2312" w:cs="Times New Roman"/>
                <w:sz w:val="24"/>
                <w:szCs w:val="24"/>
              </w:rPr>
            </w:pPr>
            <w:r>
              <w:rPr>
                <w:rFonts w:hint="default" w:ascii="Times New Roman" w:hAnsi="Times New Roman" w:eastAsia="仿宋_GB2312" w:cs="Times New Roman"/>
                <w:szCs w:val="21"/>
                <w:lang w:bidi="ar"/>
              </w:rPr>
              <w:t>一般辐射事故</w:t>
            </w:r>
            <w:r>
              <w:rPr>
                <w:rFonts w:hint="default" w:ascii="Times New Roman" w:hAnsi="Times New Roman" w:eastAsia="仿宋_GB2312" w:cs="Times New Roman"/>
                <w:kern w:val="0"/>
                <w:sz w:val="32"/>
                <w:szCs w:val="32"/>
                <w:lang w:bidi="ar"/>
              </w:rPr>
              <w:t>○</w:t>
            </w:r>
            <w:r>
              <w:rPr>
                <w:rFonts w:hint="default" w:ascii="Times New Roman" w:hAnsi="Times New Roman" w:eastAsia="仿宋_GB2312" w:cs="Times New Roman"/>
                <w:szCs w:val="21"/>
                <w:lang w:bidi="ar"/>
              </w:rPr>
              <w:t xml:space="preserve">   较大辐射事故</w:t>
            </w:r>
            <w:r>
              <w:rPr>
                <w:rFonts w:hint="default" w:ascii="Times New Roman" w:hAnsi="Times New Roman" w:eastAsia="仿宋_GB2312" w:cs="Times New Roman"/>
                <w:kern w:val="0"/>
                <w:sz w:val="32"/>
                <w:szCs w:val="32"/>
                <w:lang w:bidi="ar"/>
              </w:rPr>
              <w:t>○</w:t>
            </w:r>
            <w:r>
              <w:rPr>
                <w:rFonts w:hint="default" w:ascii="Times New Roman" w:hAnsi="Times New Roman" w:eastAsia="仿宋_GB2312" w:cs="Times New Roman"/>
                <w:szCs w:val="21"/>
                <w:lang w:bidi="ar"/>
              </w:rPr>
              <w:t xml:space="preserve">   重大辐射事故</w:t>
            </w:r>
            <w:r>
              <w:rPr>
                <w:rFonts w:hint="default" w:ascii="Times New Roman" w:hAnsi="Times New Roman" w:eastAsia="仿宋_GB2312" w:cs="Times New Roman"/>
                <w:kern w:val="0"/>
                <w:sz w:val="32"/>
                <w:szCs w:val="32"/>
                <w:lang w:bidi="ar"/>
              </w:rPr>
              <w:t>○</w:t>
            </w:r>
            <w:r>
              <w:rPr>
                <w:rFonts w:hint="default" w:ascii="Times New Roman" w:hAnsi="Times New Roman" w:eastAsia="仿宋_GB2312" w:cs="Times New Roman"/>
                <w:szCs w:val="21"/>
                <w:lang w:bidi="ar"/>
              </w:rPr>
              <w:t xml:space="preserve">   特别重大辐射事故</w:t>
            </w:r>
            <w:r>
              <w:rPr>
                <w:rFonts w:hint="default" w:ascii="Times New Roman" w:hAnsi="Times New Roman" w:eastAsia="仿宋_GB2312" w:cs="Times New Roman"/>
                <w:kern w:val="0"/>
                <w:sz w:val="32"/>
                <w:szCs w:val="32"/>
                <w:lang w:bidi="ar"/>
              </w:rPr>
              <w:t>○</w:t>
            </w:r>
            <w:r>
              <w:rPr>
                <w:rFonts w:hint="default" w:ascii="Times New Roman" w:hAnsi="Times New Roman" w:eastAsia="仿宋_GB2312" w:cs="Times New Roman"/>
                <w:szCs w:val="21"/>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6" w:hRule="atLeast"/>
          <w:jc w:val="center"/>
        </w:trPr>
        <w:tc>
          <w:tcPr>
            <w:tcW w:w="990" w:type="pct"/>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事故经过和</w:t>
            </w:r>
          </w:p>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处理情况</w:t>
            </w:r>
          </w:p>
        </w:tc>
        <w:tc>
          <w:tcPr>
            <w:tcW w:w="4010" w:type="pct"/>
            <w:gridSpan w:val="8"/>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66" w:type="pct"/>
            <w:gridSpan w:val="3"/>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事故发生地</w:t>
            </w:r>
          </w:p>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生态环境部门</w:t>
            </w:r>
          </w:p>
        </w:tc>
        <w:tc>
          <w:tcPr>
            <w:tcW w:w="1338" w:type="pct"/>
            <w:gridSpan w:val="3"/>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联系人：</w:t>
            </w:r>
          </w:p>
        </w:tc>
        <w:tc>
          <w:tcPr>
            <w:tcW w:w="1995" w:type="pct"/>
            <w:gridSpan w:val="4"/>
            <w:vMerge w:val="restart"/>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66" w:type="pct"/>
            <w:gridSpan w:val="3"/>
            <w:vMerge w:val="continue"/>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仿宋_GB2312" w:cs="Times New Roman"/>
                <w:sz w:val="20"/>
                <w:szCs w:val="20"/>
              </w:rPr>
            </w:pPr>
          </w:p>
        </w:tc>
        <w:tc>
          <w:tcPr>
            <w:tcW w:w="1338" w:type="pct"/>
            <w:gridSpan w:val="3"/>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电  话：</w:t>
            </w:r>
          </w:p>
        </w:tc>
        <w:tc>
          <w:tcPr>
            <w:tcW w:w="1995" w:type="pct"/>
            <w:gridSpan w:val="4"/>
            <w:vMerge w:val="continue"/>
            <w:tcBorders>
              <w:top w:val="single" w:color="auto" w:sz="4" w:space="0"/>
              <w:left w:val="single" w:color="auto" w:sz="4" w:space="0"/>
              <w:bottom w:val="single" w:color="auto" w:sz="4" w:space="0"/>
              <w:right w:val="single" w:color="auto" w:sz="4" w:space="0"/>
            </w:tcBorders>
            <w:vAlign w:val="center"/>
          </w:tcPr>
          <w:p>
            <w:pPr>
              <w:spacing w:line="540" w:lineRule="exact"/>
              <w:rPr>
                <w:rFonts w:hint="default" w:ascii="Times New Roman" w:hAnsi="Times New Roman" w:eastAsia="仿宋_GB2312"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66" w:type="pct"/>
            <w:gridSpan w:val="3"/>
            <w:vMerge w:val="continue"/>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仿宋_GB2312" w:cs="Times New Roman"/>
                <w:sz w:val="20"/>
                <w:szCs w:val="20"/>
              </w:rPr>
            </w:pPr>
          </w:p>
        </w:tc>
        <w:tc>
          <w:tcPr>
            <w:tcW w:w="1338" w:type="pct"/>
            <w:gridSpan w:val="3"/>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bidi="ar"/>
              </w:rPr>
              <w:t>传  真：</w:t>
            </w:r>
          </w:p>
        </w:tc>
        <w:tc>
          <w:tcPr>
            <w:tcW w:w="1995" w:type="pct"/>
            <w:gridSpan w:val="4"/>
            <w:vMerge w:val="continue"/>
            <w:tcBorders>
              <w:top w:val="single" w:color="auto" w:sz="4" w:space="0"/>
              <w:left w:val="single" w:color="auto" w:sz="4" w:space="0"/>
              <w:bottom w:val="single" w:color="auto" w:sz="4" w:space="0"/>
              <w:right w:val="single" w:color="auto" w:sz="4" w:space="0"/>
            </w:tcBorders>
            <w:vAlign w:val="center"/>
          </w:tcPr>
          <w:p>
            <w:pPr>
              <w:spacing w:line="540" w:lineRule="exact"/>
              <w:rPr>
                <w:rFonts w:hint="default" w:ascii="Times New Roman" w:hAnsi="Times New Roman" w:eastAsia="仿宋_GB2312" w:cs="Times New Roman"/>
                <w:sz w:val="20"/>
                <w:szCs w:val="20"/>
              </w:rPr>
            </w:pPr>
          </w:p>
        </w:tc>
      </w:tr>
    </w:tbl>
    <w:p>
      <w:pPr>
        <w:widowControl/>
        <w:spacing w:line="540" w:lineRule="exact"/>
        <w:jc w:val="left"/>
        <w:rPr>
          <w:rFonts w:hint="default" w:ascii="Times New Roman" w:hAnsi="Times New Roman" w:eastAsia="仿宋_GB2312" w:cs="Times New Roman"/>
          <w:kern w:val="0"/>
          <w:sz w:val="24"/>
          <w:szCs w:val="24"/>
          <w:shd w:val="clear" w:color="auto" w:fill="FFFFFF"/>
          <w:lang w:bidi="ar"/>
        </w:rPr>
      </w:pPr>
      <w:r>
        <w:rPr>
          <w:rFonts w:hint="default" w:ascii="Times New Roman" w:hAnsi="Times New Roman" w:eastAsia="仿宋_GB2312" w:cs="Times New Roman"/>
          <w:kern w:val="0"/>
          <w:sz w:val="24"/>
          <w:szCs w:val="24"/>
          <w:shd w:val="clear" w:color="auto" w:fill="FFFFFF"/>
          <w:lang w:bidi="ar"/>
        </w:rPr>
        <w:t>注：射线装置的“主要参数”是指X射线机的电流（mA）和电压（kV）、加速器线速能量等主要性能参数。</w:t>
      </w:r>
      <w:bookmarkStart w:id="481" w:name="_Toc31122"/>
      <w:bookmarkStart w:id="482" w:name="_Toc18903"/>
      <w:bookmarkStart w:id="483" w:name="_Toc17045"/>
      <w:bookmarkStart w:id="484" w:name="_Toc32734"/>
      <w:bookmarkStart w:id="485" w:name="_Toc8645"/>
      <w:bookmarkStart w:id="486" w:name="_Toc9329"/>
      <w:bookmarkStart w:id="487" w:name="_Toc180502050"/>
      <w:bookmarkStart w:id="488" w:name="_Toc2774"/>
      <w:bookmarkStart w:id="489" w:name="_Toc17955"/>
    </w:p>
    <w:p>
      <w:pPr>
        <w:pStyle w:val="4"/>
        <w:numPr>
          <w:ilvl w:val="1"/>
          <w:numId w:val="1"/>
        </w:numPr>
        <w:tabs>
          <w:tab w:val="left" w:pos="1132"/>
        </w:tabs>
        <w:spacing w:before="0" w:after="0" w:line="540" w:lineRule="exact"/>
        <w:ind w:left="0" w:firstLine="643" w:firstLineChars="200"/>
        <w:rPr>
          <w:rFonts w:hint="default" w:ascii="Times New Roman" w:hAnsi="Times New Roman" w:eastAsia="仿宋_GB2312" w:cs="Times New Roman"/>
          <w:szCs w:val="32"/>
          <w:lang w:bidi="en-US"/>
        </w:rPr>
      </w:pPr>
      <w:r>
        <w:rPr>
          <w:rFonts w:hint="default" w:ascii="Times New Roman" w:hAnsi="Times New Roman" w:eastAsia="仿宋_GB2312" w:cs="Times New Roman"/>
          <w:bCs/>
          <w:szCs w:val="32"/>
          <w:lang w:bidi="en-US"/>
        </w:rPr>
        <w:br w:type="page"/>
      </w:r>
      <w:bookmarkEnd w:id="481"/>
      <w:bookmarkEnd w:id="482"/>
      <w:bookmarkEnd w:id="483"/>
      <w:bookmarkEnd w:id="484"/>
      <w:bookmarkEnd w:id="485"/>
      <w:bookmarkEnd w:id="486"/>
      <w:bookmarkEnd w:id="487"/>
      <w:bookmarkEnd w:id="488"/>
      <w:bookmarkEnd w:id="489"/>
      <w:bookmarkStart w:id="490" w:name="_Toc8800"/>
      <w:bookmarkStart w:id="491" w:name="_Toc22707"/>
      <w:bookmarkStart w:id="492" w:name="_Toc19731"/>
      <w:bookmarkStart w:id="493" w:name="_Toc18670"/>
      <w:r>
        <w:rPr>
          <w:rFonts w:hint="default" w:ascii="Times New Roman" w:hAnsi="Times New Roman" w:eastAsia="仿宋_GB2312" w:cs="Times New Roman"/>
          <w:bCs/>
          <w:szCs w:val="32"/>
          <w:lang w:bidi="en-US"/>
        </w:rPr>
        <w:t xml:space="preserve">  </w:t>
      </w:r>
      <w:bookmarkStart w:id="494" w:name="_Toc215171000"/>
      <w:r>
        <w:rPr>
          <w:rFonts w:hint="default" w:ascii="Times New Roman" w:hAnsi="Times New Roman" w:eastAsia="仿宋_GB2312" w:cs="Times New Roman"/>
          <w:szCs w:val="32"/>
        </w:rPr>
        <w:t>处理结果报告（提纲）</w:t>
      </w:r>
      <w:bookmarkEnd w:id="494"/>
    </w:p>
    <w:p>
      <w:pPr>
        <w:spacing w:line="540" w:lineRule="exact"/>
        <w:jc w:val="center"/>
        <w:rPr>
          <w:rFonts w:hint="default" w:ascii="Times New Roman" w:hAnsi="Times New Roman" w:eastAsia="仿宋_GB2312" w:cs="Times New Roman"/>
          <w:b/>
          <w:bCs/>
          <w:sz w:val="32"/>
          <w:szCs w:val="32"/>
          <w:lang w:bidi="en-US"/>
        </w:rPr>
      </w:pPr>
    </w:p>
    <w:p>
      <w:pPr>
        <w:spacing w:line="560" w:lineRule="exact"/>
        <w:jc w:val="center"/>
        <w:rPr>
          <w:rFonts w:hint="default" w:ascii="Times New Roman" w:hAnsi="Times New Roman" w:eastAsia="仿宋_GB2312" w:cs="Times New Roman"/>
          <w:sz w:val="32"/>
          <w:szCs w:val="36"/>
          <w:lang w:bidi="en-US"/>
        </w:rPr>
      </w:pPr>
      <w:r>
        <w:rPr>
          <w:rFonts w:hint="default" w:ascii="Times New Roman" w:hAnsi="Times New Roman" w:eastAsia="仿宋_GB2312" w:cs="Times New Roman"/>
          <w:b/>
          <w:bCs/>
          <w:sz w:val="32"/>
          <w:szCs w:val="32"/>
          <w:lang w:bidi="en-US"/>
        </w:rPr>
        <w:t>处理结果报告（提纲）</w:t>
      </w:r>
      <w:bookmarkEnd w:id="490"/>
      <w:bookmarkEnd w:id="491"/>
      <w:bookmarkEnd w:id="492"/>
      <w:bookmarkEnd w:id="493"/>
    </w:p>
    <w:p>
      <w:pPr>
        <w:widowControl/>
        <w:spacing w:line="560" w:lineRule="exact"/>
        <w:rPr>
          <w:rFonts w:hint="default" w:ascii="Times New Roman" w:hAnsi="Times New Roman" w:eastAsia="仿宋_GB2312" w:cs="Times New Roman"/>
          <w:sz w:val="32"/>
          <w:szCs w:val="36"/>
          <w:lang w:bidi="en-US"/>
        </w:rPr>
      </w:pP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一、调查起止日期及调查地点和事由</w:t>
      </w: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二、调查人员构成情况</w:t>
      </w: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三、事故概况及应急处理情况</w:t>
      </w: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四、事故调查方案及调查方法</w:t>
      </w: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五、事故调查情况</w:t>
      </w: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1. 人员伤亡</w:t>
      </w: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2. 污染及处理情况</w:t>
      </w: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3. 现场勘查</w:t>
      </w: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4. 有关技术检测及认证、物证收集情况</w:t>
      </w: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六、事故原因分析及事故级别的判定</w:t>
      </w: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七、事故后果及危害影响评价</w:t>
      </w: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1. 经济损失</w:t>
      </w: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2. 社会影响</w:t>
      </w: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八、事故处理结果</w:t>
      </w: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1. 确认违法行为</w:t>
      </w: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r>
        <w:rPr>
          <w:rFonts w:hint="default" w:ascii="Times New Roman" w:hAnsi="Times New Roman" w:eastAsia="仿宋_GB2312" w:cs="Times New Roman"/>
          <w:kern w:val="0"/>
          <w:sz w:val="32"/>
          <w:szCs w:val="32"/>
          <w:lang w:bidi="en-US"/>
        </w:rPr>
        <w:t>2. 处罚决定及其执行情况</w:t>
      </w: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sectPr>
          <w:footerReference r:id="rId11" w:type="first"/>
          <w:footerReference r:id="rId10" w:type="even"/>
          <w:pgSz w:w="11906" w:h="16838"/>
          <w:pgMar w:top="2098" w:right="1474" w:bottom="1985" w:left="1588" w:header="1134" w:footer="794" w:gutter="0"/>
          <w:pgNumType w:fmt="numberInDash"/>
          <w:cols w:space="425" w:num="1"/>
          <w:docGrid w:linePitch="312" w:charSpace="0"/>
        </w:sectPr>
      </w:pPr>
      <w:r>
        <w:rPr>
          <w:rFonts w:hint="default" w:ascii="Times New Roman" w:hAnsi="Times New Roman" w:eastAsia="仿宋_GB2312" w:cs="Times New Roman"/>
          <w:kern w:val="0"/>
          <w:sz w:val="32"/>
          <w:szCs w:val="32"/>
          <w:lang w:bidi="en-US"/>
        </w:rPr>
        <w:t>九、经验教训和改进工作的措施</w:t>
      </w:r>
      <w:bookmarkEnd w:id="465"/>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sectPr>
          <w:pgSz w:w="11906" w:h="16838"/>
          <w:pgMar w:top="2098" w:right="1474" w:bottom="1985" w:left="1588" w:header="1134" w:footer="794" w:gutter="0"/>
          <w:pgNumType w:fmt="numberInDash"/>
          <w:cols w:space="425" w:num="1"/>
          <w:docGrid w:linePitch="312" w:charSpace="0"/>
        </w:sectPr>
      </w:pP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p>
    <w:p>
      <w:pPr>
        <w:adjustRightInd w:val="0"/>
        <w:snapToGrid w:val="0"/>
        <w:spacing w:line="560" w:lineRule="exact"/>
        <w:ind w:firstLine="640" w:firstLineChars="200"/>
        <w:rPr>
          <w:rFonts w:hint="default" w:ascii="Times New Roman" w:hAnsi="Times New Roman" w:eastAsia="仿宋_GB2312" w:cs="Times New Roman"/>
          <w:kern w:val="0"/>
          <w:sz w:val="32"/>
          <w:szCs w:val="32"/>
          <w:lang w:bidi="en-US"/>
        </w:rPr>
      </w:pPr>
    </w:p>
    <w:p>
      <w:pPr>
        <w:pStyle w:val="2"/>
        <w:rPr>
          <w:rFonts w:hint="default" w:ascii="Times New Roman" w:hAnsi="Times New Roman" w:eastAsia="仿宋_GB2312" w:cs="Times New Roman"/>
          <w:kern w:val="0"/>
          <w:sz w:val="32"/>
          <w:szCs w:val="32"/>
          <w:lang w:bidi="en-US"/>
        </w:rPr>
      </w:pPr>
    </w:p>
    <w:p>
      <w:pPr>
        <w:rPr>
          <w:rFonts w:hint="default"/>
        </w:rPr>
      </w:pPr>
    </w:p>
    <w:p>
      <w:pPr>
        <w:spacing w:line="520" w:lineRule="exact"/>
        <w:rPr>
          <w:rFonts w:eastAsia="黑体"/>
          <w:sz w:val="32"/>
        </w:rPr>
      </w:pPr>
      <w:r>
        <w:rPr>
          <w:rFonts w:eastAsia="黑体"/>
          <w:sz w:val="32"/>
        </w:rPr>
        <w:t>公开方式：</w:t>
      </w:r>
      <w:r>
        <w:rPr>
          <w:rFonts w:eastAsia="仿宋_GB2312"/>
          <w:sz w:val="32"/>
          <w:szCs w:val="32"/>
        </w:rPr>
        <w:t>主动公开</w:t>
      </w:r>
    </w:p>
    <w:p>
      <w:pPr>
        <w:spacing w:line="520" w:lineRule="exact"/>
        <w:ind w:firstLine="160" w:firstLineChars="50"/>
        <w:rPr>
          <w:rFonts w:eastAsia="黑体"/>
          <w:sz w:val="32"/>
        </w:rPr>
      </w:pPr>
    </w:p>
    <w:p>
      <w:pPr>
        <w:spacing w:line="520" w:lineRule="exact"/>
        <w:ind w:right="0" w:rightChars="0" w:firstLine="320" w:firstLineChars="100"/>
        <w:rPr>
          <w:rFonts w:hint="eastAsia" w:eastAsia="仿宋_GB2312"/>
          <w:sz w:val="28"/>
          <w:szCs w:val="28"/>
          <w:lang w:eastAsia="zh-CN"/>
        </w:rPr>
      </w:pPr>
      <w:r>
        <w:rPr>
          <w:rFonts w:eastAsia="仿宋_GB2312"/>
          <w:sz w:val="32"/>
          <w:szCs w:val="32"/>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8255</wp:posOffset>
                </wp:positionV>
                <wp:extent cx="5600700" cy="0"/>
                <wp:effectExtent l="0" t="4445" r="0" b="5080"/>
                <wp:wrapNone/>
                <wp:docPr id="4" name="直接连接符 4"/>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0.65pt;height:0pt;width:441pt;z-index:251662336;mso-width-relative:page;mso-height-relative:page;" filled="f" stroked="t" coordsize="21600,21600" o:gfxdata="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CjKlt0QAAAAQBAAAPAAAAAAAAAAEAIAAAACIAAABkcnMvZG93bnJldi54bWxQSwECFAAUAAAA&#10;CACHTuJA86T8SvUBAADkAwAADgAAAAAAAAABACAAAAAgAQAAZHJzL2Uyb0RvYy54bWxQSwUGAAAA&#10;AAYABgBZAQAAhwUAAAAA&#10;">
                <v:fill on="f" focussize="0,0"/>
                <v:stroke color="#000000" joinstyle="round"/>
                <v:imagedata o:title=""/>
                <o:lock v:ext="edit" aspectratio="f"/>
              </v:line>
            </w:pict>
          </mc:Fallback>
        </mc:AlternateContent>
      </w:r>
      <w:r>
        <w:rPr>
          <w:rFonts w:eastAsia="仿宋_GB2312"/>
          <w:sz w:val="28"/>
          <w:szCs w:val="28"/>
        </w:rPr>
        <w:t>抄送</w:t>
      </w:r>
      <w:r>
        <w:rPr>
          <w:rFonts w:hint="eastAsia" w:eastAsia="仿宋_GB2312"/>
          <w:sz w:val="28"/>
          <w:szCs w:val="28"/>
          <w:lang w:eastAsia="zh-CN"/>
        </w:rPr>
        <w:t>：市生态环境局、市应急管理局。</w:t>
      </w:r>
    </w:p>
    <w:p>
      <w:pPr>
        <w:spacing w:line="520" w:lineRule="exact"/>
        <w:ind w:right="0" w:rightChars="0" w:firstLine="1120" w:firstLineChars="400"/>
        <w:rPr>
          <w:rFonts w:hint="eastAsia" w:eastAsia="仿宋_GB2312"/>
          <w:sz w:val="28"/>
          <w:szCs w:val="28"/>
          <w:lang w:eastAsia="zh-CN"/>
        </w:rPr>
      </w:pPr>
      <w:r>
        <w:rPr>
          <w:rFonts w:hint="eastAsia" w:eastAsia="仿宋_GB2312"/>
          <w:sz w:val="28"/>
          <w:szCs w:val="28"/>
          <w:lang w:eastAsia="zh-CN"/>
        </w:rPr>
        <w:t>区纪委监委机关、区委办公室、区人大常委会办公室、区政协办</w:t>
      </w:r>
    </w:p>
    <w:p>
      <w:pPr>
        <w:spacing w:line="520" w:lineRule="exact"/>
        <w:ind w:right="0" w:rightChars="0" w:firstLine="1120" w:firstLineChars="400"/>
        <w:rPr>
          <w:rFonts w:eastAsia="仿宋_GB2312"/>
          <w:sz w:val="28"/>
          <w:szCs w:val="28"/>
        </w:rPr>
      </w:pPr>
      <w:r>
        <w:rPr>
          <w:rFonts w:hint="eastAsia" w:eastAsia="仿宋_GB2312"/>
          <w:sz w:val="28"/>
          <w:szCs w:val="28"/>
          <w:lang w:eastAsia="zh-CN"/>
        </w:rPr>
        <w:t>公室。</w:t>
      </w:r>
      <w:r>
        <w:rPr>
          <w:rFonts w:eastAsia="仿宋_GB2312"/>
          <w:sz w:val="28"/>
          <w:szCs w:val="28"/>
        </w:rPr>
        <w:t xml:space="preserve"> </w:t>
      </w:r>
    </w:p>
    <w:p>
      <w:pPr>
        <w:adjustRightInd/>
        <w:snapToGrid/>
        <w:spacing w:line="520" w:lineRule="exact"/>
        <w:ind w:firstLine="0" w:firstLineChars="0"/>
        <w:rPr>
          <w:rFonts w:hint="default" w:ascii="Times New Roman" w:hAnsi="Times New Roman" w:eastAsia="仿宋_GB2312" w:cs="Times New Roman"/>
          <w:kern w:val="0"/>
          <w:sz w:val="32"/>
          <w:szCs w:val="32"/>
          <w:lang w:bidi="en-US"/>
        </w:rPr>
      </w:pPr>
      <w:r>
        <w:rPr>
          <w:rFonts w:eastAsia="仿宋_GB2312"/>
          <w:sz w:val="28"/>
          <w:szCs w:val="28"/>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362585</wp:posOffset>
                </wp:positionV>
                <wp:extent cx="5600700" cy="0"/>
                <wp:effectExtent l="0" t="4445" r="0" b="5080"/>
                <wp:wrapNone/>
                <wp:docPr id="3" name="直接连接符 3"/>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28.55pt;height:0pt;width:441pt;z-index:251664384;mso-width-relative:page;mso-height-relative:page;" filled="f" stroked="t" coordsize="21600,21600" o:gfxdata="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IUbHXfTAAAABgEAAA8AAAAAAAAAAQAgAAAAIgAAAGRycy9kb3ducmV2LnhtbFBLAQIUABQA&#10;AAAIAIdO4kDFs7CT9QEAAOQDAAAOAAAAAAAAAAEAIAAAACIBAABkcnMvZTJvRG9jLnhtbFBLBQYA&#10;AAAABgAGAFkBAACJBQAAAAA=&#10;">
                <v:fill on="f" focussize="0,0"/>
                <v:stroke color="#000000" joinstyle="round"/>
                <v:imagedata o:title=""/>
                <o:lock v:ext="edit" aspectratio="f"/>
              </v:line>
            </w:pict>
          </mc:Fallback>
        </mc:AlternateContent>
      </w:r>
      <w:r>
        <w:rPr>
          <w:rFonts w:eastAsia="仿宋_GB2312"/>
          <w:sz w:val="28"/>
          <w:szCs w:val="28"/>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8255</wp:posOffset>
                </wp:positionV>
                <wp:extent cx="5600700" cy="0"/>
                <wp:effectExtent l="0" t="4445" r="0" b="5080"/>
                <wp:wrapNone/>
                <wp:docPr id="2" name="直接连接符 2"/>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0.65pt;height:0pt;width:441pt;z-index:251663360;mso-width-relative:page;mso-height-relative:page;" filled="f" stroked="t" coordsize="21600,21600" o:gfxdata="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CjKlt0QAAAAQBAAAPAAAAAAAAAAEAIAAAACIAAABkcnMvZG93bnJldi54bWxQSwECFAAUAAAA&#10;CACHTuJA1NjU/vUBAADkAwAADgAAAAAAAAABACAAAAAgAQAAZHJzL2Uyb0RvYy54bWxQSwUGAAAA&#10;AAYABgBZAQAAhwUAAAAA&#10;">
                <v:fill on="f" focussize="0,0"/>
                <v:stroke color="#000000" joinstyle="round"/>
                <v:imagedata o:title=""/>
                <o:lock v:ext="edit" aspectratio="f"/>
              </v:line>
            </w:pict>
          </mc:Fallback>
        </mc:AlternateContent>
      </w:r>
      <w:r>
        <w:rPr>
          <w:rFonts w:hint="eastAsia" w:eastAsia="仿宋_GB2312"/>
          <w:sz w:val="28"/>
          <w:szCs w:val="28"/>
          <w:lang w:val="en-US" w:eastAsia="zh-CN"/>
        </w:rPr>
        <w:t xml:space="preserve">  </w:t>
      </w:r>
      <w:r>
        <w:rPr>
          <w:rFonts w:eastAsia="仿宋_GB2312"/>
          <w:sz w:val="28"/>
          <w:szCs w:val="28"/>
        </w:rPr>
        <w:t>广州市生态环境局荔湾分局办公室</w:t>
      </w:r>
      <w:r>
        <w:rPr>
          <w:rFonts w:eastAsia="仿宋_GB2312"/>
          <w:spacing w:val="-20"/>
          <w:sz w:val="28"/>
          <w:szCs w:val="28"/>
        </w:rPr>
        <w:t xml:space="preserve">            </w:t>
      </w:r>
      <w:r>
        <w:rPr>
          <w:rFonts w:hint="eastAsia" w:eastAsia="仿宋_GB2312"/>
          <w:spacing w:val="-20"/>
          <w:sz w:val="28"/>
          <w:szCs w:val="28"/>
          <w:lang w:val="en-US" w:eastAsia="zh-CN"/>
        </w:rPr>
        <w:t xml:space="preserve">   </w:t>
      </w:r>
      <w:r>
        <w:rPr>
          <w:rFonts w:eastAsia="仿宋_GB2312"/>
          <w:spacing w:val="-20"/>
          <w:sz w:val="28"/>
          <w:szCs w:val="28"/>
        </w:rPr>
        <w:t xml:space="preserve">  </w:t>
      </w:r>
      <w:r>
        <w:rPr>
          <w:rFonts w:hint="eastAsia" w:eastAsia="仿宋_GB2312"/>
          <w:spacing w:val="-20"/>
          <w:sz w:val="28"/>
          <w:szCs w:val="28"/>
        </w:rPr>
        <w:t xml:space="preserve">  </w:t>
      </w:r>
      <w:r>
        <w:rPr>
          <w:rFonts w:ascii="Times New Roman" w:hAnsi="Times New Roman" w:eastAsia="仿宋_GB2312"/>
          <w:spacing w:val="-20"/>
          <w:sz w:val="28"/>
          <w:szCs w:val="28"/>
        </w:rPr>
        <w:t>202</w:t>
      </w:r>
      <w:r>
        <w:rPr>
          <w:rFonts w:hint="default" w:ascii="Times New Roman" w:hAnsi="Times New Roman" w:eastAsia="仿宋_GB2312"/>
          <w:spacing w:val="-20"/>
          <w:sz w:val="28"/>
          <w:szCs w:val="28"/>
          <w:lang w:val="en-US" w:eastAsia="zh-CN"/>
        </w:rPr>
        <w:t>6</w:t>
      </w:r>
      <w:r>
        <w:rPr>
          <w:rFonts w:ascii="Times New Roman" w:hAnsi="Times New Roman" w:eastAsia="仿宋_GB2312"/>
          <w:spacing w:val="-20"/>
          <w:sz w:val="28"/>
          <w:szCs w:val="28"/>
        </w:rPr>
        <w:t>年</w:t>
      </w:r>
      <w:r>
        <w:rPr>
          <w:rFonts w:hint="default" w:ascii="Times New Roman" w:hAnsi="Times New Roman" w:eastAsia="仿宋_GB2312"/>
          <w:spacing w:val="-20"/>
          <w:sz w:val="28"/>
          <w:szCs w:val="28"/>
          <w:lang w:val="en-US" w:eastAsia="zh-CN"/>
        </w:rPr>
        <w:t>2</w:t>
      </w:r>
      <w:r>
        <w:rPr>
          <w:rFonts w:ascii="Times New Roman" w:hAnsi="Times New Roman" w:eastAsia="仿宋_GB2312"/>
          <w:spacing w:val="-20"/>
          <w:sz w:val="28"/>
          <w:szCs w:val="28"/>
        </w:rPr>
        <w:t>月</w:t>
      </w:r>
      <w:r>
        <w:rPr>
          <w:rFonts w:hint="default" w:ascii="Times New Roman" w:hAnsi="Times New Roman" w:eastAsia="仿宋_GB2312"/>
          <w:spacing w:val="-20"/>
          <w:sz w:val="28"/>
          <w:szCs w:val="28"/>
          <w:lang w:val="en-US" w:eastAsia="zh-CN"/>
        </w:rPr>
        <w:t xml:space="preserve"> </w:t>
      </w:r>
      <w:r>
        <w:rPr>
          <w:rFonts w:ascii="Times New Roman" w:hAnsi="Times New Roman" w:eastAsia="仿宋_GB2312"/>
          <w:spacing w:val="-20"/>
          <w:sz w:val="28"/>
          <w:szCs w:val="28"/>
        </w:rPr>
        <w:t>日印发</w:t>
      </w:r>
    </w:p>
    <w:sectPr>
      <w:pgSz w:w="11906" w:h="16838"/>
      <w:pgMar w:top="2098" w:right="1474" w:bottom="1985" w:left="1588" w:header="1134" w:footer="794" w:gutter="0"/>
      <w:pgNumType w:fmt="numberInDash"/>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TimesNewRomanPSMT">
    <w:altName w:val="Times New Roman"/>
    <w:panose1 w:val="00000000000000000000"/>
    <w:charset w:val="00"/>
    <w:family w:val="roman"/>
    <w:pitch w:val="default"/>
    <w:sig w:usb0="00000000" w:usb1="00000000" w:usb2="00000000" w:usb3="00000000" w:csb0="00000000" w:csb1="0000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23279592"/>
    </w:sdtPr>
    <w:sdtEndPr>
      <w:rPr>
        <w:sz w:val="24"/>
      </w:rPr>
    </w:sdtEndPr>
    <w:sdtContent>
      <w:p>
        <w:pPr>
          <w:pStyle w:val="17"/>
          <w:jc w:val="right"/>
          <w:rPr>
            <w:sz w:val="24"/>
          </w:rPr>
        </w:pPr>
        <w:r>
          <w:rPr>
            <w:sz w:val="24"/>
          </w:rPr>
          <w:fldChar w:fldCharType="begin"/>
        </w:r>
        <w:r>
          <w:rPr>
            <w:sz w:val="24"/>
          </w:rPr>
          <w:instrText xml:space="preserve">PAGE   \* MERGEFORMAT</w:instrText>
        </w:r>
        <w:r>
          <w:rPr>
            <w:sz w:val="24"/>
          </w:rPr>
          <w:fldChar w:fldCharType="separate"/>
        </w:r>
        <w:r>
          <w:rPr>
            <w:sz w:val="24"/>
            <w:lang w:val="zh-CN"/>
          </w:rPr>
          <w:t>2</w:t>
        </w:r>
        <w:r>
          <w:rPr>
            <w:sz w:val="24"/>
          </w:rPr>
          <w:fldChar w:fldCharType="end"/>
        </w:r>
      </w:p>
    </w:sdtContent>
  </w:sdt>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EndPr>
      <w:rPr>
        <w:sz w:val="24"/>
      </w:rPr>
    </w:sdtEndPr>
    <w:sdtContent>
      <w:p>
        <w:pPr>
          <w:pStyle w:val="17"/>
          <w:rPr>
            <w:sz w:val="24"/>
          </w:rPr>
        </w:pPr>
        <w:r>
          <w:rPr>
            <w:sz w:val="24"/>
          </w:rPr>
          <w:fldChar w:fldCharType="begin"/>
        </w:r>
        <w:r>
          <w:rPr>
            <w:sz w:val="24"/>
          </w:rPr>
          <w:instrText xml:space="preserve">PAGE   \* MERGEFORMAT</w:instrText>
        </w:r>
        <w:r>
          <w:rPr>
            <w:sz w:val="24"/>
          </w:rPr>
          <w:fldChar w:fldCharType="separate"/>
        </w:r>
        <w:r>
          <w:rPr>
            <w:sz w:val="24"/>
          </w:rPr>
          <w:t>- 1 -</w:t>
        </w:r>
        <w:r>
          <w:rPr>
            <w:sz w:val="24"/>
          </w:rPr>
          <w:fldChar w:fldCharType="end"/>
        </w:r>
      </w:p>
    </w:sdtContent>
  </w:sdt>
  <w:p>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EndPr>
      <w:rPr>
        <w:sz w:val="24"/>
      </w:rPr>
    </w:sdtEndPr>
    <w:sdtContent>
      <w:p>
        <w:pPr>
          <w:pStyle w:val="17"/>
          <w:jc w:val="right"/>
          <w:rPr>
            <w:sz w:val="24"/>
          </w:rPr>
        </w:pPr>
        <w:r>
          <w:rPr>
            <w:sz w:val="24"/>
          </w:rPr>
          <w:fldChar w:fldCharType="begin"/>
        </w:r>
        <w:r>
          <w:rPr>
            <w:sz w:val="24"/>
          </w:rPr>
          <w:instrText xml:space="preserve">PAGE   \* MERGEFORMAT</w:instrText>
        </w:r>
        <w:r>
          <w:rPr>
            <w:sz w:val="24"/>
          </w:rPr>
          <w:fldChar w:fldCharType="separate"/>
        </w:r>
        <w:r>
          <w:rPr>
            <w:sz w:val="24"/>
            <w:lang w:val="zh-CN"/>
          </w:rPr>
          <w:t>2</w:t>
        </w:r>
        <w:r>
          <w:rPr>
            <w:sz w:val="24"/>
          </w:rPr>
          <w:fldChar w:fldCharType="end"/>
        </w:r>
      </w:p>
    </w:sdtContent>
  </w:sdt>
  <w:p>
    <w:pPr>
      <w:pStyle w:val="17"/>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25314280"/>
    </w:sdtPr>
    <w:sdtEndPr>
      <w:rPr>
        <w:sz w:val="24"/>
      </w:rPr>
    </w:sdtEndPr>
    <w:sdtContent>
      <w:p>
        <w:pPr>
          <w:pStyle w:val="17"/>
          <w:rPr>
            <w:sz w:val="24"/>
          </w:rPr>
        </w:pPr>
        <w:r>
          <w:rPr>
            <w:sz w:val="24"/>
          </w:rPr>
          <w:fldChar w:fldCharType="begin"/>
        </w:r>
        <w:r>
          <w:rPr>
            <w:sz w:val="24"/>
          </w:rPr>
          <w:instrText xml:space="preserve">PAGE   \* MERGEFORMAT</w:instrText>
        </w:r>
        <w:r>
          <w:rPr>
            <w:sz w:val="24"/>
          </w:rPr>
          <w:fldChar w:fldCharType="separate"/>
        </w:r>
        <w:r>
          <w:rPr>
            <w:rFonts w:hint="eastAsia"/>
            <w:sz w:val="24"/>
          </w:rPr>
          <w:t>- 1 -</w:t>
        </w:r>
        <w:r>
          <w:rPr>
            <w:sz w:val="24"/>
          </w:rPr>
          <w:fldChar w:fldCharType="end"/>
        </w:r>
      </w:p>
    </w:sdtContent>
  </w:sdt>
  <w:p>
    <w:pPr>
      <w:pStyle w:val="17"/>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0391000"/>
    </w:sdtPr>
    <w:sdtEndPr>
      <w:rPr>
        <w:sz w:val="24"/>
      </w:rPr>
    </w:sdtEndPr>
    <w:sdtContent>
      <w:p>
        <w:pPr>
          <w:pStyle w:val="17"/>
          <w:jc w:val="right"/>
          <w:rPr>
            <w:sz w:val="24"/>
          </w:rPr>
        </w:pPr>
        <w:r>
          <w:rPr>
            <w:sz w:val="24"/>
          </w:rPr>
          <w:fldChar w:fldCharType="begin"/>
        </w:r>
        <w:r>
          <w:rPr>
            <w:sz w:val="24"/>
          </w:rPr>
          <w:instrText xml:space="preserve">PAGE   \* MERGEFORMAT</w:instrText>
        </w:r>
        <w:r>
          <w:rPr>
            <w:sz w:val="24"/>
          </w:rPr>
          <w:fldChar w:fldCharType="separate"/>
        </w:r>
        <w:r>
          <w:rPr>
            <w:sz w:val="24"/>
            <w:lang w:val="zh-CN"/>
          </w:rPr>
          <w:t>2</w:t>
        </w:r>
        <w:r>
          <w:rPr>
            <w:sz w:val="24"/>
          </w:rPr>
          <w:fldChar w:fldCharType="end"/>
        </w:r>
      </w:p>
    </w:sdtContent>
  </w:sdt>
  <w:p>
    <w:pPr>
      <w:pStyle w:val="17"/>
      <w:ind w:left="210" w:leftChars="100" w:right="210" w:rightChars="100"/>
      <w:jc w:val="right"/>
      <w:rPr>
        <w:rFonts w:hint="eastAsia" w:ascii="宋体" w:hAnsi="宋体"/>
        <w:sz w:val="28"/>
        <w:szCs w:val="2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17208706"/>
    </w:sdtPr>
    <w:sdtEndPr>
      <w:rPr>
        <w:sz w:val="24"/>
      </w:rPr>
    </w:sdtEndPr>
    <w:sdtContent>
      <w:p>
        <w:pPr>
          <w:pStyle w:val="17"/>
          <w:rPr>
            <w:sz w:val="24"/>
          </w:rPr>
        </w:pPr>
        <w:r>
          <w:rPr>
            <w:sz w:val="24"/>
          </w:rPr>
          <w:fldChar w:fldCharType="begin"/>
        </w:r>
        <w:r>
          <w:rPr>
            <w:sz w:val="24"/>
          </w:rPr>
          <w:instrText xml:space="preserve">PAGE   \* MERGEFORMAT</w:instrText>
        </w:r>
        <w:r>
          <w:rPr>
            <w:sz w:val="24"/>
          </w:rPr>
          <w:fldChar w:fldCharType="separate"/>
        </w:r>
        <w:r>
          <w:rPr>
            <w:sz w:val="24"/>
            <w:lang w:val="zh-CN"/>
          </w:rPr>
          <w:t>2</w:t>
        </w:r>
        <w:r>
          <w:rPr>
            <w:sz w:val="24"/>
          </w:rPr>
          <w:fldChar w:fldCharType="end"/>
        </w:r>
      </w:p>
    </w:sdtContent>
  </w:sdt>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53035" cy="175260"/>
              <wp:effectExtent l="0" t="0" r="0" b="0"/>
              <wp:wrapNone/>
              <wp:docPr id="746545606" name="文本框 8"/>
              <wp:cNvGraphicFramePr/>
              <a:graphic xmlns:a="http://schemas.openxmlformats.org/drawingml/2006/main">
                <a:graphicData uri="http://schemas.microsoft.com/office/word/2010/wordprocessingShape">
                  <wps:wsp>
                    <wps:cNvSpPr txBox="1">
                      <a:spLocks noChangeArrowheads="1"/>
                    </wps:cNvSpPr>
                    <wps:spPr bwMode="auto">
                      <a:xfrm>
                        <a:off x="0" y="0"/>
                        <a:ext cx="153035" cy="175260"/>
                      </a:xfrm>
                      <a:prstGeom prst="rect">
                        <a:avLst/>
                      </a:prstGeom>
                      <a:noFill/>
                      <a:ln>
                        <a:noFill/>
                      </a:ln>
                    </wps:spPr>
                    <wps:txbx>
                      <w:txbxContent>
                        <w:p>
                          <w:pPr>
                            <w:pStyle w:val="20"/>
                            <w:tabs>
                              <w:tab w:val="center" w:pos="4153"/>
                              <w:tab w:val="right" w:pos="8306"/>
                            </w:tabs>
                            <w:rPr>
                              <w:rFonts w:hint="eastAsia"/>
                            </w:rPr>
                          </w:pPr>
                          <w:r>
                            <w:fldChar w:fldCharType="begin"/>
                          </w:r>
                          <w:r>
                            <w:instrText xml:space="preserve"> PAGE  \* MERGEFORMAT </w:instrText>
                          </w:r>
                          <w:r>
                            <w:fldChar w:fldCharType="separate"/>
                          </w:r>
                          <w:r>
                            <w:t>29</w:t>
                          </w:r>
                          <w:r>
                            <w:fldChar w:fldCharType="end"/>
                          </w:r>
                        </w:p>
                      </w:txbxContent>
                    </wps:txbx>
                    <wps:bodyPr rot="0" vert="horz" wrap="none" lIns="0" tIns="0" rIns="0" bIns="0" anchor="t" anchorCtr="0" upright="1">
                      <a:spAutoFit/>
                    </wps:bodyPr>
                  </wps:wsp>
                </a:graphicData>
              </a:graphic>
            </wp:anchor>
          </w:drawing>
        </mc:Choice>
        <mc:Fallback>
          <w:pict>
            <v:shape id="文本框 8" o:spid="_x0000_s1026" o:spt="202" type="#_x0000_t202" style="position:absolute;left:0pt;margin-top:0pt;height:13.8pt;width:12.05pt;mso-position-horizontal:center;mso-position-horizontal-relative:margin;mso-wrap-style:none;z-index:251660288;mso-width-relative:page;mso-height-relative:page;" filled="f" stroked="f" coordsize="21600,21600" o:gfxdata="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Hi0qNHRAAAAAwEAAA8AAAAAAAAAAQAgAAAA&#10;IgAAAGRycy9kb3ducmV2LnhtbFBLAQIUABQAAAAIAIdO4kCEtC8sEgIAAAoEAAAOAAAAAAAAAAEA&#10;IAAAACABAABkcnMvZTJvRG9jLnhtbFBLBQYAAAAABgAGAFkBAACkBQAAAAA=&#10;">
              <v:fill on="f" focussize="0,0"/>
              <v:stroke on="f"/>
              <v:imagedata o:title=""/>
              <o:lock v:ext="edit" aspectratio="f"/>
              <v:textbox inset="0mm,0mm,0mm,0mm" style="mso-fit-shape-to-text:t;">
                <w:txbxContent>
                  <w:p>
                    <w:pPr>
                      <w:pStyle w:val="20"/>
                      <w:tabs>
                        <w:tab w:val="center" w:pos="4153"/>
                        <w:tab w:val="right" w:pos="8306"/>
                      </w:tabs>
                      <w:rPr>
                        <w:rFonts w:hint="eastAsia"/>
                      </w:rPr>
                    </w:pPr>
                    <w:r>
                      <w:fldChar w:fldCharType="begin"/>
                    </w:r>
                    <w:r>
                      <w:instrText xml:space="preserve"> PAGE  \* MERGEFORMAT </w:instrText>
                    </w:r>
                    <w:r>
                      <w:fldChar w:fldCharType="separate"/>
                    </w:r>
                    <w:r>
                      <w:t>29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E4BBF1"/>
    <w:multiLevelType w:val="multilevel"/>
    <w:tmpl w:val="96E4BBF1"/>
    <w:lvl w:ilvl="0" w:tentative="0">
      <w:start w:val="1"/>
      <w:numFmt w:val="decimal"/>
      <w:lvlText w:val="%1"/>
      <w:lvlJc w:val="left"/>
      <w:pPr>
        <w:ind w:left="425" w:hanging="425"/>
      </w:pPr>
      <w:rPr>
        <w:rFonts w:hint="default"/>
      </w:rPr>
    </w:lvl>
    <w:lvl w:ilvl="1" w:tentative="0">
      <w:start w:val="1"/>
      <w:numFmt w:val="decimal"/>
      <w:lvlText w:val="%1.%2"/>
      <w:lvlJc w:val="left"/>
      <w:pPr>
        <w:ind w:left="992" w:hanging="567"/>
      </w:pPr>
      <w:rPr>
        <w:rFonts w:hint="default"/>
      </w:rPr>
    </w:lvl>
    <w:lvl w:ilvl="2" w:tentative="0">
      <w:start w:val="1"/>
      <w:numFmt w:val="decimal"/>
      <w:lvlText w:val="%1.%2.%3"/>
      <w:lvlJc w:val="left"/>
      <w:pPr>
        <w:ind w:left="1418" w:hanging="567"/>
      </w:pPr>
      <w:rPr>
        <w:rFonts w:hint="default"/>
      </w:rPr>
    </w:lvl>
    <w:lvl w:ilvl="3" w:tentative="0">
      <w:start w:val="1"/>
      <w:numFmt w:val="decimal"/>
      <w:lvlText w:val="%1.%2.%3.%4"/>
      <w:lvlJc w:val="left"/>
      <w:pPr>
        <w:ind w:left="1984" w:hanging="708"/>
      </w:pPr>
      <w:rPr>
        <w:rFonts w:hint="default"/>
      </w:rPr>
    </w:lvl>
    <w:lvl w:ilvl="4" w:tentative="0">
      <w:start w:val="1"/>
      <w:numFmt w:val="decimal"/>
      <w:lvlText w:val="%1.%2.%3.%4.%5"/>
      <w:lvlJc w:val="left"/>
      <w:pPr>
        <w:ind w:left="2551" w:hanging="850"/>
      </w:pPr>
      <w:rPr>
        <w:rFonts w:hint="default"/>
      </w:rPr>
    </w:lvl>
    <w:lvl w:ilvl="5" w:tentative="0">
      <w:start w:val="1"/>
      <w:numFmt w:val="decimal"/>
      <w:lvlText w:val="%1.%2.%3.%4.%5.%6"/>
      <w:lvlJc w:val="left"/>
      <w:pPr>
        <w:ind w:left="3260" w:hanging="1134"/>
      </w:pPr>
      <w:rPr>
        <w:rFonts w:hint="default"/>
      </w:rPr>
    </w:lvl>
    <w:lvl w:ilvl="6" w:tentative="0">
      <w:start w:val="1"/>
      <w:numFmt w:val="decimal"/>
      <w:lvlText w:val="%1.%2.%3.%4.%5.%6.%7"/>
      <w:lvlJc w:val="left"/>
      <w:pPr>
        <w:ind w:left="3827" w:hanging="1276"/>
      </w:pPr>
      <w:rPr>
        <w:rFonts w:hint="default"/>
      </w:rPr>
    </w:lvl>
    <w:lvl w:ilvl="7" w:tentative="0">
      <w:start w:val="1"/>
      <w:numFmt w:val="decimal"/>
      <w:lvlText w:val="%1.%2.%3.%4.%5.%6.%7.%8"/>
      <w:lvlJc w:val="left"/>
      <w:pPr>
        <w:ind w:left="4394" w:hanging="1418"/>
      </w:pPr>
      <w:rPr>
        <w:rFonts w:hint="default"/>
      </w:rPr>
    </w:lvl>
    <w:lvl w:ilvl="8" w:tentative="0">
      <w:start w:val="1"/>
      <w:numFmt w:val="decimal"/>
      <w:lvlText w:val="%1.%2.%3.%4.%5.%6.%7.%8.%9"/>
      <w:lvlJc w:val="left"/>
      <w:pPr>
        <w:ind w:left="5102" w:hanging="1700"/>
      </w:pPr>
      <w:rPr>
        <w:rFonts w:hint="default"/>
      </w:rPr>
    </w:lvl>
  </w:abstractNum>
  <w:abstractNum w:abstractNumId="1">
    <w:nsid w:val="01456C26"/>
    <w:multiLevelType w:val="multilevel"/>
    <w:tmpl w:val="01456C26"/>
    <w:lvl w:ilvl="0" w:tentative="0">
      <w:start w:val="1"/>
      <w:numFmt w:val="decimal"/>
      <w:lvlText w:val="%1"/>
      <w:lvlJc w:val="left"/>
      <w:pPr>
        <w:ind w:left="425" w:hanging="425"/>
      </w:pPr>
      <w:rPr>
        <w:rFonts w:hint="default"/>
      </w:rPr>
    </w:lvl>
    <w:lvl w:ilvl="1" w:tentative="0">
      <w:start w:val="1"/>
      <w:numFmt w:val="decimal"/>
      <w:lvlText w:val="%1.%2"/>
      <w:lvlJc w:val="left"/>
      <w:pPr>
        <w:ind w:left="992" w:hanging="567"/>
      </w:pPr>
      <w:rPr>
        <w:rFonts w:hint="default"/>
      </w:rPr>
    </w:lvl>
    <w:lvl w:ilvl="2" w:tentative="0">
      <w:start w:val="1"/>
      <w:numFmt w:val="decimal"/>
      <w:lvlText w:val="%1.%2.%3"/>
      <w:lvlJc w:val="left"/>
      <w:pPr>
        <w:ind w:left="1418" w:hanging="567"/>
      </w:pPr>
      <w:rPr>
        <w:rFonts w:hint="default"/>
        <w:b w:val="0"/>
        <w:bCs/>
      </w:rPr>
    </w:lvl>
    <w:lvl w:ilvl="3" w:tentative="0">
      <w:start w:val="1"/>
      <w:numFmt w:val="decimal"/>
      <w:lvlText w:val="%1.%2.%3.%4"/>
      <w:lvlJc w:val="left"/>
      <w:pPr>
        <w:ind w:left="1984" w:hanging="708"/>
      </w:pPr>
      <w:rPr>
        <w:rFonts w:hint="default"/>
      </w:rPr>
    </w:lvl>
    <w:lvl w:ilvl="4" w:tentative="0">
      <w:start w:val="1"/>
      <w:numFmt w:val="decimal"/>
      <w:lvlText w:val="%1.%2.%3.%4.%5"/>
      <w:lvlJc w:val="left"/>
      <w:pPr>
        <w:ind w:left="2551" w:hanging="850"/>
      </w:pPr>
      <w:rPr>
        <w:rFonts w:hint="default"/>
      </w:rPr>
    </w:lvl>
    <w:lvl w:ilvl="5" w:tentative="0">
      <w:start w:val="1"/>
      <w:numFmt w:val="decimal"/>
      <w:lvlText w:val="%1.%2.%3.%4.%5.%6"/>
      <w:lvlJc w:val="left"/>
      <w:pPr>
        <w:ind w:left="3260" w:hanging="1134"/>
      </w:pPr>
      <w:rPr>
        <w:rFonts w:hint="default"/>
      </w:rPr>
    </w:lvl>
    <w:lvl w:ilvl="6" w:tentative="0">
      <w:start w:val="1"/>
      <w:numFmt w:val="decimal"/>
      <w:lvlText w:val="%1.%2.%3.%4.%5.%6.%7"/>
      <w:lvlJc w:val="left"/>
      <w:pPr>
        <w:ind w:left="3827" w:hanging="1276"/>
      </w:pPr>
      <w:rPr>
        <w:rFonts w:hint="default"/>
      </w:rPr>
    </w:lvl>
    <w:lvl w:ilvl="7" w:tentative="0">
      <w:start w:val="1"/>
      <w:numFmt w:val="decimal"/>
      <w:lvlText w:val="%1.%2.%3.%4.%5.%6.%7.%8"/>
      <w:lvlJc w:val="left"/>
      <w:pPr>
        <w:ind w:left="4394" w:hanging="1418"/>
      </w:pPr>
      <w:rPr>
        <w:rFonts w:hint="default"/>
      </w:rPr>
    </w:lvl>
    <w:lvl w:ilvl="8" w:tentative="0">
      <w:start w:val="1"/>
      <w:numFmt w:val="decimal"/>
      <w:lvlText w:val="%1.%2.%3.%4.%5.%6.%7.%8.%9"/>
      <w:lvlJc w:val="left"/>
      <w:pPr>
        <w:ind w:left="5102" w:hanging="1700"/>
      </w:pPr>
      <w:rPr>
        <w:rFonts w:hint="default"/>
      </w:rPr>
    </w:lvl>
  </w:abstractNum>
  <w:abstractNum w:abstractNumId="2">
    <w:nsid w:val="12614FB6"/>
    <w:multiLevelType w:val="multilevel"/>
    <w:tmpl w:val="12614FB6"/>
    <w:lvl w:ilvl="0" w:tentative="0">
      <w:start w:val="1"/>
      <w:numFmt w:val="decimal"/>
      <w:lvlText w:val="%1"/>
      <w:lvlJc w:val="left"/>
      <w:pPr>
        <w:ind w:left="425" w:hanging="425"/>
      </w:pPr>
      <w:rPr>
        <w:rFonts w:hint="default"/>
      </w:rPr>
    </w:lvl>
    <w:lvl w:ilvl="1" w:tentative="0">
      <w:start w:val="1"/>
      <w:numFmt w:val="decimal"/>
      <w:lvlText w:val="%1.%2"/>
      <w:lvlJc w:val="left"/>
      <w:pPr>
        <w:ind w:left="992" w:hanging="567"/>
      </w:pPr>
      <w:rPr>
        <w:rFonts w:hint="default"/>
      </w:rPr>
    </w:lvl>
    <w:lvl w:ilvl="2" w:tentative="0">
      <w:start w:val="1"/>
      <w:numFmt w:val="decimal"/>
      <w:lvlText w:val="%1.%2.%3"/>
      <w:lvlJc w:val="left"/>
      <w:pPr>
        <w:ind w:left="1418" w:hanging="567"/>
      </w:pPr>
      <w:rPr>
        <w:rFonts w:hint="default"/>
      </w:rPr>
    </w:lvl>
    <w:lvl w:ilvl="3" w:tentative="0">
      <w:start w:val="1"/>
      <w:numFmt w:val="decimal"/>
      <w:lvlText w:val="%1.%2.%3.%4"/>
      <w:lvlJc w:val="left"/>
      <w:pPr>
        <w:ind w:left="1984" w:hanging="708"/>
      </w:pPr>
      <w:rPr>
        <w:rFonts w:hint="default"/>
      </w:rPr>
    </w:lvl>
    <w:lvl w:ilvl="4" w:tentative="0">
      <w:start w:val="1"/>
      <w:numFmt w:val="decimal"/>
      <w:lvlText w:val="%1.%2.%3.%4.%5"/>
      <w:lvlJc w:val="left"/>
      <w:pPr>
        <w:ind w:left="2551" w:hanging="850"/>
      </w:pPr>
      <w:rPr>
        <w:rFonts w:hint="default"/>
      </w:rPr>
    </w:lvl>
    <w:lvl w:ilvl="5" w:tentative="0">
      <w:start w:val="1"/>
      <w:numFmt w:val="decimal"/>
      <w:lvlText w:val="%1.%2.%3.%4.%5.%6"/>
      <w:lvlJc w:val="left"/>
      <w:pPr>
        <w:ind w:left="3260" w:hanging="1134"/>
      </w:pPr>
      <w:rPr>
        <w:rFonts w:hint="default"/>
      </w:rPr>
    </w:lvl>
    <w:lvl w:ilvl="6" w:tentative="0">
      <w:start w:val="1"/>
      <w:numFmt w:val="decimal"/>
      <w:lvlText w:val="%1.%2.%3.%4.%5.%6.%7"/>
      <w:lvlJc w:val="left"/>
      <w:pPr>
        <w:ind w:left="3827" w:hanging="1276"/>
      </w:pPr>
      <w:rPr>
        <w:rFonts w:hint="default"/>
      </w:rPr>
    </w:lvl>
    <w:lvl w:ilvl="7" w:tentative="0">
      <w:start w:val="1"/>
      <w:numFmt w:val="decimal"/>
      <w:lvlText w:val="%1.%2.%3.%4.%5.%6.%7.%8"/>
      <w:lvlJc w:val="left"/>
      <w:pPr>
        <w:ind w:left="4394" w:hanging="1418"/>
      </w:pPr>
      <w:rPr>
        <w:rFonts w:hint="default"/>
      </w:rPr>
    </w:lvl>
    <w:lvl w:ilvl="8" w:tentative="0">
      <w:start w:val="1"/>
      <w:numFmt w:val="decimal"/>
      <w:lvlText w:val="%1.%2.%3.%4.%5.%6.%7.%8.%9"/>
      <w:lvlJc w:val="left"/>
      <w:pPr>
        <w:ind w:left="5102" w:hanging="1700"/>
      </w:pPr>
      <w:rPr>
        <w:rFonts w:hint="default"/>
      </w:rPr>
    </w:lvl>
  </w:abstractNum>
  <w:abstractNum w:abstractNumId="3">
    <w:nsid w:val="167C0E38"/>
    <w:multiLevelType w:val="singleLevel"/>
    <w:tmpl w:val="167C0E38"/>
    <w:lvl w:ilvl="0" w:tentative="0">
      <w:start w:val="1"/>
      <w:numFmt w:val="decimal"/>
      <w:suff w:val="nothing"/>
      <w:lvlText w:val="（%1）"/>
      <w:lvlJc w:val="left"/>
      <w:rPr>
        <w:rFonts w:hint="default" w:ascii="Times New Roman" w:hAnsi="Times New Roman" w:cs="Times New Roman"/>
        <w:color w:val="auto"/>
        <w:sz w:val="32"/>
        <w:szCs w:val="32"/>
      </w:rPr>
    </w:lvl>
  </w:abstractNum>
  <w:abstractNum w:abstractNumId="4">
    <w:nsid w:val="42A626D1"/>
    <w:multiLevelType w:val="multilevel"/>
    <w:tmpl w:val="42A626D1"/>
    <w:lvl w:ilvl="0" w:tentative="0">
      <w:start w:val="1"/>
      <w:numFmt w:val="decimal"/>
      <w:lvlText w:val="%1"/>
      <w:lvlJc w:val="left"/>
      <w:pPr>
        <w:ind w:left="425" w:hanging="425"/>
      </w:pPr>
      <w:rPr>
        <w:rFonts w:hint="default"/>
      </w:rPr>
    </w:lvl>
    <w:lvl w:ilvl="1" w:tentative="0">
      <w:start w:val="1"/>
      <w:numFmt w:val="decimal"/>
      <w:lvlText w:val="%1.%2"/>
      <w:lvlJc w:val="left"/>
      <w:pPr>
        <w:ind w:left="992" w:hanging="567"/>
      </w:pPr>
      <w:rPr>
        <w:rFonts w:hint="default"/>
      </w:rPr>
    </w:lvl>
    <w:lvl w:ilvl="2" w:tentative="0">
      <w:start w:val="1"/>
      <w:numFmt w:val="decimal"/>
      <w:lvlText w:val="%1.%2.%3"/>
      <w:lvlJc w:val="left"/>
      <w:pPr>
        <w:ind w:left="1418" w:hanging="567"/>
      </w:pPr>
      <w:rPr>
        <w:rFonts w:hint="default"/>
      </w:rPr>
    </w:lvl>
    <w:lvl w:ilvl="3" w:tentative="0">
      <w:start w:val="1"/>
      <w:numFmt w:val="decimal"/>
      <w:lvlText w:val="%1.%2.%3.%4"/>
      <w:lvlJc w:val="left"/>
      <w:pPr>
        <w:ind w:left="1984" w:hanging="708"/>
      </w:pPr>
      <w:rPr>
        <w:rFonts w:hint="default"/>
      </w:rPr>
    </w:lvl>
    <w:lvl w:ilvl="4" w:tentative="0">
      <w:start w:val="1"/>
      <w:numFmt w:val="decimal"/>
      <w:lvlText w:val="%1.%2.%3.%4.%5"/>
      <w:lvlJc w:val="left"/>
      <w:pPr>
        <w:ind w:left="2551" w:hanging="850"/>
      </w:pPr>
      <w:rPr>
        <w:rFonts w:hint="default"/>
      </w:rPr>
    </w:lvl>
    <w:lvl w:ilvl="5" w:tentative="0">
      <w:start w:val="1"/>
      <w:numFmt w:val="decimal"/>
      <w:lvlText w:val="%1.%2.%3.%4.%5.%6"/>
      <w:lvlJc w:val="left"/>
      <w:pPr>
        <w:ind w:left="3260" w:hanging="1134"/>
      </w:pPr>
      <w:rPr>
        <w:rFonts w:hint="default"/>
      </w:rPr>
    </w:lvl>
    <w:lvl w:ilvl="6" w:tentative="0">
      <w:start w:val="1"/>
      <w:numFmt w:val="decimal"/>
      <w:lvlText w:val="%1.%2.%3.%4.%5.%6.%7"/>
      <w:lvlJc w:val="left"/>
      <w:pPr>
        <w:ind w:left="3827" w:hanging="1276"/>
      </w:pPr>
      <w:rPr>
        <w:rFonts w:hint="default"/>
      </w:rPr>
    </w:lvl>
    <w:lvl w:ilvl="7" w:tentative="0">
      <w:start w:val="1"/>
      <w:numFmt w:val="decimal"/>
      <w:lvlText w:val="%1.%2.%3.%4.%5.%6.%7.%8"/>
      <w:lvlJc w:val="left"/>
      <w:pPr>
        <w:ind w:left="4394" w:hanging="1418"/>
      </w:pPr>
      <w:rPr>
        <w:rFonts w:hint="default"/>
      </w:rPr>
    </w:lvl>
    <w:lvl w:ilvl="8" w:tentative="0">
      <w:start w:val="1"/>
      <w:numFmt w:val="decimal"/>
      <w:lvlText w:val="%1.%2.%3.%4.%5.%6.%7.%8.%9"/>
      <w:lvlJc w:val="left"/>
      <w:pPr>
        <w:ind w:left="5102" w:hanging="1700"/>
      </w:pPr>
      <w:rPr>
        <w:rFonts w:hint="default"/>
      </w:rPr>
    </w:lvl>
  </w:abstractNum>
  <w:num w:numId="1">
    <w:abstractNumId w:val="0"/>
  </w:num>
  <w:num w:numId="2">
    <w:abstractNumId w:val="1"/>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evenAndOddHeaders w:val="1"/>
  <w:drawingGridHorizontalSpacing w:val="158"/>
  <w:drawingGridVerticalSpacing w:val="57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NhMzRhM2RjY2JiNjgwY2JkZDlkODE2NDhmNGRiODgifQ=="/>
  </w:docVars>
  <w:rsids>
    <w:rsidRoot w:val="37E63717"/>
    <w:rsid w:val="000077AB"/>
    <w:rsid w:val="000118B9"/>
    <w:rsid w:val="000126C1"/>
    <w:rsid w:val="000208D3"/>
    <w:rsid w:val="00021F77"/>
    <w:rsid w:val="00022C0C"/>
    <w:rsid w:val="00027307"/>
    <w:rsid w:val="000334D4"/>
    <w:rsid w:val="00041368"/>
    <w:rsid w:val="000455B2"/>
    <w:rsid w:val="000475D5"/>
    <w:rsid w:val="0005380F"/>
    <w:rsid w:val="00062FAF"/>
    <w:rsid w:val="000657AA"/>
    <w:rsid w:val="00065C2C"/>
    <w:rsid w:val="000859CB"/>
    <w:rsid w:val="0009789C"/>
    <w:rsid w:val="000A2099"/>
    <w:rsid w:val="000A250D"/>
    <w:rsid w:val="000A5C9F"/>
    <w:rsid w:val="000B491C"/>
    <w:rsid w:val="000E2C16"/>
    <w:rsid w:val="000E5206"/>
    <w:rsid w:val="000F1847"/>
    <w:rsid w:val="000F1DF9"/>
    <w:rsid w:val="000F3DB8"/>
    <w:rsid w:val="000F4509"/>
    <w:rsid w:val="000F533D"/>
    <w:rsid w:val="00103716"/>
    <w:rsid w:val="0010463C"/>
    <w:rsid w:val="00126682"/>
    <w:rsid w:val="00134767"/>
    <w:rsid w:val="00141409"/>
    <w:rsid w:val="001463F0"/>
    <w:rsid w:val="001479BA"/>
    <w:rsid w:val="00160D27"/>
    <w:rsid w:val="0016216F"/>
    <w:rsid w:val="00174775"/>
    <w:rsid w:val="001807B6"/>
    <w:rsid w:val="0018764F"/>
    <w:rsid w:val="00192767"/>
    <w:rsid w:val="00196BA3"/>
    <w:rsid w:val="001A0355"/>
    <w:rsid w:val="001A5AA0"/>
    <w:rsid w:val="001A650F"/>
    <w:rsid w:val="001A6FD5"/>
    <w:rsid w:val="001B7E62"/>
    <w:rsid w:val="001C207F"/>
    <w:rsid w:val="001C29E4"/>
    <w:rsid w:val="001C3A3E"/>
    <w:rsid w:val="001C5CA1"/>
    <w:rsid w:val="001D72A8"/>
    <w:rsid w:val="0020174F"/>
    <w:rsid w:val="00202345"/>
    <w:rsid w:val="0020559E"/>
    <w:rsid w:val="002111BC"/>
    <w:rsid w:val="00220E16"/>
    <w:rsid w:val="00224D14"/>
    <w:rsid w:val="002321BA"/>
    <w:rsid w:val="0023229D"/>
    <w:rsid w:val="0023317C"/>
    <w:rsid w:val="00237730"/>
    <w:rsid w:val="00237775"/>
    <w:rsid w:val="00240C3E"/>
    <w:rsid w:val="002410AC"/>
    <w:rsid w:val="00241C1B"/>
    <w:rsid w:val="00243BA3"/>
    <w:rsid w:val="00246672"/>
    <w:rsid w:val="00250B90"/>
    <w:rsid w:val="002527BD"/>
    <w:rsid w:val="00254388"/>
    <w:rsid w:val="00254555"/>
    <w:rsid w:val="00256B9B"/>
    <w:rsid w:val="00260297"/>
    <w:rsid w:val="00263613"/>
    <w:rsid w:val="00276001"/>
    <w:rsid w:val="00280FEE"/>
    <w:rsid w:val="0028265D"/>
    <w:rsid w:val="00285434"/>
    <w:rsid w:val="00291E3F"/>
    <w:rsid w:val="00294B8C"/>
    <w:rsid w:val="002A22CE"/>
    <w:rsid w:val="002A3E6B"/>
    <w:rsid w:val="002A67BB"/>
    <w:rsid w:val="002A7882"/>
    <w:rsid w:val="002B05A2"/>
    <w:rsid w:val="002B4E10"/>
    <w:rsid w:val="002C4B61"/>
    <w:rsid w:val="002D6F21"/>
    <w:rsid w:val="002F037C"/>
    <w:rsid w:val="003044CC"/>
    <w:rsid w:val="003049C1"/>
    <w:rsid w:val="00305E83"/>
    <w:rsid w:val="0030642D"/>
    <w:rsid w:val="00307F96"/>
    <w:rsid w:val="00316809"/>
    <w:rsid w:val="003221ED"/>
    <w:rsid w:val="00322379"/>
    <w:rsid w:val="00332923"/>
    <w:rsid w:val="00346403"/>
    <w:rsid w:val="0035120C"/>
    <w:rsid w:val="00361C7A"/>
    <w:rsid w:val="00371CAD"/>
    <w:rsid w:val="00373304"/>
    <w:rsid w:val="003827EF"/>
    <w:rsid w:val="00384A5D"/>
    <w:rsid w:val="00393154"/>
    <w:rsid w:val="003A2B3D"/>
    <w:rsid w:val="003B0253"/>
    <w:rsid w:val="003B60A7"/>
    <w:rsid w:val="003B6C28"/>
    <w:rsid w:val="003C1BCC"/>
    <w:rsid w:val="003C480A"/>
    <w:rsid w:val="003C4BB2"/>
    <w:rsid w:val="003D2CF3"/>
    <w:rsid w:val="003D32F9"/>
    <w:rsid w:val="003D54A4"/>
    <w:rsid w:val="003D7297"/>
    <w:rsid w:val="003E4E4A"/>
    <w:rsid w:val="003E7D9E"/>
    <w:rsid w:val="003E7F54"/>
    <w:rsid w:val="003F1321"/>
    <w:rsid w:val="003F5C0A"/>
    <w:rsid w:val="003F7544"/>
    <w:rsid w:val="003F7FAC"/>
    <w:rsid w:val="00413E98"/>
    <w:rsid w:val="00414DA6"/>
    <w:rsid w:val="00416BD1"/>
    <w:rsid w:val="00421A1D"/>
    <w:rsid w:val="004232AC"/>
    <w:rsid w:val="00423E5F"/>
    <w:rsid w:val="00425A23"/>
    <w:rsid w:val="004413F8"/>
    <w:rsid w:val="00443A56"/>
    <w:rsid w:val="00447BD5"/>
    <w:rsid w:val="00447E46"/>
    <w:rsid w:val="00460115"/>
    <w:rsid w:val="004610B2"/>
    <w:rsid w:val="00463655"/>
    <w:rsid w:val="00466A72"/>
    <w:rsid w:val="00471BF2"/>
    <w:rsid w:val="00472242"/>
    <w:rsid w:val="004728BF"/>
    <w:rsid w:val="00476520"/>
    <w:rsid w:val="00483582"/>
    <w:rsid w:val="00483C25"/>
    <w:rsid w:val="00484578"/>
    <w:rsid w:val="0048641F"/>
    <w:rsid w:val="0049262E"/>
    <w:rsid w:val="00492DDB"/>
    <w:rsid w:val="004A7692"/>
    <w:rsid w:val="004A7F16"/>
    <w:rsid w:val="004B079C"/>
    <w:rsid w:val="004C5638"/>
    <w:rsid w:val="004C642A"/>
    <w:rsid w:val="004D3F4C"/>
    <w:rsid w:val="004D77B7"/>
    <w:rsid w:val="004E6DEF"/>
    <w:rsid w:val="004F09EB"/>
    <w:rsid w:val="004F206F"/>
    <w:rsid w:val="004F2104"/>
    <w:rsid w:val="004F47DA"/>
    <w:rsid w:val="004F4D56"/>
    <w:rsid w:val="00500242"/>
    <w:rsid w:val="00501BD1"/>
    <w:rsid w:val="00513AE5"/>
    <w:rsid w:val="00532A8C"/>
    <w:rsid w:val="00534A8E"/>
    <w:rsid w:val="00540422"/>
    <w:rsid w:val="005405BB"/>
    <w:rsid w:val="005415DB"/>
    <w:rsid w:val="00546E11"/>
    <w:rsid w:val="005644CA"/>
    <w:rsid w:val="0056695D"/>
    <w:rsid w:val="005670EF"/>
    <w:rsid w:val="0056744A"/>
    <w:rsid w:val="0057558E"/>
    <w:rsid w:val="005839E1"/>
    <w:rsid w:val="005B02EB"/>
    <w:rsid w:val="005B1A32"/>
    <w:rsid w:val="005B24C2"/>
    <w:rsid w:val="005B3843"/>
    <w:rsid w:val="005B4B51"/>
    <w:rsid w:val="005B6B46"/>
    <w:rsid w:val="005C3F78"/>
    <w:rsid w:val="005E0D03"/>
    <w:rsid w:val="005E737A"/>
    <w:rsid w:val="005F0776"/>
    <w:rsid w:val="005F1565"/>
    <w:rsid w:val="00601D62"/>
    <w:rsid w:val="00603B59"/>
    <w:rsid w:val="00611F04"/>
    <w:rsid w:val="00620526"/>
    <w:rsid w:val="00622B3E"/>
    <w:rsid w:val="0062331A"/>
    <w:rsid w:val="00626A96"/>
    <w:rsid w:val="00631A6F"/>
    <w:rsid w:val="0063391D"/>
    <w:rsid w:val="00636945"/>
    <w:rsid w:val="006370AD"/>
    <w:rsid w:val="00641A07"/>
    <w:rsid w:val="00641F48"/>
    <w:rsid w:val="0064498B"/>
    <w:rsid w:val="00654742"/>
    <w:rsid w:val="00656E56"/>
    <w:rsid w:val="00663644"/>
    <w:rsid w:val="00664414"/>
    <w:rsid w:val="00665C57"/>
    <w:rsid w:val="0066717C"/>
    <w:rsid w:val="006671E9"/>
    <w:rsid w:val="00667882"/>
    <w:rsid w:val="0067418F"/>
    <w:rsid w:val="006856EF"/>
    <w:rsid w:val="006903F3"/>
    <w:rsid w:val="006A20EC"/>
    <w:rsid w:val="006B3B61"/>
    <w:rsid w:val="006D2089"/>
    <w:rsid w:val="006D62A1"/>
    <w:rsid w:val="006E08B6"/>
    <w:rsid w:val="006E5900"/>
    <w:rsid w:val="006F19FA"/>
    <w:rsid w:val="006F2847"/>
    <w:rsid w:val="007012E2"/>
    <w:rsid w:val="00702DAC"/>
    <w:rsid w:val="00714371"/>
    <w:rsid w:val="00723686"/>
    <w:rsid w:val="00725881"/>
    <w:rsid w:val="00730FE5"/>
    <w:rsid w:val="0073434A"/>
    <w:rsid w:val="00737FC9"/>
    <w:rsid w:val="00755897"/>
    <w:rsid w:val="0076031E"/>
    <w:rsid w:val="00762DF2"/>
    <w:rsid w:val="0076325B"/>
    <w:rsid w:val="007647A6"/>
    <w:rsid w:val="00765209"/>
    <w:rsid w:val="00787024"/>
    <w:rsid w:val="007A0D64"/>
    <w:rsid w:val="007B4D49"/>
    <w:rsid w:val="007B6190"/>
    <w:rsid w:val="007C3AFA"/>
    <w:rsid w:val="007C3FC3"/>
    <w:rsid w:val="007C4EA2"/>
    <w:rsid w:val="007C532F"/>
    <w:rsid w:val="007D035A"/>
    <w:rsid w:val="007D158D"/>
    <w:rsid w:val="007D68CD"/>
    <w:rsid w:val="007E3E20"/>
    <w:rsid w:val="00805559"/>
    <w:rsid w:val="00805F7F"/>
    <w:rsid w:val="00815A7C"/>
    <w:rsid w:val="00820636"/>
    <w:rsid w:val="0082518E"/>
    <w:rsid w:val="00827B91"/>
    <w:rsid w:val="00832AF9"/>
    <w:rsid w:val="00832F17"/>
    <w:rsid w:val="008333CD"/>
    <w:rsid w:val="00834750"/>
    <w:rsid w:val="00835858"/>
    <w:rsid w:val="00836E5E"/>
    <w:rsid w:val="008370D6"/>
    <w:rsid w:val="008402F7"/>
    <w:rsid w:val="00851EE5"/>
    <w:rsid w:val="008520C3"/>
    <w:rsid w:val="0085266F"/>
    <w:rsid w:val="0085701C"/>
    <w:rsid w:val="00863FE1"/>
    <w:rsid w:val="00865070"/>
    <w:rsid w:val="008752B5"/>
    <w:rsid w:val="00875757"/>
    <w:rsid w:val="0088068A"/>
    <w:rsid w:val="008824A1"/>
    <w:rsid w:val="00882926"/>
    <w:rsid w:val="00883C51"/>
    <w:rsid w:val="00884301"/>
    <w:rsid w:val="00884800"/>
    <w:rsid w:val="00891F40"/>
    <w:rsid w:val="00892903"/>
    <w:rsid w:val="00894D29"/>
    <w:rsid w:val="008958A0"/>
    <w:rsid w:val="008A5085"/>
    <w:rsid w:val="008B20BA"/>
    <w:rsid w:val="008C446F"/>
    <w:rsid w:val="008D5A1D"/>
    <w:rsid w:val="008E016A"/>
    <w:rsid w:val="008E1E05"/>
    <w:rsid w:val="008F5036"/>
    <w:rsid w:val="009147A7"/>
    <w:rsid w:val="00921007"/>
    <w:rsid w:val="009312E2"/>
    <w:rsid w:val="00932F19"/>
    <w:rsid w:val="00935C73"/>
    <w:rsid w:val="00941A9C"/>
    <w:rsid w:val="00945360"/>
    <w:rsid w:val="009458A5"/>
    <w:rsid w:val="009540D1"/>
    <w:rsid w:val="00963442"/>
    <w:rsid w:val="009641C8"/>
    <w:rsid w:val="009652EC"/>
    <w:rsid w:val="00975497"/>
    <w:rsid w:val="009835C9"/>
    <w:rsid w:val="00983FEA"/>
    <w:rsid w:val="009A2675"/>
    <w:rsid w:val="009A3085"/>
    <w:rsid w:val="009A479B"/>
    <w:rsid w:val="009A6D17"/>
    <w:rsid w:val="009B4955"/>
    <w:rsid w:val="009C05B9"/>
    <w:rsid w:val="009C5AD7"/>
    <w:rsid w:val="009E62DD"/>
    <w:rsid w:val="009F2BA7"/>
    <w:rsid w:val="009F3AC7"/>
    <w:rsid w:val="009F429F"/>
    <w:rsid w:val="009F532A"/>
    <w:rsid w:val="009F63C4"/>
    <w:rsid w:val="00A001BD"/>
    <w:rsid w:val="00A03374"/>
    <w:rsid w:val="00A05A1F"/>
    <w:rsid w:val="00A115C1"/>
    <w:rsid w:val="00A1386A"/>
    <w:rsid w:val="00A16104"/>
    <w:rsid w:val="00A21D51"/>
    <w:rsid w:val="00A41096"/>
    <w:rsid w:val="00A44FD3"/>
    <w:rsid w:val="00A47675"/>
    <w:rsid w:val="00A51577"/>
    <w:rsid w:val="00A659CE"/>
    <w:rsid w:val="00A766B3"/>
    <w:rsid w:val="00A77D6A"/>
    <w:rsid w:val="00A8316A"/>
    <w:rsid w:val="00A86D54"/>
    <w:rsid w:val="00A92583"/>
    <w:rsid w:val="00A93F78"/>
    <w:rsid w:val="00A97502"/>
    <w:rsid w:val="00AA1A66"/>
    <w:rsid w:val="00AB0A89"/>
    <w:rsid w:val="00AB59FF"/>
    <w:rsid w:val="00AB6AAF"/>
    <w:rsid w:val="00AB7211"/>
    <w:rsid w:val="00AC06E5"/>
    <w:rsid w:val="00AC5825"/>
    <w:rsid w:val="00AC7F6E"/>
    <w:rsid w:val="00AE1CD4"/>
    <w:rsid w:val="00AE430D"/>
    <w:rsid w:val="00AF208F"/>
    <w:rsid w:val="00AF4346"/>
    <w:rsid w:val="00B00740"/>
    <w:rsid w:val="00B01EE8"/>
    <w:rsid w:val="00B0698E"/>
    <w:rsid w:val="00B11037"/>
    <w:rsid w:val="00B15211"/>
    <w:rsid w:val="00B238F2"/>
    <w:rsid w:val="00B338F7"/>
    <w:rsid w:val="00B34F6B"/>
    <w:rsid w:val="00B36B60"/>
    <w:rsid w:val="00B45F6B"/>
    <w:rsid w:val="00B520FC"/>
    <w:rsid w:val="00B52B75"/>
    <w:rsid w:val="00B5360B"/>
    <w:rsid w:val="00B55FDB"/>
    <w:rsid w:val="00B56E3F"/>
    <w:rsid w:val="00B60755"/>
    <w:rsid w:val="00B639F2"/>
    <w:rsid w:val="00B8242C"/>
    <w:rsid w:val="00B85F6B"/>
    <w:rsid w:val="00BA6805"/>
    <w:rsid w:val="00BB43C2"/>
    <w:rsid w:val="00BB7E8E"/>
    <w:rsid w:val="00BC0FA9"/>
    <w:rsid w:val="00BC25A0"/>
    <w:rsid w:val="00BC72A3"/>
    <w:rsid w:val="00BD5BA6"/>
    <w:rsid w:val="00BD7111"/>
    <w:rsid w:val="00BE13AD"/>
    <w:rsid w:val="00BE29B1"/>
    <w:rsid w:val="00BE3E86"/>
    <w:rsid w:val="00BE4BAB"/>
    <w:rsid w:val="00BF1A4D"/>
    <w:rsid w:val="00BF1FD9"/>
    <w:rsid w:val="00C0768A"/>
    <w:rsid w:val="00C17760"/>
    <w:rsid w:val="00C23685"/>
    <w:rsid w:val="00C251DE"/>
    <w:rsid w:val="00C271DC"/>
    <w:rsid w:val="00C27B17"/>
    <w:rsid w:val="00C35040"/>
    <w:rsid w:val="00C422C0"/>
    <w:rsid w:val="00C4259E"/>
    <w:rsid w:val="00C4302E"/>
    <w:rsid w:val="00C4774E"/>
    <w:rsid w:val="00C5430A"/>
    <w:rsid w:val="00C54763"/>
    <w:rsid w:val="00C56C58"/>
    <w:rsid w:val="00C62BB6"/>
    <w:rsid w:val="00C707C6"/>
    <w:rsid w:val="00C734FE"/>
    <w:rsid w:val="00C73B13"/>
    <w:rsid w:val="00C741A8"/>
    <w:rsid w:val="00C74333"/>
    <w:rsid w:val="00C74BF1"/>
    <w:rsid w:val="00C765AB"/>
    <w:rsid w:val="00C81B55"/>
    <w:rsid w:val="00C84B2D"/>
    <w:rsid w:val="00C8622C"/>
    <w:rsid w:val="00C87FAD"/>
    <w:rsid w:val="00C9450A"/>
    <w:rsid w:val="00C94B76"/>
    <w:rsid w:val="00CA7A5B"/>
    <w:rsid w:val="00CB2653"/>
    <w:rsid w:val="00CB5479"/>
    <w:rsid w:val="00CC09E9"/>
    <w:rsid w:val="00CE3D97"/>
    <w:rsid w:val="00CE568E"/>
    <w:rsid w:val="00CE6B0B"/>
    <w:rsid w:val="00CF0FE5"/>
    <w:rsid w:val="00CF1668"/>
    <w:rsid w:val="00CF1FC9"/>
    <w:rsid w:val="00CF2885"/>
    <w:rsid w:val="00CF520B"/>
    <w:rsid w:val="00CF5C2B"/>
    <w:rsid w:val="00CF7783"/>
    <w:rsid w:val="00D16590"/>
    <w:rsid w:val="00D16CE4"/>
    <w:rsid w:val="00D171AC"/>
    <w:rsid w:val="00D17915"/>
    <w:rsid w:val="00D25687"/>
    <w:rsid w:val="00D27DF0"/>
    <w:rsid w:val="00D32CC5"/>
    <w:rsid w:val="00D339DA"/>
    <w:rsid w:val="00D419F3"/>
    <w:rsid w:val="00D41EA4"/>
    <w:rsid w:val="00D5660E"/>
    <w:rsid w:val="00D6428F"/>
    <w:rsid w:val="00D82EEB"/>
    <w:rsid w:val="00D84E0D"/>
    <w:rsid w:val="00D95046"/>
    <w:rsid w:val="00DA6AF2"/>
    <w:rsid w:val="00DB0908"/>
    <w:rsid w:val="00DB0AF9"/>
    <w:rsid w:val="00DC5C3A"/>
    <w:rsid w:val="00DD1245"/>
    <w:rsid w:val="00DF621D"/>
    <w:rsid w:val="00E06CF7"/>
    <w:rsid w:val="00E10535"/>
    <w:rsid w:val="00E11ED6"/>
    <w:rsid w:val="00E15C73"/>
    <w:rsid w:val="00E16744"/>
    <w:rsid w:val="00E261AA"/>
    <w:rsid w:val="00E26BBC"/>
    <w:rsid w:val="00E37EFB"/>
    <w:rsid w:val="00E4240B"/>
    <w:rsid w:val="00E42AD4"/>
    <w:rsid w:val="00E50F86"/>
    <w:rsid w:val="00E51018"/>
    <w:rsid w:val="00E612B6"/>
    <w:rsid w:val="00E64E5D"/>
    <w:rsid w:val="00E77615"/>
    <w:rsid w:val="00EA0570"/>
    <w:rsid w:val="00EA2284"/>
    <w:rsid w:val="00EC08FE"/>
    <w:rsid w:val="00EC106F"/>
    <w:rsid w:val="00EC303A"/>
    <w:rsid w:val="00EC5F6C"/>
    <w:rsid w:val="00ED562C"/>
    <w:rsid w:val="00EE7AC4"/>
    <w:rsid w:val="00EF1784"/>
    <w:rsid w:val="00EF4050"/>
    <w:rsid w:val="00F022EB"/>
    <w:rsid w:val="00F07F0B"/>
    <w:rsid w:val="00F167D9"/>
    <w:rsid w:val="00F40684"/>
    <w:rsid w:val="00F47C34"/>
    <w:rsid w:val="00F532A5"/>
    <w:rsid w:val="00F60E29"/>
    <w:rsid w:val="00F65734"/>
    <w:rsid w:val="00F66CE0"/>
    <w:rsid w:val="00F71047"/>
    <w:rsid w:val="00F72A8F"/>
    <w:rsid w:val="00F77990"/>
    <w:rsid w:val="00F810F9"/>
    <w:rsid w:val="00F82090"/>
    <w:rsid w:val="00F85129"/>
    <w:rsid w:val="00F85F4C"/>
    <w:rsid w:val="00F9482D"/>
    <w:rsid w:val="00F966FC"/>
    <w:rsid w:val="00FA324C"/>
    <w:rsid w:val="00FB5898"/>
    <w:rsid w:val="00FC0535"/>
    <w:rsid w:val="00FC069A"/>
    <w:rsid w:val="00FC0E6B"/>
    <w:rsid w:val="00FC2B69"/>
    <w:rsid w:val="00FD3489"/>
    <w:rsid w:val="00FD7735"/>
    <w:rsid w:val="00FD7CC3"/>
    <w:rsid w:val="00FE2EED"/>
    <w:rsid w:val="00FE3C43"/>
    <w:rsid w:val="00FE572F"/>
    <w:rsid w:val="00FE6781"/>
    <w:rsid w:val="00FF131F"/>
    <w:rsid w:val="00FF4186"/>
    <w:rsid w:val="01166FB0"/>
    <w:rsid w:val="01D542D8"/>
    <w:rsid w:val="0495654C"/>
    <w:rsid w:val="06BC300A"/>
    <w:rsid w:val="06F85085"/>
    <w:rsid w:val="077F8F06"/>
    <w:rsid w:val="08F572B7"/>
    <w:rsid w:val="0AC466F9"/>
    <w:rsid w:val="0B231A80"/>
    <w:rsid w:val="0B293A5F"/>
    <w:rsid w:val="0BA932B6"/>
    <w:rsid w:val="0BD92B5F"/>
    <w:rsid w:val="0C183504"/>
    <w:rsid w:val="0EC00B7E"/>
    <w:rsid w:val="0F270745"/>
    <w:rsid w:val="11DC1312"/>
    <w:rsid w:val="12AF0CEE"/>
    <w:rsid w:val="12AF4A19"/>
    <w:rsid w:val="140B63F8"/>
    <w:rsid w:val="144162BD"/>
    <w:rsid w:val="161271C4"/>
    <w:rsid w:val="163D4862"/>
    <w:rsid w:val="16551BAC"/>
    <w:rsid w:val="16CA7FD7"/>
    <w:rsid w:val="176D1E41"/>
    <w:rsid w:val="1AB8095B"/>
    <w:rsid w:val="1B351FAC"/>
    <w:rsid w:val="1D5015F2"/>
    <w:rsid w:val="1DD71411"/>
    <w:rsid w:val="1E761259"/>
    <w:rsid w:val="1F5E2DCD"/>
    <w:rsid w:val="21380A48"/>
    <w:rsid w:val="216772AB"/>
    <w:rsid w:val="21F11323"/>
    <w:rsid w:val="22126346"/>
    <w:rsid w:val="23E12CD1"/>
    <w:rsid w:val="23E66539"/>
    <w:rsid w:val="248A0886"/>
    <w:rsid w:val="25070281"/>
    <w:rsid w:val="25A14E0E"/>
    <w:rsid w:val="26867B60"/>
    <w:rsid w:val="27206206"/>
    <w:rsid w:val="27AF30E6"/>
    <w:rsid w:val="28322461"/>
    <w:rsid w:val="28B409B4"/>
    <w:rsid w:val="29DB4FCB"/>
    <w:rsid w:val="2A81520E"/>
    <w:rsid w:val="2BD90A2D"/>
    <w:rsid w:val="2BEA293F"/>
    <w:rsid w:val="2BFC7ADF"/>
    <w:rsid w:val="2DC7447F"/>
    <w:rsid w:val="2DDF0728"/>
    <w:rsid w:val="2E8614BC"/>
    <w:rsid w:val="2FEFD7B5"/>
    <w:rsid w:val="327613D0"/>
    <w:rsid w:val="340D0DA9"/>
    <w:rsid w:val="3429410A"/>
    <w:rsid w:val="34A8523C"/>
    <w:rsid w:val="35A27870"/>
    <w:rsid w:val="37DFB701"/>
    <w:rsid w:val="37E63717"/>
    <w:rsid w:val="37ED3EE3"/>
    <w:rsid w:val="37FDC86B"/>
    <w:rsid w:val="37FFEFA0"/>
    <w:rsid w:val="39A24859"/>
    <w:rsid w:val="3B35666F"/>
    <w:rsid w:val="3C88242C"/>
    <w:rsid w:val="3CC1149A"/>
    <w:rsid w:val="3CF03B2D"/>
    <w:rsid w:val="3D5E3D80"/>
    <w:rsid w:val="3DCE58E5"/>
    <w:rsid w:val="3E2148E6"/>
    <w:rsid w:val="3E686071"/>
    <w:rsid w:val="3E7406AD"/>
    <w:rsid w:val="3EDDEF4B"/>
    <w:rsid w:val="3F143DA5"/>
    <w:rsid w:val="3FFFD7F5"/>
    <w:rsid w:val="4126467E"/>
    <w:rsid w:val="41E2438C"/>
    <w:rsid w:val="41E847FA"/>
    <w:rsid w:val="4326474D"/>
    <w:rsid w:val="4352109E"/>
    <w:rsid w:val="439C056B"/>
    <w:rsid w:val="44BF3881"/>
    <w:rsid w:val="45CC0FA9"/>
    <w:rsid w:val="47D5F4D6"/>
    <w:rsid w:val="491F1A22"/>
    <w:rsid w:val="49CD78FE"/>
    <w:rsid w:val="4AD741F3"/>
    <w:rsid w:val="4B895DC1"/>
    <w:rsid w:val="4C856040"/>
    <w:rsid w:val="4CC0176E"/>
    <w:rsid w:val="4D0F117E"/>
    <w:rsid w:val="4E320449"/>
    <w:rsid w:val="4EDC0E13"/>
    <w:rsid w:val="4F5477B1"/>
    <w:rsid w:val="4F6A776F"/>
    <w:rsid w:val="4F6E4DFC"/>
    <w:rsid w:val="4FD115FF"/>
    <w:rsid w:val="51A257BD"/>
    <w:rsid w:val="52120376"/>
    <w:rsid w:val="53FF23FE"/>
    <w:rsid w:val="54041F40"/>
    <w:rsid w:val="552F55CB"/>
    <w:rsid w:val="553B50BE"/>
    <w:rsid w:val="55651104"/>
    <w:rsid w:val="55CE30EB"/>
    <w:rsid w:val="570A1F63"/>
    <w:rsid w:val="579B671D"/>
    <w:rsid w:val="57A12C39"/>
    <w:rsid w:val="57F10A2D"/>
    <w:rsid w:val="582F1556"/>
    <w:rsid w:val="59D2663D"/>
    <w:rsid w:val="59DF4C7D"/>
    <w:rsid w:val="5ABD5937"/>
    <w:rsid w:val="5D8C7639"/>
    <w:rsid w:val="5DDA7DF8"/>
    <w:rsid w:val="5EB70BEA"/>
    <w:rsid w:val="5EDA66BF"/>
    <w:rsid w:val="5F457C85"/>
    <w:rsid w:val="5FDD3B63"/>
    <w:rsid w:val="5FEF619A"/>
    <w:rsid w:val="5FFFDBA5"/>
    <w:rsid w:val="611BB05A"/>
    <w:rsid w:val="62F3376F"/>
    <w:rsid w:val="63D92960"/>
    <w:rsid w:val="63F5294F"/>
    <w:rsid w:val="646A2AD4"/>
    <w:rsid w:val="6516787A"/>
    <w:rsid w:val="65B20B68"/>
    <w:rsid w:val="65F106D4"/>
    <w:rsid w:val="67780823"/>
    <w:rsid w:val="6A1D56B2"/>
    <w:rsid w:val="6A386990"/>
    <w:rsid w:val="6AAE27AE"/>
    <w:rsid w:val="6AE12D9E"/>
    <w:rsid w:val="6AF850DE"/>
    <w:rsid w:val="6B777B09"/>
    <w:rsid w:val="6BFA4F13"/>
    <w:rsid w:val="6C53360D"/>
    <w:rsid w:val="6C6477D4"/>
    <w:rsid w:val="6CAF118B"/>
    <w:rsid w:val="6CBF0CA2"/>
    <w:rsid w:val="6CF33E8C"/>
    <w:rsid w:val="6DA06D26"/>
    <w:rsid w:val="6DFF4626"/>
    <w:rsid w:val="6EFBF422"/>
    <w:rsid w:val="6F54601A"/>
    <w:rsid w:val="6FA44383"/>
    <w:rsid w:val="6FEF7ADD"/>
    <w:rsid w:val="6FEFE335"/>
    <w:rsid w:val="6FFD8470"/>
    <w:rsid w:val="713638AB"/>
    <w:rsid w:val="740F0DD1"/>
    <w:rsid w:val="74D41642"/>
    <w:rsid w:val="7516167C"/>
    <w:rsid w:val="752001A5"/>
    <w:rsid w:val="75AD2286"/>
    <w:rsid w:val="76EA749F"/>
    <w:rsid w:val="77BD06AC"/>
    <w:rsid w:val="77E068AA"/>
    <w:rsid w:val="77E29D27"/>
    <w:rsid w:val="77F7B0CD"/>
    <w:rsid w:val="78834F6C"/>
    <w:rsid w:val="79DFBF4C"/>
    <w:rsid w:val="7B542EFE"/>
    <w:rsid w:val="7B8D0C7E"/>
    <w:rsid w:val="7BED77F7"/>
    <w:rsid w:val="7BF771A2"/>
    <w:rsid w:val="7C4FEE1A"/>
    <w:rsid w:val="7C7730F7"/>
    <w:rsid w:val="7CDB7433"/>
    <w:rsid w:val="7D97164F"/>
    <w:rsid w:val="7DD28C64"/>
    <w:rsid w:val="7DD6A29F"/>
    <w:rsid w:val="7DFB139A"/>
    <w:rsid w:val="7EBECE08"/>
    <w:rsid w:val="7F3DA154"/>
    <w:rsid w:val="7F5DACBA"/>
    <w:rsid w:val="7FCD41AB"/>
    <w:rsid w:val="7FDFAE23"/>
    <w:rsid w:val="7FF079EE"/>
    <w:rsid w:val="95FBB282"/>
    <w:rsid w:val="96B8F9E8"/>
    <w:rsid w:val="9F3B2DA9"/>
    <w:rsid w:val="9F3FC099"/>
    <w:rsid w:val="AE7D9694"/>
    <w:rsid w:val="BCFF5528"/>
    <w:rsid w:val="BDBB175D"/>
    <w:rsid w:val="BEEF5C14"/>
    <w:rsid w:val="BEEF9460"/>
    <w:rsid w:val="BEF51C2C"/>
    <w:rsid w:val="BEF6C044"/>
    <w:rsid w:val="BFAE72ED"/>
    <w:rsid w:val="D3DF5E43"/>
    <w:rsid w:val="D5DDA8C1"/>
    <w:rsid w:val="DE7F4CF8"/>
    <w:rsid w:val="DE8E1E8B"/>
    <w:rsid w:val="DF6B4ADF"/>
    <w:rsid w:val="DFE9459E"/>
    <w:rsid w:val="E33F7595"/>
    <w:rsid w:val="EEA21C01"/>
    <w:rsid w:val="EF7FF77C"/>
    <w:rsid w:val="F3E56A94"/>
    <w:rsid w:val="F3FD1883"/>
    <w:rsid w:val="F57B83F2"/>
    <w:rsid w:val="F6BF194C"/>
    <w:rsid w:val="F6DA4311"/>
    <w:rsid w:val="FBCEA25F"/>
    <w:rsid w:val="FDDFC862"/>
    <w:rsid w:val="FEBF7514"/>
    <w:rsid w:val="FEEFCF98"/>
    <w:rsid w:val="FF3E8C6D"/>
    <w:rsid w:val="FF3FBC18"/>
    <w:rsid w:val="FF8EE681"/>
    <w:rsid w:val="FFBFCEAF"/>
    <w:rsid w:val="FFD5B6BC"/>
    <w:rsid w:val="FFE174EB"/>
    <w:rsid w:val="FFEE5EFB"/>
    <w:rsid w:val="FFFBBC18"/>
    <w:rsid w:val="FFFEAA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iPriority="99"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qFormat="1" w:uiPriority="99"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paragraph" w:styleId="3">
    <w:name w:val="heading 1"/>
    <w:basedOn w:val="1"/>
    <w:next w:val="1"/>
    <w:link w:val="41"/>
    <w:qFormat/>
    <w:uiPriority w:val="9"/>
    <w:pPr>
      <w:keepNext/>
      <w:keepLines/>
      <w:spacing w:before="340" w:after="330" w:line="576" w:lineRule="auto"/>
      <w:outlineLvl w:val="0"/>
    </w:pPr>
    <w:rPr>
      <w:b/>
      <w:kern w:val="44"/>
      <w:sz w:val="44"/>
    </w:rPr>
  </w:style>
  <w:style w:type="paragraph" w:styleId="4">
    <w:name w:val="heading 2"/>
    <w:basedOn w:val="1"/>
    <w:next w:val="1"/>
    <w:link w:val="40"/>
    <w:unhideWhenUsed/>
    <w:qFormat/>
    <w:uiPriority w:val="9"/>
    <w:pPr>
      <w:keepNext/>
      <w:keepLines/>
      <w:spacing w:before="260" w:after="260" w:line="413" w:lineRule="auto"/>
      <w:outlineLvl w:val="1"/>
    </w:pPr>
    <w:rPr>
      <w:rFonts w:ascii="Arial" w:hAnsi="Arial" w:eastAsia="黑体"/>
      <w:b/>
      <w:sz w:val="32"/>
    </w:rPr>
  </w:style>
  <w:style w:type="paragraph" w:styleId="5">
    <w:name w:val="heading 3"/>
    <w:basedOn w:val="1"/>
    <w:next w:val="1"/>
    <w:link w:val="42"/>
    <w:unhideWhenUsed/>
    <w:qFormat/>
    <w:uiPriority w:val="9"/>
    <w:pPr>
      <w:keepNext/>
      <w:keepLines/>
      <w:spacing w:before="260" w:after="260" w:line="413" w:lineRule="auto"/>
      <w:outlineLvl w:val="2"/>
    </w:pPr>
    <w:rPr>
      <w:b/>
      <w:sz w:val="32"/>
    </w:rPr>
  </w:style>
  <w:style w:type="paragraph" w:styleId="6">
    <w:name w:val="heading 4"/>
    <w:basedOn w:val="1"/>
    <w:next w:val="1"/>
    <w:link w:val="47"/>
    <w:unhideWhenUsed/>
    <w:qFormat/>
    <w:uiPriority w:val="9"/>
    <w:pPr>
      <w:autoSpaceDE w:val="0"/>
      <w:autoSpaceDN w:val="0"/>
      <w:spacing w:line="360" w:lineRule="auto"/>
      <w:ind w:firstLine="200" w:firstLineChars="200"/>
      <w:contextualSpacing/>
      <w:jc w:val="left"/>
      <w:outlineLvl w:val="3"/>
    </w:pPr>
    <w:rPr>
      <w:rFonts w:ascii="宋体" w:hAnsi="宋体" w:eastAsia="宋体" w:cs="宋体"/>
      <w:kern w:val="0"/>
      <w:sz w:val="35"/>
      <w:szCs w:val="35"/>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toc 2"/>
    <w:basedOn w:val="1"/>
    <w:next w:val="1"/>
    <w:qFormat/>
    <w:uiPriority w:val="39"/>
    <w:pPr>
      <w:spacing w:line="360" w:lineRule="auto"/>
      <w:ind w:left="420" w:leftChars="200" w:firstLine="561"/>
    </w:pPr>
    <w:rPr>
      <w:rFonts w:ascii="Times New Roman" w:hAnsi="Times New Roman" w:eastAsia="宋体"/>
      <w:sz w:val="28"/>
    </w:rPr>
  </w:style>
  <w:style w:type="paragraph" w:styleId="7">
    <w:name w:val="List 3"/>
    <w:basedOn w:val="1"/>
    <w:next w:val="1"/>
    <w:qFormat/>
    <w:uiPriority w:val="0"/>
    <w:pPr>
      <w:autoSpaceDE w:val="0"/>
      <w:autoSpaceDN w:val="0"/>
      <w:adjustRightInd w:val="0"/>
      <w:spacing w:line="288" w:lineRule="auto"/>
      <w:ind w:left="1260" w:hanging="420" w:firstLineChars="200"/>
      <w:textAlignment w:val="baseline"/>
    </w:pPr>
    <w:rPr>
      <w:rFonts w:ascii="Times New Roman" w:hAnsi="Times New Roman" w:eastAsia="仿宋_GB2312" w:cstheme="minorBidi"/>
      <w:sz w:val="24"/>
    </w:rPr>
  </w:style>
  <w:style w:type="paragraph" w:styleId="8">
    <w:name w:val="E-mail Signature"/>
    <w:basedOn w:val="1"/>
    <w:next w:val="9"/>
    <w:link w:val="49"/>
    <w:unhideWhenUsed/>
    <w:qFormat/>
    <w:uiPriority w:val="99"/>
    <w:pPr>
      <w:spacing w:line="460" w:lineRule="exact"/>
      <w:ind w:firstLine="200" w:firstLineChars="200"/>
    </w:pPr>
    <w:rPr>
      <w:rFonts w:ascii="Times New Roman" w:hAnsi="Times New Roman" w:eastAsia="宋体"/>
      <w:sz w:val="24"/>
    </w:rPr>
  </w:style>
  <w:style w:type="paragraph" w:customStyle="1" w:styleId="9">
    <w:name w:val="文章"/>
    <w:next w:val="10"/>
    <w:qFormat/>
    <w:uiPriority w:val="0"/>
    <w:pPr>
      <w:ind w:firstLine="480"/>
      <w:jc w:val="center"/>
    </w:pPr>
    <w:rPr>
      <w:rFonts w:ascii="Times New Roman" w:hAnsi="Times New Roman" w:eastAsia="宋体" w:cs="Times New Roman"/>
      <w:kern w:val="2"/>
      <w:sz w:val="26"/>
      <w:szCs w:val="22"/>
      <w:lang w:val="en-US" w:eastAsia="zh-CN" w:bidi="ar-SA"/>
    </w:rPr>
  </w:style>
  <w:style w:type="paragraph" w:styleId="10">
    <w:name w:val="List"/>
    <w:basedOn w:val="1"/>
    <w:next w:val="1"/>
    <w:qFormat/>
    <w:uiPriority w:val="0"/>
    <w:pPr>
      <w:spacing w:line="360" w:lineRule="auto"/>
      <w:ind w:left="200" w:hanging="200" w:hangingChars="200"/>
    </w:pPr>
    <w:rPr>
      <w:rFonts w:ascii="Times New Roman" w:hAnsi="Times New Roman" w:eastAsia="宋体"/>
      <w:sz w:val="24"/>
      <w:szCs w:val="20"/>
    </w:rPr>
  </w:style>
  <w:style w:type="paragraph" w:styleId="11">
    <w:name w:val="Normal Indent"/>
    <w:basedOn w:val="1"/>
    <w:next w:val="12"/>
    <w:qFormat/>
    <w:uiPriority w:val="0"/>
    <w:pPr>
      <w:spacing w:line="360" w:lineRule="auto"/>
      <w:ind w:firstLine="420" w:firstLineChars="200"/>
    </w:pPr>
    <w:rPr>
      <w:rFonts w:ascii="Times New Roman" w:hAnsi="Times New Roman" w:eastAsia="宋体"/>
      <w:sz w:val="24"/>
    </w:rPr>
  </w:style>
  <w:style w:type="paragraph" w:styleId="12">
    <w:name w:val="toc 1"/>
    <w:basedOn w:val="1"/>
    <w:next w:val="1"/>
    <w:qFormat/>
    <w:uiPriority w:val="39"/>
  </w:style>
  <w:style w:type="paragraph" w:styleId="13">
    <w:name w:val="caption"/>
    <w:basedOn w:val="1"/>
    <w:next w:val="1"/>
    <w:unhideWhenUsed/>
    <w:qFormat/>
    <w:uiPriority w:val="0"/>
    <w:pPr>
      <w:spacing w:line="360" w:lineRule="auto"/>
      <w:jc w:val="center"/>
    </w:pPr>
    <w:rPr>
      <w:rFonts w:ascii="Times New Roman" w:hAnsi="Times New Roman" w:eastAsia="仿宋_GB2312"/>
      <w:sz w:val="28"/>
    </w:rPr>
  </w:style>
  <w:style w:type="paragraph" w:styleId="14">
    <w:name w:val="annotation text"/>
    <w:basedOn w:val="1"/>
    <w:link w:val="57"/>
    <w:qFormat/>
    <w:uiPriority w:val="99"/>
    <w:pPr>
      <w:jc w:val="left"/>
    </w:pPr>
  </w:style>
  <w:style w:type="paragraph" w:styleId="15">
    <w:name w:val="Body Text"/>
    <w:basedOn w:val="1"/>
    <w:link w:val="50"/>
    <w:qFormat/>
    <w:uiPriority w:val="1"/>
    <w:pPr>
      <w:autoSpaceDE w:val="0"/>
      <w:autoSpaceDN w:val="0"/>
      <w:spacing w:line="360" w:lineRule="auto"/>
      <w:ind w:firstLine="200" w:firstLineChars="200"/>
      <w:contextualSpacing/>
    </w:pPr>
    <w:rPr>
      <w:rFonts w:ascii="Times New Roman" w:hAnsi="Times New Roman" w:eastAsia="宋体" w:cs="宋体"/>
      <w:kern w:val="0"/>
      <w:sz w:val="24"/>
      <w:szCs w:val="34"/>
    </w:rPr>
  </w:style>
  <w:style w:type="paragraph" w:styleId="16">
    <w:name w:val="toc 3"/>
    <w:basedOn w:val="1"/>
    <w:next w:val="1"/>
    <w:qFormat/>
    <w:uiPriority w:val="39"/>
    <w:pPr>
      <w:spacing w:line="360" w:lineRule="auto"/>
      <w:ind w:left="840" w:leftChars="400" w:firstLine="561"/>
    </w:pPr>
    <w:rPr>
      <w:rFonts w:ascii="Times New Roman" w:hAnsi="Times New Roman" w:eastAsia="宋体"/>
      <w:sz w:val="28"/>
    </w:rPr>
  </w:style>
  <w:style w:type="paragraph" w:styleId="17">
    <w:name w:val="footer"/>
    <w:link w:val="43"/>
    <w:unhideWhenUsed/>
    <w:qFormat/>
    <w:uiPriority w:val="99"/>
    <w:pPr>
      <w:widowControl w:val="0"/>
      <w:tabs>
        <w:tab w:val="center" w:pos="4153"/>
        <w:tab w:val="right" w:pos="8306"/>
      </w:tabs>
      <w:snapToGrid w:val="0"/>
    </w:pPr>
    <w:rPr>
      <w:rFonts w:ascii="Times New Roman" w:hAnsi="Times New Roman" w:eastAsia="仿宋_GB2312" w:cstheme="minorBidi"/>
      <w:kern w:val="2"/>
      <w:sz w:val="18"/>
      <w:szCs w:val="24"/>
      <w:lang w:val="en-US" w:eastAsia="zh-CN" w:bidi="ar-SA"/>
    </w:rPr>
  </w:style>
  <w:style w:type="paragraph" w:styleId="18">
    <w:name w:val="header"/>
    <w:basedOn w:val="1"/>
    <w:link w:val="33"/>
    <w:qFormat/>
    <w:uiPriority w:val="99"/>
    <w:pPr>
      <w:pBdr>
        <w:bottom w:val="single" w:color="auto" w:sz="6" w:space="1"/>
      </w:pBdr>
      <w:tabs>
        <w:tab w:val="center" w:pos="4153"/>
        <w:tab w:val="right" w:pos="8306"/>
      </w:tabs>
      <w:snapToGrid w:val="0"/>
      <w:jc w:val="center"/>
    </w:pPr>
    <w:rPr>
      <w:sz w:val="18"/>
      <w:szCs w:val="18"/>
    </w:rPr>
  </w:style>
  <w:style w:type="paragraph" w:styleId="1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paragraph" w:styleId="20">
    <w:name w:val="Normal (Web)"/>
    <w:unhideWhenUsed/>
    <w:qFormat/>
    <w:uiPriority w:val="99"/>
    <w:pPr>
      <w:spacing w:before="100" w:beforeAutospacing="1" w:after="100" w:afterAutospacing="1"/>
    </w:pPr>
    <w:rPr>
      <w:rFonts w:ascii="宋体" w:hAnsi="宋体" w:eastAsia="宋体" w:cs="宋体"/>
      <w:sz w:val="24"/>
      <w:szCs w:val="24"/>
      <w:lang w:val="en-US" w:eastAsia="zh-CN" w:bidi="ar-SA"/>
    </w:rPr>
  </w:style>
  <w:style w:type="paragraph" w:styleId="21">
    <w:name w:val="Title"/>
    <w:basedOn w:val="1"/>
    <w:link w:val="56"/>
    <w:qFormat/>
    <w:uiPriority w:val="10"/>
    <w:pPr>
      <w:autoSpaceDE w:val="0"/>
      <w:autoSpaceDN w:val="0"/>
      <w:spacing w:line="1295" w:lineRule="exact"/>
      <w:ind w:left="1055" w:firstLine="200" w:firstLineChars="200"/>
      <w:contextualSpacing/>
      <w:jc w:val="center"/>
    </w:pPr>
    <w:rPr>
      <w:rFonts w:ascii="宋体" w:hAnsi="宋体" w:eastAsia="宋体" w:cs="宋体"/>
      <w:kern w:val="0"/>
      <w:sz w:val="102"/>
      <w:szCs w:val="102"/>
    </w:rPr>
  </w:style>
  <w:style w:type="paragraph" w:styleId="22">
    <w:name w:val="annotation subject"/>
    <w:basedOn w:val="14"/>
    <w:next w:val="14"/>
    <w:link w:val="58"/>
    <w:unhideWhenUsed/>
    <w:qFormat/>
    <w:uiPriority w:val="99"/>
    <w:pPr>
      <w:spacing w:line="360" w:lineRule="auto"/>
      <w:ind w:firstLine="200" w:firstLineChars="200"/>
      <w:contextualSpacing/>
    </w:pPr>
    <w:rPr>
      <w:rFonts w:ascii="Times New Roman" w:hAnsi="Times New Roman" w:eastAsia="宋体"/>
      <w:b/>
      <w:bCs/>
      <w:sz w:val="24"/>
    </w:rPr>
  </w:style>
  <w:style w:type="table" w:styleId="24">
    <w:name w:val="Table Grid"/>
    <w:basedOn w:val="2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Hyperlink"/>
    <w:basedOn w:val="25"/>
    <w:unhideWhenUsed/>
    <w:qFormat/>
    <w:uiPriority w:val="99"/>
    <w:rPr>
      <w:color w:val="0563C1" w:themeColor="hyperlink"/>
      <w:u w:val="single"/>
      <w14:textFill>
        <w14:solidFill>
          <w14:schemeClr w14:val="hlink"/>
        </w14:solidFill>
      </w14:textFill>
    </w:rPr>
  </w:style>
  <w:style w:type="character" w:styleId="27">
    <w:name w:val="annotation reference"/>
    <w:basedOn w:val="25"/>
    <w:qFormat/>
    <w:uiPriority w:val="99"/>
    <w:rPr>
      <w:sz w:val="21"/>
      <w:szCs w:val="21"/>
    </w:rPr>
  </w:style>
  <w:style w:type="paragraph" w:customStyle="1" w:styleId="28">
    <w:name w:val="正文缩进1"/>
    <w:basedOn w:val="1"/>
    <w:qFormat/>
    <w:uiPriority w:val="0"/>
    <w:pPr>
      <w:spacing w:line="360" w:lineRule="auto"/>
      <w:ind w:firstLine="200" w:firstLineChars="200"/>
      <w:jc w:val="left"/>
    </w:pPr>
    <w:rPr>
      <w:rFonts w:ascii="Times New Roman" w:hAnsi="Times New Roman" w:eastAsia="宋体"/>
      <w:sz w:val="24"/>
    </w:rPr>
  </w:style>
  <w:style w:type="paragraph" w:customStyle="1" w:styleId="29">
    <w:name w:val="Default"/>
    <w:next w:val="7"/>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30">
    <w:name w:val="标题1"/>
    <w:next w:val="1"/>
    <w:qFormat/>
    <w:uiPriority w:val="0"/>
    <w:pPr>
      <w:widowControl w:val="0"/>
      <w:tabs>
        <w:tab w:val="left" w:pos="9193"/>
        <w:tab w:val="left" w:pos="9827"/>
      </w:tabs>
      <w:spacing w:line="640" w:lineRule="atLeast"/>
      <w:jc w:val="center"/>
    </w:pPr>
    <w:rPr>
      <w:rFonts w:ascii="Times New Roman" w:hAnsi="Times New Roman" w:eastAsia="方正小标宋_GBK" w:cs="Times New Roman"/>
      <w:kern w:val="2"/>
      <w:sz w:val="44"/>
      <w:szCs w:val="24"/>
      <w:lang w:val="en-US" w:eastAsia="zh-CN" w:bidi="ar-SA"/>
    </w:rPr>
  </w:style>
  <w:style w:type="paragraph" w:customStyle="1" w:styleId="31">
    <w:name w:val="CM3"/>
    <w:next w:val="1"/>
    <w:qFormat/>
    <w:uiPriority w:val="0"/>
    <w:pPr>
      <w:widowControl w:val="0"/>
      <w:autoSpaceDE w:val="0"/>
      <w:autoSpaceDN w:val="0"/>
      <w:adjustRightInd w:val="0"/>
      <w:spacing w:line="583" w:lineRule="atLeast"/>
      <w:ind w:firstLine="360"/>
    </w:pPr>
    <w:rPr>
      <w:rFonts w:ascii="黑体" w:hAnsi="等线" w:eastAsia="黑体" w:cs="Times New Roman"/>
      <w:sz w:val="24"/>
      <w:szCs w:val="22"/>
      <w:lang w:val="en-US" w:eastAsia="en-US" w:bidi="en-US"/>
    </w:rPr>
  </w:style>
  <w:style w:type="character" w:customStyle="1" w:styleId="32">
    <w:name w:val="不明显参考1"/>
    <w:qFormat/>
    <w:uiPriority w:val="31"/>
    <w:rPr>
      <w:smallCaps/>
      <w:color w:val="585858"/>
    </w:rPr>
  </w:style>
  <w:style w:type="character" w:customStyle="1" w:styleId="33">
    <w:name w:val="页眉 字符"/>
    <w:basedOn w:val="25"/>
    <w:link w:val="18"/>
    <w:qFormat/>
    <w:uiPriority w:val="99"/>
    <w:rPr>
      <w:rFonts w:ascii="等线" w:hAnsi="等线" w:eastAsia="等线" w:cs="Times New Roman"/>
      <w:kern w:val="2"/>
      <w:sz w:val="18"/>
      <w:szCs w:val="18"/>
    </w:rPr>
  </w:style>
  <w:style w:type="character" w:customStyle="1" w:styleId="34">
    <w:name w:val="font21"/>
    <w:basedOn w:val="25"/>
    <w:qFormat/>
    <w:uiPriority w:val="0"/>
    <w:rPr>
      <w:rFonts w:hint="eastAsia" w:ascii="宋体" w:hAnsi="宋体" w:eastAsia="宋体" w:cs="宋体"/>
      <w:color w:val="000000"/>
      <w:sz w:val="22"/>
      <w:szCs w:val="22"/>
      <w:u w:val="none"/>
    </w:rPr>
  </w:style>
  <w:style w:type="character" w:customStyle="1" w:styleId="35">
    <w:name w:val="font11"/>
    <w:basedOn w:val="25"/>
    <w:qFormat/>
    <w:uiPriority w:val="0"/>
    <w:rPr>
      <w:rFonts w:hint="eastAsia" w:ascii="宋体" w:hAnsi="宋体" w:eastAsia="宋体" w:cs="宋体"/>
      <w:color w:val="000000"/>
      <w:sz w:val="22"/>
      <w:szCs w:val="22"/>
      <w:u w:val="none"/>
      <w:vertAlign w:val="superscript"/>
    </w:rPr>
  </w:style>
  <w:style w:type="character" w:customStyle="1" w:styleId="36">
    <w:name w:val="font01"/>
    <w:basedOn w:val="25"/>
    <w:qFormat/>
    <w:uiPriority w:val="0"/>
    <w:rPr>
      <w:rFonts w:hint="eastAsia" w:ascii="宋体" w:hAnsi="宋体" w:eastAsia="宋体" w:cs="宋体"/>
      <w:color w:val="000000"/>
      <w:sz w:val="22"/>
      <w:szCs w:val="22"/>
      <w:u w:val="none"/>
      <w:vertAlign w:val="subscript"/>
    </w:rPr>
  </w:style>
  <w:style w:type="paragraph" w:styleId="37">
    <w:name w:val="List Paragraph"/>
    <w:basedOn w:val="1"/>
    <w:qFormat/>
    <w:uiPriority w:val="1"/>
    <w:pPr>
      <w:spacing w:line="360" w:lineRule="auto"/>
      <w:ind w:firstLine="420" w:firstLineChars="200"/>
    </w:pPr>
    <w:rPr>
      <w:sz w:val="28"/>
    </w:rPr>
  </w:style>
  <w:style w:type="paragraph" w:customStyle="1" w:styleId="38">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39">
    <w:name w:val="WPSOffice手动目录 3"/>
    <w:qFormat/>
    <w:uiPriority w:val="0"/>
    <w:pPr>
      <w:ind w:left="400" w:leftChars="400"/>
    </w:pPr>
    <w:rPr>
      <w:rFonts w:ascii="Times New Roman" w:hAnsi="Times New Roman" w:eastAsia="宋体" w:cs="Times New Roman"/>
      <w:lang w:val="en-US" w:eastAsia="zh-CN" w:bidi="ar-SA"/>
    </w:rPr>
  </w:style>
  <w:style w:type="character" w:customStyle="1" w:styleId="40">
    <w:name w:val="标题 2 字符"/>
    <w:basedOn w:val="25"/>
    <w:link w:val="4"/>
    <w:qFormat/>
    <w:uiPriority w:val="9"/>
    <w:rPr>
      <w:rFonts w:ascii="Arial" w:hAnsi="Arial" w:eastAsia="黑体" w:cs="Times New Roman"/>
      <w:b/>
      <w:kern w:val="2"/>
      <w:sz w:val="32"/>
      <w:szCs w:val="22"/>
    </w:rPr>
  </w:style>
  <w:style w:type="character" w:customStyle="1" w:styleId="41">
    <w:name w:val="标题 1 字符"/>
    <w:basedOn w:val="25"/>
    <w:link w:val="3"/>
    <w:qFormat/>
    <w:uiPriority w:val="9"/>
    <w:rPr>
      <w:rFonts w:ascii="等线" w:hAnsi="等线" w:eastAsia="等线" w:cs="Times New Roman"/>
      <w:b/>
      <w:kern w:val="44"/>
      <w:sz w:val="44"/>
      <w:szCs w:val="22"/>
    </w:rPr>
  </w:style>
  <w:style w:type="character" w:customStyle="1" w:styleId="42">
    <w:name w:val="标题 3 字符"/>
    <w:basedOn w:val="25"/>
    <w:link w:val="5"/>
    <w:qFormat/>
    <w:uiPriority w:val="9"/>
    <w:rPr>
      <w:rFonts w:ascii="等线" w:hAnsi="等线" w:eastAsia="等线" w:cs="Times New Roman"/>
      <w:b/>
      <w:kern w:val="2"/>
      <w:sz w:val="32"/>
      <w:szCs w:val="22"/>
    </w:rPr>
  </w:style>
  <w:style w:type="character" w:customStyle="1" w:styleId="43">
    <w:name w:val="页脚 字符"/>
    <w:basedOn w:val="25"/>
    <w:link w:val="17"/>
    <w:qFormat/>
    <w:uiPriority w:val="99"/>
    <w:rPr>
      <w:rFonts w:ascii="Times New Roman" w:hAnsi="Times New Roman" w:eastAsia="仿宋_GB2312"/>
      <w:kern w:val="2"/>
      <w:sz w:val="18"/>
      <w:szCs w:val="24"/>
    </w:rPr>
  </w:style>
  <w:style w:type="paragraph" w:customStyle="1" w:styleId="44">
    <w:name w:val="WPSOffice手动目录 1"/>
    <w:qFormat/>
    <w:uiPriority w:val="0"/>
    <w:rPr>
      <w:rFonts w:asciiTheme="minorHAnsi" w:hAnsiTheme="minorHAnsi" w:eastAsiaTheme="minorEastAsia" w:cstheme="minorBidi"/>
      <w:lang w:val="en-US" w:eastAsia="zh-CN" w:bidi="ar-SA"/>
    </w:rPr>
  </w:style>
  <w:style w:type="paragraph" w:customStyle="1" w:styleId="45">
    <w:name w:val="修订1"/>
    <w:hidden/>
    <w:semiHidden/>
    <w:qFormat/>
    <w:uiPriority w:val="99"/>
    <w:rPr>
      <w:rFonts w:ascii="等线" w:hAnsi="等线" w:eastAsia="等线" w:cs="Times New Roman"/>
      <w:kern w:val="2"/>
      <w:sz w:val="21"/>
      <w:szCs w:val="22"/>
      <w:lang w:val="en-US" w:eastAsia="zh-CN" w:bidi="ar-SA"/>
    </w:rPr>
  </w:style>
  <w:style w:type="paragraph" w:customStyle="1" w:styleId="46">
    <w:name w:val="修订2"/>
    <w:hidden/>
    <w:unhideWhenUsed/>
    <w:qFormat/>
    <w:uiPriority w:val="99"/>
    <w:rPr>
      <w:rFonts w:ascii="等线" w:hAnsi="等线" w:eastAsia="等线" w:cs="Times New Roman"/>
      <w:kern w:val="2"/>
      <w:sz w:val="21"/>
      <w:szCs w:val="22"/>
      <w:lang w:val="en-US" w:eastAsia="zh-CN" w:bidi="ar-SA"/>
    </w:rPr>
  </w:style>
  <w:style w:type="character" w:customStyle="1" w:styleId="47">
    <w:name w:val="标题 4 字符"/>
    <w:basedOn w:val="25"/>
    <w:link w:val="6"/>
    <w:qFormat/>
    <w:uiPriority w:val="9"/>
    <w:rPr>
      <w:rFonts w:ascii="宋体" w:hAnsi="宋体" w:eastAsia="宋体" w:cs="宋体"/>
      <w:sz w:val="35"/>
      <w:szCs w:val="35"/>
    </w:rPr>
  </w:style>
  <w:style w:type="paragraph" w:customStyle="1" w:styleId="48">
    <w:name w:val="TOC 71"/>
    <w:basedOn w:val="1"/>
    <w:next w:val="1"/>
    <w:unhideWhenUsed/>
    <w:qFormat/>
    <w:uiPriority w:val="39"/>
    <w:pPr>
      <w:ind w:left="1260"/>
      <w:jc w:val="left"/>
    </w:pPr>
    <w:rPr>
      <w:sz w:val="20"/>
      <w:szCs w:val="20"/>
    </w:rPr>
  </w:style>
  <w:style w:type="character" w:customStyle="1" w:styleId="49">
    <w:name w:val="电子邮件签名 字符"/>
    <w:basedOn w:val="25"/>
    <w:link w:val="8"/>
    <w:qFormat/>
    <w:uiPriority w:val="99"/>
    <w:rPr>
      <w:rFonts w:ascii="Times New Roman" w:hAnsi="Times New Roman" w:eastAsia="宋体" w:cs="Times New Roman"/>
      <w:kern w:val="2"/>
      <w:sz w:val="24"/>
      <w:szCs w:val="22"/>
    </w:rPr>
  </w:style>
  <w:style w:type="character" w:customStyle="1" w:styleId="50">
    <w:name w:val="正文文本 字符"/>
    <w:basedOn w:val="25"/>
    <w:link w:val="15"/>
    <w:qFormat/>
    <w:uiPriority w:val="1"/>
    <w:rPr>
      <w:rFonts w:ascii="Times New Roman" w:hAnsi="Times New Roman" w:eastAsia="宋体" w:cs="宋体"/>
      <w:sz w:val="24"/>
      <w:szCs w:val="34"/>
    </w:rPr>
  </w:style>
  <w:style w:type="paragraph" w:customStyle="1" w:styleId="51">
    <w:name w:val="TOC 51"/>
    <w:basedOn w:val="1"/>
    <w:next w:val="1"/>
    <w:unhideWhenUsed/>
    <w:qFormat/>
    <w:uiPriority w:val="39"/>
    <w:pPr>
      <w:ind w:left="840"/>
      <w:jc w:val="left"/>
    </w:pPr>
    <w:rPr>
      <w:sz w:val="20"/>
      <w:szCs w:val="20"/>
    </w:rPr>
  </w:style>
  <w:style w:type="paragraph" w:customStyle="1" w:styleId="52">
    <w:name w:val="TOC 81"/>
    <w:basedOn w:val="1"/>
    <w:next w:val="1"/>
    <w:unhideWhenUsed/>
    <w:qFormat/>
    <w:uiPriority w:val="39"/>
    <w:pPr>
      <w:ind w:left="1470"/>
      <w:jc w:val="left"/>
    </w:pPr>
    <w:rPr>
      <w:sz w:val="20"/>
      <w:szCs w:val="20"/>
    </w:rPr>
  </w:style>
  <w:style w:type="paragraph" w:customStyle="1" w:styleId="53">
    <w:name w:val="TOC 41"/>
    <w:basedOn w:val="1"/>
    <w:next w:val="1"/>
    <w:unhideWhenUsed/>
    <w:qFormat/>
    <w:uiPriority w:val="39"/>
    <w:pPr>
      <w:ind w:left="630"/>
      <w:jc w:val="left"/>
    </w:pPr>
    <w:rPr>
      <w:sz w:val="20"/>
      <w:szCs w:val="20"/>
    </w:rPr>
  </w:style>
  <w:style w:type="paragraph" w:customStyle="1" w:styleId="54">
    <w:name w:val="TOC 61"/>
    <w:basedOn w:val="1"/>
    <w:next w:val="1"/>
    <w:unhideWhenUsed/>
    <w:qFormat/>
    <w:uiPriority w:val="39"/>
    <w:pPr>
      <w:ind w:left="1050"/>
      <w:jc w:val="left"/>
    </w:pPr>
    <w:rPr>
      <w:sz w:val="20"/>
      <w:szCs w:val="20"/>
    </w:rPr>
  </w:style>
  <w:style w:type="paragraph" w:customStyle="1" w:styleId="55">
    <w:name w:val="TOC 91"/>
    <w:basedOn w:val="1"/>
    <w:next w:val="1"/>
    <w:unhideWhenUsed/>
    <w:qFormat/>
    <w:uiPriority w:val="39"/>
    <w:pPr>
      <w:ind w:left="1680"/>
      <w:jc w:val="left"/>
    </w:pPr>
    <w:rPr>
      <w:sz w:val="20"/>
      <w:szCs w:val="20"/>
    </w:rPr>
  </w:style>
  <w:style w:type="character" w:customStyle="1" w:styleId="56">
    <w:name w:val="标题 字符"/>
    <w:basedOn w:val="25"/>
    <w:link w:val="21"/>
    <w:qFormat/>
    <w:uiPriority w:val="10"/>
    <w:rPr>
      <w:rFonts w:ascii="宋体" w:hAnsi="宋体" w:eastAsia="宋体" w:cs="宋体"/>
      <w:sz w:val="102"/>
      <w:szCs w:val="102"/>
    </w:rPr>
  </w:style>
  <w:style w:type="character" w:customStyle="1" w:styleId="57">
    <w:name w:val="批注文字 字符"/>
    <w:basedOn w:val="25"/>
    <w:link w:val="14"/>
    <w:qFormat/>
    <w:uiPriority w:val="99"/>
    <w:rPr>
      <w:rFonts w:ascii="等线" w:hAnsi="等线" w:eastAsia="等线" w:cs="Times New Roman"/>
      <w:kern w:val="2"/>
      <w:sz w:val="21"/>
      <w:szCs w:val="22"/>
    </w:rPr>
  </w:style>
  <w:style w:type="character" w:customStyle="1" w:styleId="58">
    <w:name w:val="批注主题 字符"/>
    <w:basedOn w:val="57"/>
    <w:link w:val="22"/>
    <w:qFormat/>
    <w:uiPriority w:val="99"/>
    <w:rPr>
      <w:rFonts w:ascii="Times New Roman" w:hAnsi="Times New Roman" w:eastAsia="宋体" w:cs="Times New Roman"/>
      <w:b/>
      <w:bCs/>
      <w:kern w:val="2"/>
      <w:sz w:val="24"/>
      <w:szCs w:val="22"/>
    </w:rPr>
  </w:style>
  <w:style w:type="table" w:customStyle="1" w:styleId="59">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60">
    <w:name w:val="Table Paragraph"/>
    <w:basedOn w:val="1"/>
    <w:qFormat/>
    <w:uiPriority w:val="1"/>
    <w:pPr>
      <w:autoSpaceDE w:val="0"/>
      <w:autoSpaceDN w:val="0"/>
      <w:spacing w:line="360" w:lineRule="auto"/>
      <w:ind w:firstLine="200" w:firstLineChars="200"/>
      <w:contextualSpacing/>
      <w:jc w:val="left"/>
    </w:pPr>
    <w:rPr>
      <w:rFonts w:ascii="宋体" w:hAnsi="宋体" w:eastAsia="宋体" w:cs="宋体"/>
      <w:kern w:val="0"/>
      <w:sz w:val="22"/>
    </w:rPr>
  </w:style>
  <w:style w:type="paragraph" w:customStyle="1" w:styleId="61">
    <w:name w:val="表格小四"/>
    <w:basedOn w:val="1"/>
    <w:link w:val="62"/>
    <w:qFormat/>
    <w:uiPriority w:val="0"/>
    <w:pPr>
      <w:contextualSpacing/>
      <w:jc w:val="center"/>
    </w:pPr>
    <w:rPr>
      <w:rFonts w:ascii="Times New Roman" w:hAnsi="Times New Roman" w:eastAsia="宋体"/>
      <w:sz w:val="24"/>
      <w:szCs w:val="24"/>
    </w:rPr>
  </w:style>
  <w:style w:type="character" w:customStyle="1" w:styleId="62">
    <w:name w:val="表格小四 字符"/>
    <w:basedOn w:val="25"/>
    <w:link w:val="61"/>
    <w:qFormat/>
    <w:uiPriority w:val="0"/>
    <w:rPr>
      <w:rFonts w:ascii="Times New Roman" w:hAnsi="Times New Roman" w:eastAsia="宋体" w:cs="Times New Roman"/>
      <w:kern w:val="2"/>
      <w:sz w:val="24"/>
      <w:szCs w:val="24"/>
    </w:rPr>
  </w:style>
  <w:style w:type="character" w:customStyle="1" w:styleId="63">
    <w:name w:val="fontstyle01"/>
    <w:basedOn w:val="25"/>
    <w:qFormat/>
    <w:uiPriority w:val="0"/>
    <w:rPr>
      <w:rFonts w:hint="eastAsia" w:ascii="仿宋_GB2312" w:eastAsia="仿宋_GB2312"/>
      <w:color w:val="000000"/>
      <w:sz w:val="32"/>
      <w:szCs w:val="32"/>
    </w:rPr>
  </w:style>
  <w:style w:type="character" w:customStyle="1" w:styleId="64">
    <w:name w:val="fontstyle11"/>
    <w:basedOn w:val="25"/>
    <w:qFormat/>
    <w:uiPriority w:val="0"/>
    <w:rPr>
      <w:rFonts w:hint="default" w:ascii="TimesNewRomanPSMT" w:hAnsi="TimesNewRomanPSMT"/>
      <w:color w:val="000000"/>
      <w:sz w:val="32"/>
      <w:szCs w:val="32"/>
    </w:rPr>
  </w:style>
  <w:style w:type="paragraph" w:customStyle="1" w:styleId="65">
    <w:name w:val="我的正文"/>
    <w:link w:val="84"/>
    <w:qFormat/>
    <w:uiPriority w:val="0"/>
    <w:pPr>
      <w:widowControl w:val="0"/>
      <w:snapToGrid w:val="0"/>
      <w:spacing w:line="590" w:lineRule="exact"/>
      <w:ind w:firstLine="200" w:firstLineChars="200"/>
      <w:jc w:val="both"/>
    </w:pPr>
    <w:rPr>
      <w:rFonts w:ascii="Times New Roman" w:hAnsi="Times New Roman" w:eastAsia="仿宋_GB2312" w:cs="Times New Roman"/>
      <w:kern w:val="2"/>
      <w:sz w:val="32"/>
      <w:szCs w:val="24"/>
      <w:lang w:val="en-US" w:eastAsia="zh-CN" w:bidi="ar-SA"/>
    </w:rPr>
  </w:style>
  <w:style w:type="table" w:customStyle="1" w:styleId="66">
    <w:name w:val="网格型1"/>
    <w:basedOn w:val="2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7">
    <w:name w:val="纯文本1"/>
    <w:basedOn w:val="1"/>
    <w:qFormat/>
    <w:uiPriority w:val="0"/>
    <w:pPr>
      <w:adjustRightInd w:val="0"/>
      <w:spacing w:line="360" w:lineRule="auto"/>
      <w:ind w:firstLine="200" w:firstLineChars="200"/>
    </w:pPr>
    <w:rPr>
      <w:rFonts w:ascii="宋体" w:hAnsi="Courier New" w:eastAsia="宋体"/>
      <w:sz w:val="24"/>
      <w:szCs w:val="20"/>
    </w:rPr>
  </w:style>
  <w:style w:type="paragraph" w:customStyle="1" w:styleId="68">
    <w:name w:val="样式35"/>
    <w:basedOn w:val="69"/>
    <w:next w:val="73"/>
    <w:qFormat/>
    <w:uiPriority w:val="0"/>
    <w:pPr>
      <w:tabs>
        <w:tab w:val="left" w:pos="360"/>
        <w:tab w:val="left" w:pos="480"/>
        <w:tab w:val="left" w:pos="540"/>
        <w:tab w:val="left" w:pos="720"/>
      </w:tabs>
      <w:spacing w:line="312" w:lineRule="auto"/>
      <w:ind w:firstLine="567"/>
      <w:jc w:val="both"/>
    </w:pPr>
    <w:rPr>
      <w:rFonts w:ascii="宋体" w:eastAsia="宋体"/>
      <w:kern w:val="2"/>
      <w:sz w:val="21"/>
      <w:szCs w:val="22"/>
    </w:rPr>
  </w:style>
  <w:style w:type="paragraph" w:customStyle="1" w:styleId="69">
    <w:name w:val="样式26"/>
    <w:basedOn w:val="70"/>
    <w:semiHidden/>
    <w:qFormat/>
    <w:uiPriority w:val="0"/>
    <w:pPr>
      <w:tabs>
        <w:tab w:val="left" w:pos="360"/>
        <w:tab w:val="left" w:pos="480"/>
        <w:tab w:val="left" w:pos="540"/>
        <w:tab w:val="left" w:pos="720"/>
      </w:tabs>
      <w:autoSpaceDE w:val="0"/>
      <w:autoSpaceDN w:val="0"/>
      <w:adjustRightInd w:val="0"/>
    </w:pPr>
    <w:rPr>
      <w:color w:val="000000"/>
      <w:sz w:val="20"/>
      <w:szCs w:val="21"/>
    </w:rPr>
  </w:style>
  <w:style w:type="paragraph" w:customStyle="1" w:styleId="70">
    <w:name w:val="样式21"/>
    <w:basedOn w:val="71"/>
    <w:qFormat/>
    <w:uiPriority w:val="0"/>
    <w:pPr>
      <w:tabs>
        <w:tab w:val="left" w:pos="360"/>
        <w:tab w:val="left" w:pos="480"/>
        <w:tab w:val="left" w:pos="540"/>
        <w:tab w:val="left" w:pos="720"/>
      </w:tabs>
      <w:spacing w:beforeLines="50" w:afterLines="50"/>
      <w:ind w:left="720" w:hanging="720"/>
      <w:outlineLvl w:val="2"/>
    </w:pPr>
    <w:rPr>
      <w:rFonts w:eastAsia="MS Mincho"/>
      <w:kern w:val="0"/>
      <w:szCs w:val="32"/>
    </w:rPr>
  </w:style>
  <w:style w:type="paragraph" w:customStyle="1" w:styleId="71">
    <w:name w:val="样式5"/>
    <w:basedOn w:val="72"/>
    <w:qFormat/>
    <w:uiPriority w:val="0"/>
    <w:pPr>
      <w:tabs>
        <w:tab w:val="left" w:pos="480"/>
      </w:tabs>
      <w:snapToGrid w:val="0"/>
      <w:ind w:firstLine="510"/>
    </w:pPr>
    <w:rPr>
      <w:sz w:val="24"/>
    </w:rPr>
  </w:style>
  <w:style w:type="paragraph" w:customStyle="1" w:styleId="72">
    <w:name w:val="样式12"/>
    <w:basedOn w:val="13"/>
    <w:qFormat/>
    <w:uiPriority w:val="0"/>
    <w:pPr>
      <w:tabs>
        <w:tab w:val="left" w:pos="480"/>
      </w:tabs>
      <w:ind w:firstLine="200" w:firstLineChars="200"/>
    </w:pPr>
  </w:style>
  <w:style w:type="paragraph" w:customStyle="1" w:styleId="73">
    <w:name w:val="font6"/>
    <w:basedOn w:val="1"/>
    <w:next w:val="2"/>
    <w:qFormat/>
    <w:uiPriority w:val="0"/>
    <w:pPr>
      <w:widowControl/>
      <w:spacing w:before="100" w:beforeAutospacing="1" w:after="100" w:afterAutospacing="1"/>
      <w:ind w:firstLine="200" w:firstLineChars="200"/>
      <w:jc w:val="left"/>
    </w:pPr>
    <w:rPr>
      <w:rFonts w:ascii="Times New Roman" w:hAnsi="Times New Roman" w:eastAsia="宋体"/>
      <w:color w:val="000000"/>
      <w:kern w:val="0"/>
      <w:sz w:val="24"/>
      <w:szCs w:val="24"/>
    </w:rPr>
  </w:style>
  <w:style w:type="table" w:customStyle="1" w:styleId="74">
    <w:name w:val="Table Normal1"/>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75">
    <w:name w:val="修订11"/>
    <w:hidden/>
    <w:semiHidden/>
    <w:qFormat/>
    <w:uiPriority w:val="99"/>
    <w:rPr>
      <w:rFonts w:ascii="Times New Roman" w:hAnsi="Times New Roman" w:eastAsia="宋体" w:cstheme="minorBidi"/>
      <w:kern w:val="2"/>
      <w:sz w:val="24"/>
      <w:szCs w:val="22"/>
      <w:lang w:val="en-US" w:eastAsia="zh-CN" w:bidi="ar-SA"/>
    </w:rPr>
  </w:style>
  <w:style w:type="paragraph" w:customStyle="1" w:styleId="76">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customStyle="1" w:styleId="77">
    <w:name w:val="表"/>
    <w:basedOn w:val="1"/>
    <w:qFormat/>
    <w:uiPriority w:val="0"/>
    <w:pPr>
      <w:spacing w:beforeLines="50" w:afterLines="50" w:line="300" w:lineRule="exact"/>
      <w:ind w:firstLine="200" w:firstLineChars="200"/>
      <w:jc w:val="center"/>
    </w:pPr>
    <w:rPr>
      <w:rFonts w:ascii="Times New Roman" w:hAnsi="Times New Roman" w:eastAsia="宋体"/>
      <w:color w:val="000000"/>
      <w:szCs w:val="21"/>
    </w:rPr>
  </w:style>
  <w:style w:type="table" w:customStyle="1" w:styleId="78">
    <w:name w:val="网格型2"/>
    <w:basedOn w:val="2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9">
    <w:name w:val="Table Normal2"/>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80">
    <w:name w:val="未处理的提及1"/>
    <w:basedOn w:val="25"/>
    <w:semiHidden/>
    <w:unhideWhenUsed/>
    <w:qFormat/>
    <w:uiPriority w:val="99"/>
    <w:rPr>
      <w:color w:val="605E5C"/>
      <w:shd w:val="clear" w:color="auto" w:fill="E1DFDD"/>
    </w:rPr>
  </w:style>
  <w:style w:type="paragraph" w:customStyle="1" w:styleId="81">
    <w:name w:val="TOC 标题1"/>
    <w:basedOn w:val="3"/>
    <w:next w:val="1"/>
    <w:unhideWhenUsed/>
    <w:qFormat/>
    <w:uiPriority w:val="39"/>
    <w:pPr>
      <w:widowControl/>
      <w:spacing w:before="240" w:after="0" w:line="259" w:lineRule="auto"/>
      <w:jc w:val="left"/>
      <w:outlineLvl w:val="9"/>
    </w:pPr>
    <w:rPr>
      <w:rFonts w:ascii="等线 Light" w:hAnsi="等线 Light" w:eastAsia="等线 Light"/>
      <w:b w:val="0"/>
      <w:color w:val="2F5496"/>
      <w:kern w:val="0"/>
      <w:sz w:val="32"/>
      <w:szCs w:val="32"/>
    </w:rPr>
  </w:style>
  <w:style w:type="paragraph" w:customStyle="1" w:styleId="82">
    <w:name w:val="修订21"/>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83">
    <w:name w:val="修订3"/>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84">
    <w:name w:val="我的正文 字符"/>
    <w:basedOn w:val="25"/>
    <w:link w:val="65"/>
    <w:qFormat/>
    <w:uiPriority w:val="0"/>
    <w:rPr>
      <w:rFonts w:ascii="Times New Roman" w:hAnsi="Times New Roman" w:eastAsia="仿宋_GB2312" w:cs="Times New Roman"/>
      <w:kern w:val="2"/>
      <w:sz w:val="32"/>
      <w:szCs w:val="24"/>
    </w:rPr>
  </w:style>
  <w:style w:type="paragraph" w:customStyle="1" w:styleId="85">
    <w:name w:val="修订4"/>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86">
    <w:name w:val="font41"/>
    <w:basedOn w:val="25"/>
    <w:qFormat/>
    <w:uiPriority w:val="0"/>
    <w:rPr>
      <w:rFonts w:hint="eastAsia" w:ascii="宋体" w:hAnsi="宋体" w:eastAsia="宋体" w:cs="宋体"/>
      <w:color w:val="000000"/>
      <w:sz w:val="22"/>
      <w:szCs w:val="22"/>
      <w:u w:val="none"/>
    </w:rPr>
  </w:style>
  <w:style w:type="character" w:customStyle="1" w:styleId="87">
    <w:name w:val="font51"/>
    <w:basedOn w:val="25"/>
    <w:qFormat/>
    <w:uiPriority w:val="0"/>
    <w:rPr>
      <w:rFonts w:hint="eastAsia" w:ascii="宋体" w:hAnsi="宋体" w:eastAsia="宋体" w:cs="宋体"/>
      <w:color w:val="000000"/>
      <w:sz w:val="24"/>
      <w:szCs w:val="24"/>
      <w:u w:val="none"/>
    </w:rPr>
  </w:style>
  <w:style w:type="character" w:customStyle="1" w:styleId="88">
    <w:name w:val="font31"/>
    <w:basedOn w:val="25"/>
    <w:qFormat/>
    <w:uiPriority w:val="0"/>
    <w:rPr>
      <w:rFonts w:ascii="微软雅黑" w:hAnsi="微软雅黑" w:eastAsia="微软雅黑" w:cs="微软雅黑"/>
      <w:color w:val="000000"/>
      <w:sz w:val="22"/>
      <w:szCs w:val="22"/>
      <w:u w:val="none"/>
    </w:rPr>
  </w:style>
  <w:style w:type="character" w:customStyle="1" w:styleId="89">
    <w:name w:val="font61"/>
    <w:basedOn w:val="25"/>
    <w:qFormat/>
    <w:uiPriority w:val="0"/>
    <w:rPr>
      <w:rFonts w:hint="eastAsia" w:ascii="宋体" w:hAnsi="宋体" w:eastAsia="宋体" w:cs="宋体"/>
      <w:color w:val="000000"/>
      <w:sz w:val="22"/>
      <w:szCs w:val="22"/>
      <w:u w:val="none"/>
    </w:rPr>
  </w:style>
  <w:style w:type="character" w:customStyle="1" w:styleId="90">
    <w:name w:val="font71"/>
    <w:basedOn w:val="25"/>
    <w:qFormat/>
    <w:uiPriority w:val="0"/>
    <w:rPr>
      <w:rFonts w:hint="default" w:ascii="Times New Roman" w:hAnsi="Times New Roman" w:cs="Times New Roman"/>
      <w:color w:val="000000"/>
      <w:sz w:val="21"/>
      <w:szCs w:val="21"/>
      <w:u w:val="none"/>
    </w:rPr>
  </w:style>
  <w:style w:type="character" w:customStyle="1" w:styleId="91">
    <w:name w:val="font112"/>
    <w:basedOn w:val="25"/>
    <w:qFormat/>
    <w:uiPriority w:val="0"/>
    <w:rPr>
      <w:rFonts w:ascii="仿宋_GB2312" w:eastAsia="仿宋_GB2312" w:cs="仿宋_GB2312"/>
      <w:color w:val="000000"/>
      <w:sz w:val="21"/>
      <w:szCs w:val="21"/>
      <w:u w:val="none"/>
    </w:rPr>
  </w:style>
  <w:style w:type="paragraph" w:customStyle="1" w:styleId="92">
    <w:name w:val="修订5"/>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93">
    <w:name w:val="修订6"/>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94">
    <w:name w:val="修订7"/>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95">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96">
    <w:name w:val="font0"/>
    <w:basedOn w:val="1"/>
    <w:qFormat/>
    <w:uiPriority w:val="0"/>
    <w:pPr>
      <w:widowControl/>
      <w:spacing w:before="100" w:beforeAutospacing="1" w:after="100" w:afterAutospacing="1"/>
      <w:jc w:val="left"/>
    </w:pPr>
    <w:rPr>
      <w:rFonts w:ascii="宋体" w:hAnsi="宋体" w:eastAsia="宋体" w:cs="宋体"/>
      <w:color w:val="000000"/>
      <w:kern w:val="0"/>
      <w:sz w:val="22"/>
    </w:rPr>
  </w:style>
  <w:style w:type="paragraph" w:customStyle="1" w:styleId="97">
    <w:name w:val="font1"/>
    <w:basedOn w:val="1"/>
    <w:qFormat/>
    <w:uiPriority w:val="0"/>
    <w:pPr>
      <w:widowControl/>
      <w:spacing w:before="100" w:beforeAutospacing="1" w:after="100" w:afterAutospacing="1"/>
      <w:jc w:val="left"/>
    </w:pPr>
    <w:rPr>
      <w:rFonts w:ascii="宋体" w:hAnsi="宋体" w:eastAsia="宋体" w:cs="宋体"/>
      <w:color w:val="000000"/>
      <w:kern w:val="0"/>
      <w:sz w:val="22"/>
    </w:rPr>
  </w:style>
  <w:style w:type="paragraph" w:customStyle="1" w:styleId="98">
    <w:name w:val="et2"/>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99">
    <w:name w:val="et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宋体" w:hAnsi="宋体" w:eastAsia="宋体" w:cs="宋体"/>
      <w:color w:val="000000"/>
      <w:kern w:val="0"/>
      <w:sz w:val="24"/>
      <w:szCs w:val="24"/>
    </w:rPr>
  </w:style>
  <w:style w:type="paragraph" w:customStyle="1" w:styleId="100">
    <w:name w:val="et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center"/>
    </w:pPr>
    <w:rPr>
      <w:rFonts w:ascii="宋体" w:hAnsi="宋体" w:eastAsia="宋体" w:cs="宋体"/>
      <w:color w:val="000000"/>
      <w:kern w:val="0"/>
      <w:sz w:val="24"/>
      <w:szCs w:val="24"/>
    </w:rPr>
  </w:style>
  <w:style w:type="paragraph" w:customStyle="1" w:styleId="101">
    <w:name w:val="修订8"/>
    <w:hidden/>
    <w:unhideWhenUsed/>
    <w:qFormat/>
    <w:uiPriority w:val="99"/>
    <w:rPr>
      <w:rFonts w:ascii="等线" w:hAnsi="等线" w:eastAsia="等线" w:cs="Times New Roman"/>
      <w:kern w:val="2"/>
      <w:sz w:val="21"/>
      <w:szCs w:val="22"/>
      <w:lang w:val="en-US" w:eastAsia="zh-CN" w:bidi="ar-SA"/>
    </w:rPr>
  </w:style>
  <w:style w:type="paragraph" w:customStyle="1" w:styleId="102">
    <w:name w:val="修订9"/>
    <w:hidden/>
    <w:unhideWhenUsed/>
    <w:qFormat/>
    <w:uiPriority w:val="99"/>
    <w:rPr>
      <w:rFonts w:ascii="等线" w:hAnsi="等线" w:eastAsia="等线" w:cs="Times New Roman"/>
      <w:kern w:val="2"/>
      <w:sz w:val="21"/>
      <w:szCs w:val="22"/>
      <w:lang w:val="en-US" w:eastAsia="zh-CN" w:bidi="ar-SA"/>
    </w:rPr>
  </w:style>
  <w:style w:type="paragraph" w:customStyle="1" w:styleId="103">
    <w:name w:val="修订10"/>
    <w:hidden/>
    <w:unhideWhenUsed/>
    <w:qFormat/>
    <w:uiPriority w:val="99"/>
    <w:rPr>
      <w:rFonts w:ascii="等线" w:hAnsi="等线" w:eastAsia="等线" w:cs="Times New Roman"/>
      <w:kern w:val="2"/>
      <w:sz w:val="21"/>
      <w:szCs w:val="22"/>
      <w:lang w:val="en-US" w:eastAsia="zh-CN" w:bidi="ar-SA"/>
    </w:rPr>
  </w:style>
  <w:style w:type="paragraph" w:customStyle="1" w:styleId="104">
    <w:name w:val="修订12"/>
    <w:hidden/>
    <w:unhideWhenUsed/>
    <w:qFormat/>
    <w:uiPriority w:val="99"/>
    <w:rPr>
      <w:rFonts w:ascii="等线" w:hAnsi="等线" w:eastAsia="等线" w:cs="Times New Roman"/>
      <w:kern w:val="2"/>
      <w:sz w:val="21"/>
      <w:szCs w:val="22"/>
      <w:lang w:val="en-US" w:eastAsia="zh-CN" w:bidi="ar-SA"/>
    </w:rPr>
  </w:style>
  <w:style w:type="paragraph" w:customStyle="1" w:styleId="105">
    <w:name w:val="修订13"/>
    <w:hidden/>
    <w:unhideWhenUsed/>
    <w:qFormat/>
    <w:uiPriority w:val="99"/>
    <w:rPr>
      <w:rFonts w:ascii="等线" w:hAnsi="等线" w:eastAsia="等线" w:cs="Times New Roman"/>
      <w:kern w:val="2"/>
      <w:sz w:val="21"/>
      <w:szCs w:val="22"/>
      <w:lang w:val="en-US" w:eastAsia="zh-CN" w:bidi="ar-SA"/>
    </w:rPr>
  </w:style>
  <w:style w:type="paragraph" w:customStyle="1" w:styleId="106">
    <w:name w:val="修订14"/>
    <w:hidden/>
    <w:unhideWhenUsed/>
    <w:qFormat/>
    <w:uiPriority w:val="99"/>
    <w:rPr>
      <w:rFonts w:ascii="等线" w:hAnsi="等线" w:eastAsia="等线" w:cs="Times New Roman"/>
      <w:kern w:val="2"/>
      <w:sz w:val="21"/>
      <w:szCs w:val="22"/>
      <w:lang w:val="en-US" w:eastAsia="zh-CN" w:bidi="ar-SA"/>
    </w:rPr>
  </w:style>
  <w:style w:type="paragraph" w:customStyle="1" w:styleId="107">
    <w:name w:val="Revision"/>
    <w:hidden/>
    <w:unhideWhenUsed/>
    <w:qFormat/>
    <w:uiPriority w:val="99"/>
    <w:rPr>
      <w:rFonts w:ascii="等线" w:hAnsi="等线" w:eastAsia="等线"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40</Pages>
  <Words>8480</Words>
  <Characters>10771</Characters>
  <Lines>3590</Lines>
  <Paragraphs>3850</Paragraphs>
  <TotalTime>13</TotalTime>
  <ScaleCrop>false</ScaleCrop>
  <LinksUpToDate>false</LinksUpToDate>
  <CharactersWithSpaces>15401</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2025-08-25T07:29:00Z</dcterms:created>
  <dc:creator>李发旭</dc:creator>
  <cp:lastModifiedBy>荔湾生态环境分局-叶叁</cp:lastModifiedBy>
  <cp:lastPrinted>2026-02-03T17:50:00Z</cp:lastPrinted>
  <dcterms:modified xsi:type="dcterms:W3CDTF">2026-02-12T06:57:58Z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1C106A6C5A3547699BF92BCDA1E9F9F0</vt:lpwstr>
  </property>
  <property fmtid="{D5CDD505-2E9C-101B-9397-08002B2CF9AE}" pid="4" name="KSOTemplateDocerSaveRecord">
    <vt:lpwstr>eyJoZGlkIjoiNDA4ZmI5N2Q2YjQzZGE5Nzk4ODAzMTFiNTQ5MTBjZDciLCJ1c2VySWQiOiIyODEwODQxNDkifQ==</vt:lpwstr>
  </property>
</Properties>
</file>