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01E952">
      <w:pPr>
        <w:spacing w:line="579" w:lineRule="exact"/>
        <w:jc w:val="both"/>
        <w:rPr>
          <w:rFonts w:hint="default" w:ascii="Times New Roman" w:hAnsi="Times New Roman" w:eastAsia="方正小标宋_GBK" w:cs="Times New Roman"/>
          <w:b w:val="0"/>
          <w:sz w:val="44"/>
          <w:szCs w:val="44"/>
        </w:rPr>
      </w:pPr>
      <w:r>
        <w:rPr>
          <w:rFonts w:hint="default" w:ascii="Times New Roman" w:hAnsi="Times New Roman" w:eastAsia="黑体" w:cs="Times New Roman"/>
          <w:b w:val="0"/>
          <w:sz w:val="32"/>
          <w:szCs w:val="32"/>
          <w:lang w:val="en-US" w:eastAsia="zh-CN"/>
        </w:rPr>
        <w:t>附件</w:t>
      </w:r>
    </w:p>
    <w:p w14:paraId="468BA7B3">
      <w:pPr>
        <w:spacing w:line="579" w:lineRule="exact"/>
        <w:jc w:val="center"/>
        <w:rPr>
          <w:rFonts w:hint="default" w:ascii="Times New Roman" w:hAnsi="Times New Roman" w:eastAsia="方正小标宋简体" w:cs="Times New Roman"/>
          <w:b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sz w:val="44"/>
          <w:szCs w:val="44"/>
        </w:rPr>
        <w:t>广州市</w:t>
      </w:r>
      <w:r>
        <w:rPr>
          <w:rFonts w:hint="default" w:ascii="Times New Roman" w:hAnsi="Times New Roman" w:eastAsia="方正小标宋简体" w:cs="Times New Roman"/>
          <w:b w:val="0"/>
          <w:sz w:val="44"/>
          <w:szCs w:val="44"/>
          <w:lang w:eastAsia="zh-CN"/>
        </w:rPr>
        <w:t>荔湾区</w:t>
      </w:r>
      <w:r>
        <w:rPr>
          <w:rFonts w:hint="default" w:ascii="Times New Roman" w:hAnsi="Times New Roman" w:eastAsia="方正小标宋简体" w:cs="Times New Roman"/>
          <w:b w:val="0"/>
          <w:sz w:val="44"/>
          <w:szCs w:val="44"/>
          <w:lang w:val="en-US" w:eastAsia="zh-CN"/>
        </w:rPr>
        <w:t>市场监督管理局</w:t>
      </w:r>
      <w:r>
        <w:rPr>
          <w:rFonts w:hint="default" w:ascii="Times New Roman" w:hAnsi="Times New Roman" w:eastAsia="方正小标宋简体" w:cs="Times New Roman"/>
          <w:b w:val="0"/>
          <w:sz w:val="44"/>
          <w:szCs w:val="44"/>
        </w:rPr>
        <w:t>20</w:t>
      </w:r>
      <w:r>
        <w:rPr>
          <w:rFonts w:hint="default" w:ascii="Times New Roman" w:hAnsi="Times New Roman" w:eastAsia="方正小标宋简体" w:cs="Times New Roman"/>
          <w:b w:val="0"/>
          <w:sz w:val="44"/>
          <w:szCs w:val="44"/>
          <w:lang w:val="en-US" w:eastAsia="zh-CN"/>
        </w:rPr>
        <w:t>25</w:t>
      </w:r>
      <w:r>
        <w:rPr>
          <w:rFonts w:hint="default" w:ascii="Times New Roman" w:hAnsi="Times New Roman" w:eastAsia="方正小标宋简体" w:cs="Times New Roman"/>
          <w:b w:val="0"/>
          <w:sz w:val="44"/>
          <w:szCs w:val="44"/>
        </w:rPr>
        <w:t>年度</w:t>
      </w:r>
    </w:p>
    <w:p w14:paraId="4F467141">
      <w:pPr>
        <w:spacing w:line="579" w:lineRule="exact"/>
        <w:jc w:val="center"/>
        <w:rPr>
          <w:rFonts w:hint="default" w:ascii="Times New Roman" w:hAnsi="Times New Roman" w:eastAsia="方正小标宋_GBK" w:cs="Times New Roman"/>
          <w:b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sz w:val="44"/>
          <w:szCs w:val="44"/>
        </w:rPr>
        <w:t>行政许可实施和监督管理情况报告</w:t>
      </w:r>
    </w:p>
    <w:p w14:paraId="7CFA0550">
      <w:pPr>
        <w:spacing w:line="579" w:lineRule="exact"/>
        <w:ind w:firstLine="632" w:firstLineChars="200"/>
        <w:jc w:val="both"/>
        <w:rPr>
          <w:rFonts w:hint="default" w:ascii="Times New Roman" w:hAnsi="Times New Roman" w:eastAsia="仿宋_GB2312" w:cs="Times New Roman"/>
          <w:b w:val="0"/>
          <w:sz w:val="32"/>
        </w:rPr>
      </w:pPr>
    </w:p>
    <w:p w14:paraId="4C76F513">
      <w:pPr>
        <w:spacing w:line="579" w:lineRule="exact"/>
        <w:ind w:firstLine="632" w:firstLineChars="200"/>
        <w:jc w:val="both"/>
        <w:rPr>
          <w:rFonts w:hint="default" w:ascii="Times New Roman" w:hAnsi="Times New Roman" w:eastAsia="仿宋_GB2312" w:cs="Times New Roman"/>
          <w:b w:val="0"/>
          <w:sz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sz w:val="32"/>
          <w:lang w:eastAsia="zh-CN"/>
        </w:rPr>
        <w:t>根据《广东省行政许可监督管理条例》的要求，现将我单位20</w:t>
      </w:r>
      <w:r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b w:val="0"/>
          <w:sz w:val="32"/>
          <w:lang w:eastAsia="zh-CN"/>
        </w:rPr>
        <w:t>年行政许可实施和监督管理情况报告如下：</w:t>
      </w:r>
    </w:p>
    <w:p w14:paraId="2D4ED199">
      <w:pPr>
        <w:spacing w:line="579" w:lineRule="exact"/>
        <w:ind w:firstLine="632" w:firstLineChars="200"/>
        <w:jc w:val="both"/>
        <w:rPr>
          <w:rFonts w:hint="default" w:ascii="Times New Roman" w:hAnsi="Times New Roman" w:eastAsia="黑体" w:cs="Times New Roman"/>
          <w:b w:val="0"/>
          <w:sz w:val="32"/>
        </w:rPr>
      </w:pPr>
      <w:r>
        <w:rPr>
          <w:rFonts w:hint="default" w:ascii="Times New Roman" w:hAnsi="Times New Roman" w:eastAsia="黑体" w:cs="Times New Roman"/>
          <w:b w:val="0"/>
          <w:sz w:val="32"/>
        </w:rPr>
        <w:t>一、基本情况</w:t>
      </w:r>
    </w:p>
    <w:p w14:paraId="7311B4A2">
      <w:pPr>
        <w:spacing w:line="579" w:lineRule="exact"/>
        <w:ind w:firstLine="632" w:firstLineChars="200"/>
        <w:jc w:val="both"/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sz w:val="32"/>
          <w:lang w:eastAsia="zh-CN"/>
        </w:rPr>
        <w:t>202</w:t>
      </w:r>
      <w:r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b w:val="0"/>
          <w:sz w:val="32"/>
          <w:lang w:eastAsia="zh-CN"/>
        </w:rPr>
        <w:t>年，我局行政许可事项共12大项、98子项。其中，因将原“非公司企业法人变更登记”1个子项拆分为5个子项，净新增4个子项，其余事项均为保留事项。</w:t>
      </w:r>
      <w:r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  <w:t>98个子项目</w:t>
      </w:r>
      <w:r>
        <w:rPr>
          <w:rFonts w:hint="default" w:ascii="Times New Roman" w:hAnsi="Times New Roman" w:eastAsia="仿宋_GB2312" w:cs="Times New Roman"/>
          <w:b w:val="0"/>
          <w:sz w:val="32"/>
          <w:lang w:eastAsia="zh-CN"/>
        </w:rPr>
        <w:t>已全部进驻广东省政务服务事项管理系统（广东政务服务网）。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vertAlign w:val="baseline"/>
          <w:lang w:val="en-US" w:eastAsia="zh-CN"/>
        </w:rPr>
        <w:t>2025年行政许可申请量11307</w:t>
      </w:r>
      <w:r>
        <w:rPr>
          <w:rFonts w:hint="default" w:ascii="Times New Roman" w:hAnsi="Times New Roman" w:cs="Times New Roman"/>
          <w:spacing w:val="0"/>
          <w:sz w:val="32"/>
          <w:szCs w:val="32"/>
          <w:vertAlign w:val="baseli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vertAlign w:val="baseline"/>
          <w:lang w:val="en-US" w:eastAsia="zh-CN"/>
        </w:rPr>
        <w:t>件，其中受理1130</w:t>
      </w:r>
      <w:r>
        <w:rPr>
          <w:rFonts w:hint="default" w:ascii="Times New Roman" w:hAnsi="Times New Roman" w:cs="Times New Roman"/>
          <w:spacing w:val="0"/>
          <w:sz w:val="32"/>
          <w:szCs w:val="32"/>
          <w:vertAlign w:val="baseline"/>
          <w:lang w:val="en-US" w:eastAsia="zh-CN"/>
        </w:rPr>
        <w:t>67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vertAlign w:val="baseline"/>
          <w:lang w:val="en-US" w:eastAsia="zh-CN"/>
        </w:rPr>
        <w:t>件，不予受理7件；</w:t>
      </w:r>
      <w:r>
        <w:rPr>
          <w:rFonts w:hint="default" w:ascii="Times New Roman" w:hAnsi="Times New Roman" w:eastAsia="仿宋_GB2312" w:cs="Times New Roman"/>
          <w:b w:val="0"/>
          <w:sz w:val="32"/>
          <w:lang w:eastAsia="zh-CN"/>
        </w:rPr>
        <w:t>行政许可</w:t>
      </w:r>
      <w:r>
        <w:rPr>
          <w:rFonts w:hint="default" w:ascii="Times New Roman" w:hAnsi="Times New Roman" w:eastAsia="仿宋_GB2312" w:cs="Times New Roman"/>
          <w:spacing w:val="0"/>
          <w:sz w:val="32"/>
          <w:szCs w:val="32"/>
          <w:vertAlign w:val="baseline"/>
          <w:lang w:val="en-US" w:eastAsia="zh-CN"/>
        </w:rPr>
        <w:t>办结量113067件，其中审批同意88217件、审批不同意24850件。</w:t>
      </w:r>
    </w:p>
    <w:p w14:paraId="5C4DC55F">
      <w:pPr>
        <w:spacing w:line="579" w:lineRule="exact"/>
        <w:ind w:firstLine="632" w:firstLineChars="200"/>
        <w:jc w:val="both"/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sz w:val="32"/>
          <w:lang w:val="en-US" w:eastAsia="zh-CN"/>
        </w:rPr>
        <w:t>（一）</w:t>
      </w:r>
      <w:r>
        <w:rPr>
          <w:rFonts w:hint="default" w:ascii="Times New Roman" w:hAnsi="Times New Roman" w:eastAsia="楷体_GB2312" w:cs="Times New Roman"/>
          <w:b w:val="0"/>
          <w:sz w:val="32"/>
        </w:rPr>
        <w:t>依法实施情况。</w:t>
      </w:r>
      <w:r>
        <w:rPr>
          <w:rFonts w:hint="default" w:ascii="Times New Roman" w:hAnsi="Times New Roman" w:eastAsia="仿宋_GB2312" w:cs="Times New Roman"/>
          <w:b w:val="0"/>
          <w:sz w:val="32"/>
          <w:lang w:eastAsia="zh-CN"/>
        </w:rPr>
        <w:t>我局严格遵守《行政许可法》《公司法》《计量法》《特种设备安全法》等法律法规，严格按照法定权限、范围、程序、条件开展审批，及时根据法律法规的变化，对行政许可配套规范性文件进行清理、完善，明确审批标准，规范自由裁量权，无变相设定和实施行政许可情况。相关事项</w:t>
      </w:r>
      <w:r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  <w:t>严格遵守</w:t>
      </w:r>
      <w:r>
        <w:rPr>
          <w:rFonts w:hint="default" w:ascii="Times New Roman" w:hAnsi="Times New Roman" w:eastAsia="仿宋_GB2312" w:cs="Times New Roman"/>
          <w:b w:val="0"/>
          <w:sz w:val="32"/>
          <w:lang w:eastAsia="zh-CN"/>
        </w:rPr>
        <w:t>办结期限的</w:t>
      </w:r>
      <w:r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  <w:t>承诺，</w:t>
      </w:r>
      <w:r>
        <w:rPr>
          <w:rFonts w:hint="default" w:ascii="Times New Roman" w:hAnsi="Times New Roman" w:eastAsia="仿宋_GB2312" w:cs="Times New Roman"/>
          <w:b w:val="0"/>
          <w:sz w:val="32"/>
          <w:lang w:eastAsia="zh-CN"/>
        </w:rPr>
        <w:t>实际平均办结时间</w:t>
      </w:r>
      <w:r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  <w:t>远低于</w:t>
      </w:r>
      <w:r>
        <w:rPr>
          <w:rFonts w:hint="default" w:ascii="Times New Roman" w:hAnsi="Times New Roman" w:eastAsia="仿宋_GB2312" w:cs="Times New Roman"/>
          <w:b w:val="0"/>
          <w:sz w:val="32"/>
          <w:lang w:eastAsia="zh-CN"/>
        </w:rPr>
        <w:t>法定办结期限。</w:t>
      </w:r>
    </w:p>
    <w:p w14:paraId="27C58EB3">
      <w:pPr>
        <w:spacing w:line="579" w:lineRule="exact"/>
        <w:ind w:firstLine="632" w:firstLineChars="200"/>
        <w:jc w:val="both"/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sz w:val="32"/>
          <w:lang w:val="en-US" w:eastAsia="zh-CN"/>
        </w:rPr>
        <w:t>（二）公开公示情况。</w:t>
      </w:r>
      <w:r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  <w:t>在广州市荔湾区网上办事大厅公开公示实施主体、依据、程序、条件、期限、裁量标准、申请材料及办法、申请书格式文本、咨询投诉方式等信息的方式、范围。</w:t>
      </w:r>
    </w:p>
    <w:p w14:paraId="56497627">
      <w:pPr>
        <w:spacing w:line="579" w:lineRule="exact"/>
        <w:ind w:firstLine="632" w:firstLineChars="200"/>
        <w:jc w:val="both"/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sz w:val="32"/>
          <w:lang w:val="en-US" w:eastAsia="zh-CN"/>
        </w:rPr>
        <w:t>（三）监督管理情况。</w:t>
      </w:r>
      <w:r>
        <w:rPr>
          <w:rFonts w:hint="default" w:ascii="Times New Roman" w:hAnsi="Times New Roman" w:eastAsia="仿宋_GB2312" w:cs="Times New Roman"/>
          <w:b/>
          <w:sz w:val="32"/>
          <w:lang w:val="en-US" w:eastAsia="zh-CN"/>
        </w:rPr>
        <w:t>一是</w:t>
      </w:r>
      <w:r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  <w:t>着力提高企业年报率。通过广泛宣传、压实责任、部门协作、局领导挂钩联系方式，2024年度企业年报率为95.97%，重点行业领域企业年报率100%，大型企业年报率100%。</w:t>
      </w:r>
      <w:r>
        <w:rPr>
          <w:rFonts w:hint="default" w:ascii="Times New Roman" w:hAnsi="Times New Roman" w:eastAsia="仿宋_GB2312" w:cs="Times New Roman"/>
          <w:b/>
          <w:sz w:val="32"/>
          <w:lang w:val="en-US" w:eastAsia="zh-CN"/>
        </w:rPr>
        <w:t>二是</w:t>
      </w:r>
      <w:r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  <w:t>加强经营异常名录管理，强化对违规企业的信用约束和信用惩戒。对检查中发现未在登记住所经营或通过登记住所无法联系的，公示信息隐瞒真实情况、弄虚作假的，以及未按规定报送年度报告等情况均列入经营异常名录，给公众提示交易风险。2025年共有4927户次企业、43383户次个体户被列入经营异常名录，均通过国家企业信用信息公示系统对外公示，逐步形成信用倒逼机制，不断完善企业社会信用监管。</w:t>
      </w:r>
      <w:r>
        <w:rPr>
          <w:rFonts w:hint="default" w:ascii="Times New Roman" w:hAnsi="Times New Roman" w:eastAsia="仿宋_GB2312" w:cs="Times New Roman"/>
          <w:b/>
          <w:sz w:val="32"/>
          <w:lang w:val="en-US" w:eastAsia="zh-CN"/>
        </w:rPr>
        <w:t>三是</w:t>
      </w:r>
      <w:r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  <w:t>扎实推进“双随机”工作，圆满高效完成工作任务。2025年，我局开展本部门抽查65个，跨部门抽查89个，跨部门联合抽查任务占总任务数的比例为57%。我局“全面深化‘综合查一次’，实现监管效能与企业获得感双提升”获评广州市市场监管系统包容审慎监管“十佳案例”。</w:t>
      </w:r>
    </w:p>
    <w:p w14:paraId="37C0E068">
      <w:pPr>
        <w:spacing w:line="579" w:lineRule="exact"/>
        <w:ind w:firstLine="632" w:firstLineChars="200"/>
        <w:jc w:val="both"/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sz w:val="32"/>
          <w:lang w:val="en-US" w:eastAsia="zh-CN"/>
        </w:rPr>
        <w:t>（四）实施效果情况。</w:t>
      </w:r>
      <w:r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  <w:t>自实施商事登记改革以来，我区相关工作取得了明显成效。荔湾区</w:t>
      </w:r>
      <w:r>
        <w:rPr>
          <w:rFonts w:hint="default" w:ascii="Times New Roman" w:hAnsi="Times New Roman" w:eastAsia="仿宋_GB2312" w:cs="Times New Roman"/>
        </w:rPr>
        <w:t>实有各类市场主体约17.16万户、注册资本约3034亿元，同比分别增长13.9%和22.8%，其中企业约8.31万户、个体工商户约8.85万户，户数分别同比增长29.2%和2.4%。</w:t>
      </w:r>
      <w:r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  <w:t>实有注册资本亿元以上企业200家，同比增长4.17%。</w:t>
      </w:r>
    </w:p>
    <w:p w14:paraId="5BBAB3D5">
      <w:pPr>
        <w:spacing w:line="579" w:lineRule="exact"/>
        <w:ind w:firstLine="632" w:firstLineChars="200"/>
        <w:jc w:val="both"/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sz w:val="32"/>
          <w:lang w:val="en-US" w:eastAsia="zh-CN"/>
        </w:rPr>
        <w:t>（五）创新方式情况。</w:t>
      </w:r>
      <w:r>
        <w:rPr>
          <w:rFonts w:hint="default" w:ascii="Times New Roman" w:hAnsi="Times New Roman" w:eastAsia="仿宋_GB2312" w:cs="Times New Roman"/>
          <w:b/>
          <w:sz w:val="32"/>
          <w:lang w:val="en-US" w:eastAsia="zh-CN"/>
        </w:rPr>
        <w:t>一是</w:t>
      </w:r>
      <w:r>
        <w:rPr>
          <w:rFonts w:hint="default" w:ascii="Times New Roman" w:hAnsi="Times New Roman" w:eastAsia="仿宋_GB2312" w:cs="Times New Roman"/>
          <w:b w:val="0"/>
          <w:sz w:val="32"/>
        </w:rPr>
        <w:t>依托开办企业“一网通”平台，为企业提供即报即办、全日在线的登记服务，企业开办一次办结、半日领照，市场准入更加便利快捷</w:t>
      </w:r>
      <w:r>
        <w:rPr>
          <w:rFonts w:hint="default" w:ascii="Times New Roman" w:hAnsi="Times New Roman" w:eastAsia="仿宋_GB2312" w:cs="Times New Roman"/>
          <w:b w:val="0"/>
          <w:sz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sz w:val="32"/>
        </w:rPr>
        <w:t>3月29日起推行AI智能审批，</w:t>
      </w:r>
      <w:r>
        <w:rPr>
          <w:rFonts w:hint="default" w:ascii="Times New Roman" w:hAnsi="Times New Roman" w:cs="Times New Roman"/>
          <w:b w:val="0"/>
          <w:sz w:val="32"/>
          <w:lang w:eastAsia="zh-CN"/>
        </w:rPr>
        <w:t>大幅减时间、增活力</w:t>
      </w:r>
      <w:r>
        <w:rPr>
          <w:rFonts w:hint="default" w:ascii="Times New Roman" w:hAnsi="Times New Roman" w:eastAsia="仿宋_GB2312" w:cs="Times New Roman"/>
          <w:b w:val="0"/>
          <w:sz w:val="32"/>
        </w:rPr>
        <w:t>。</w:t>
      </w:r>
      <w:r>
        <w:rPr>
          <w:rFonts w:hint="default" w:ascii="Times New Roman" w:hAnsi="Times New Roman" w:eastAsia="仿宋_GB2312" w:cs="Times New Roman"/>
          <w:b w:val="0"/>
          <w:sz w:val="32"/>
          <w:lang w:eastAsia="zh-CN"/>
        </w:rPr>
        <w:t>同时，依法依规高效完成审批，开业、注销、变更审批时限</w:t>
      </w:r>
      <w:r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  <w:t>均</w:t>
      </w:r>
      <w:r>
        <w:rPr>
          <w:rFonts w:hint="default" w:ascii="Times New Roman" w:hAnsi="Times New Roman" w:cs="Times New Roman"/>
          <w:b w:val="0"/>
          <w:sz w:val="32"/>
          <w:lang w:val="en-US" w:eastAsia="zh-CN"/>
        </w:rPr>
        <w:t>远低于法定时限</w:t>
      </w:r>
      <w:r>
        <w:rPr>
          <w:rFonts w:hint="default" w:ascii="Times New Roman" w:hAnsi="Times New Roman" w:eastAsia="仿宋_GB2312" w:cs="Times New Roman"/>
          <w:b w:val="0"/>
          <w:sz w:val="32"/>
        </w:rPr>
        <w:t>。</w:t>
      </w:r>
      <w:r>
        <w:rPr>
          <w:rFonts w:hint="default" w:ascii="Times New Roman" w:hAnsi="Times New Roman" w:eastAsia="仿宋_GB2312" w:cs="Times New Roman"/>
          <w:b/>
          <w:sz w:val="32"/>
          <w:lang w:val="en-US" w:eastAsia="zh-CN"/>
        </w:rPr>
        <w:t>二是</w:t>
      </w:r>
      <w:r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  <w:t>结合荔湾区南北片地域特点，构建以注册科为核心、南北片各1个</w:t>
      </w:r>
      <w:r>
        <w:rPr>
          <w:rFonts w:hint="default" w:ascii="Times New Roman" w:hAnsi="Times New Roman" w:cs="Times New Roman"/>
          <w:b w:val="0"/>
          <w:sz w:val="32"/>
          <w:lang w:val="en-US" w:eastAsia="zh-CN"/>
        </w:rPr>
        <w:t>集中受理点</w:t>
      </w:r>
      <w:r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  <w:t>为支撑的“一心两点”服务体系，将原有的22个个体工商户登记窗口整合压缩至2个服务点，依托“市场主体直通车”小程序和“开办企业一网通平台”服务机制，为个体工商户提供“一站式”服务场景，通过流程优化和AI赋能，实现个体工商户注册登记全程网办、指尖可办。</w:t>
      </w:r>
      <w:r>
        <w:rPr>
          <w:rFonts w:hint="default" w:ascii="Times New Roman" w:hAnsi="Times New Roman" w:cs="Times New Roman"/>
          <w:b w:val="0"/>
          <w:sz w:val="32"/>
          <w:lang w:val="en-US" w:eastAsia="zh-CN"/>
        </w:rPr>
        <w:t>并通过选优配强人员力量、提优服务标准、制定服务制度规范等系列措施，</w:t>
      </w:r>
      <w:r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  <w:t>为个体工商户注册登记提供更加便捷、高效的服务。</w:t>
      </w:r>
      <w:r>
        <w:rPr>
          <w:rFonts w:hint="default" w:ascii="Times New Roman" w:hAnsi="Times New Roman" w:cs="Times New Roman"/>
          <w:b w:val="0"/>
          <w:sz w:val="32"/>
          <w:lang w:val="en-US" w:eastAsia="zh-CN"/>
        </w:rPr>
        <w:t>同时，</w:t>
      </w:r>
      <w:r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  <w:t>各监管所设置个体工商户登记导办员，</w:t>
      </w:r>
      <w:r>
        <w:rPr>
          <w:rFonts w:hint="default" w:ascii="Times New Roman" w:hAnsi="Times New Roman" w:cs="Times New Roman"/>
          <w:b w:val="0"/>
          <w:sz w:val="32"/>
          <w:lang w:val="en-US" w:eastAsia="zh-CN"/>
        </w:rPr>
        <w:t>宣传推广来访群众使用</w:t>
      </w:r>
      <w:r>
        <w:rPr>
          <w:rFonts w:hint="default" w:ascii="Times New Roman" w:hAnsi="Times New Roman" w:cs="Times New Roman"/>
          <w:b w:val="0"/>
          <w:bCs w:val="0"/>
          <w:sz w:val="32"/>
          <w:lang w:val="en-US" w:eastAsia="zh-CN"/>
        </w:rPr>
        <w:t>“AI帮办”新功能，</w:t>
      </w:r>
      <w:r>
        <w:rPr>
          <w:rFonts w:hint="default" w:ascii="Times New Roman" w:hAnsi="Times New Roman" w:cs="Times New Roman"/>
          <w:b w:val="0"/>
          <w:sz w:val="32"/>
          <w:lang w:val="en-US" w:eastAsia="zh-CN"/>
        </w:rPr>
        <w:t>体验AI智能的高效便利</w:t>
      </w:r>
      <w:r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  <w:t>。</w:t>
      </w:r>
    </w:p>
    <w:p w14:paraId="1D0E8CE5">
      <w:pPr>
        <w:spacing w:line="579" w:lineRule="exact"/>
        <w:ind w:firstLine="632" w:firstLineChars="200"/>
        <w:jc w:val="both"/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sz w:val="32"/>
        </w:rPr>
        <w:t>（六）推行标准化情况。</w:t>
      </w:r>
      <w:r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  <w:t>开展《办事指南》自检自查，对自查发现的问题及时修改完善，并在指南内详细列出实施依据、办理分类细项情况、申请材料、办理，减少上门企业办理次数。</w:t>
      </w:r>
    </w:p>
    <w:p w14:paraId="593F95B4">
      <w:pPr>
        <w:spacing w:line="579" w:lineRule="exact"/>
        <w:ind w:firstLine="632" w:firstLineChars="200"/>
        <w:jc w:val="both"/>
        <w:rPr>
          <w:rFonts w:hint="default" w:ascii="Times New Roman" w:hAnsi="Times New Roman" w:eastAsia="黑体" w:cs="Times New Roman"/>
          <w:b w:val="0"/>
          <w:sz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sz w:val="32"/>
          <w:lang w:val="en-US" w:eastAsia="zh-CN"/>
        </w:rPr>
        <w:t>二、存在的困难</w:t>
      </w:r>
      <w:bookmarkStart w:id="0" w:name="_GoBack"/>
      <w:bookmarkEnd w:id="0"/>
    </w:p>
    <w:p w14:paraId="28757915">
      <w:pPr>
        <w:spacing w:line="579" w:lineRule="exact"/>
        <w:ind w:firstLine="632" w:firstLineChars="200"/>
        <w:jc w:val="both"/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  <w:t>虽然近年来商事制度改革取得了一定成效，但是在实际推进过程中，还是暴露了不少问题。部分群众对刷脸帮人办照可能面临的后果知之甚少，导致被骗刷脸、虚假地址等虚假登记问题仍然存在，扰乱登记秩序。企业查档服务电子化问题仍未得到解决。</w:t>
      </w:r>
    </w:p>
    <w:p w14:paraId="26483466">
      <w:pPr>
        <w:spacing w:line="579" w:lineRule="exact"/>
        <w:ind w:firstLine="632" w:firstLineChars="200"/>
        <w:jc w:val="both"/>
        <w:rPr>
          <w:rFonts w:hint="default" w:ascii="Times New Roman" w:hAnsi="Times New Roman" w:eastAsia="黑体" w:cs="Times New Roman"/>
          <w:b w:val="0"/>
          <w:sz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sz w:val="32"/>
          <w:lang w:val="en-US" w:eastAsia="zh-CN"/>
        </w:rPr>
        <w:t>三、</w:t>
      </w:r>
      <w:r>
        <w:rPr>
          <w:rFonts w:hint="default" w:ascii="Times New Roman" w:hAnsi="Times New Roman" w:eastAsia="黑体" w:cs="Times New Roman"/>
          <w:b w:val="0"/>
          <w:sz w:val="32"/>
        </w:rPr>
        <w:t>下一步工作措施及有关建议</w:t>
      </w:r>
    </w:p>
    <w:p w14:paraId="16376E7C">
      <w:pPr>
        <w:keepNext w:val="0"/>
        <w:keepLines w:val="0"/>
        <w:pageBreakBefore w:val="0"/>
        <w:widowControl w:val="0"/>
        <w:kinsoku/>
        <w:wordWrap/>
        <w:autoSpaceDE/>
        <w:autoSpaceDN/>
        <w:bidi w:val="0"/>
        <w:adjustRightInd/>
        <w:snapToGrid/>
        <w:spacing w:line="578" w:lineRule="exact"/>
        <w:ind w:firstLine="632" w:firstLineChars="200"/>
        <w:jc w:val="both"/>
        <w:textAlignment w:val="auto"/>
        <w:rPr>
          <w:rFonts w:hint="default" w:ascii="Times New Roman" w:hAnsi="Times New Roman" w:eastAsia="楷体_GB2312" w:cs="Times New Roman"/>
          <w:b w:val="0"/>
          <w:sz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sz w:val="32"/>
          <w:lang w:val="en-US" w:eastAsia="zh-CN"/>
        </w:rPr>
        <w:t>（一）数字赋能加速审批改革。</w:t>
      </w:r>
      <w:r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  <w:t>打造个体工商户准入准营新高地。升级完善个体工商户集中受理模式，统一服务标准，推行“一窗通办”，实现从设立到注销的全生命周期“一站式”极速审批。充分运用“市场主体直通车”与“一网通”小程序平台，配齐配强基层监管所导办服务力量，推广“AI帮办”智能服务，力争将全程网办率提升至</w:t>
      </w:r>
      <w:r>
        <w:rPr>
          <w:rFonts w:hint="default" w:ascii="Times New Roman" w:hAnsi="Times New Roman" w:cs="Times New Roman"/>
          <w:b w:val="0"/>
          <w:sz w:val="32"/>
          <w:lang w:val="en-US" w:eastAsia="zh-CN"/>
        </w:rPr>
        <w:t>90</w:t>
      </w:r>
      <w:r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  <w:t>%以上，切实将审批服务便利化转化为促进个体经济高质量发展的强劲动能。</w:t>
      </w:r>
    </w:p>
    <w:p w14:paraId="1DE5A1ED">
      <w:pPr>
        <w:spacing w:line="579" w:lineRule="exact"/>
        <w:ind w:firstLine="632" w:firstLineChars="200"/>
        <w:jc w:val="both"/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b w:val="0"/>
          <w:bCs w:val="0"/>
          <w:sz w:val="32"/>
          <w:lang w:val="en-US" w:eastAsia="zh-CN"/>
        </w:rPr>
        <w:t>（二）加强联动规范市场秩序。</w:t>
      </w:r>
      <w:r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  <w:t>加强与人社、税务、规自、司法等部门的信息互通，强化审管衔接，及时发现和处置虚假地址、冒名登记等风险隐患，对虚假登记市场主体及时予以撤销，涉嫌犯罪的及时移交公安机关处理。持续开展长期停业未经营企业吊销工作，推进“僵尸户”清理常态化。按照上级部署稳妥推进强制注销公司登记工作，进一步完善市场主体退出机制，营造健康良好的营商环境。</w:t>
      </w:r>
    </w:p>
    <w:p w14:paraId="2D3E09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32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sz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 w:val="0"/>
          <w:sz w:val="32"/>
          <w:lang w:val="en-US" w:eastAsia="zh-CN"/>
        </w:rPr>
        <w:t>（三）</w:t>
      </w:r>
      <w:r>
        <w:rPr>
          <w:rFonts w:hint="default" w:ascii="Times New Roman" w:hAnsi="Times New Roman" w:eastAsia="楷体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丰富信用信息应用场景。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ar"/>
        </w:rPr>
        <w:t>探索“信用+”体系建设，促进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信用风险分类与“双随机”监管深度融合，拓展个体工商户信用风险分类结果运用。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ar"/>
        </w:rPr>
        <w:t>加强与银行类金融机构交流合作，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ar"/>
        </w:rPr>
        <w:t>为“白名单”企业提供信用合规激励，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 w:bidi="ar"/>
        </w:rPr>
        <w:t>助力中小企业高质量发展。</w:t>
      </w:r>
    </w:p>
    <w:sectPr>
      <w:footerReference r:id="rId3" w:type="default"/>
      <w:footerReference r:id="rId4" w:type="even"/>
      <w:pgSz w:w="11906" w:h="16838"/>
      <w:pgMar w:top="2098" w:right="1474" w:bottom="1984" w:left="1588" w:header="851" w:footer="1389" w:gutter="0"/>
      <w:cols w:space="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8981BDED-A6CB-4AA8-B364-64EF594FA12F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034850EB-A655-45CE-98D7-337084991491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Times Newer Roman">
    <w:altName w:val="ksdb"/>
    <w:panose1 w:val="00000500000000000000"/>
    <w:charset w:val="00"/>
    <w:family w:val="auto"/>
    <w:pitch w:val="default"/>
    <w:sig w:usb0="00000000" w:usb1="00000000" w:usb2="00000000" w:usb3="00000000" w:csb0="0000009F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  <w:embedRegular r:id="rId3" w:fontKey="{8D0FA318-983C-4FC2-A8C7-30165594DB3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830568A0-CCD7-4309-B44B-C930D2171783}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76548C">
    <w:pPr>
      <w:ind w:right="640" w:rightChars="200"/>
      <w:jc w:val="right"/>
      <w:rPr>
        <w:rFonts w:hint="eastAsia" w:ascii="宋体" w:hAnsi="宋体" w:eastAsia="宋体" w:cs="宋体"/>
        <w:sz w:val="28"/>
        <w:lang w:eastAsia="zh-CN"/>
      </w:rPr>
    </w:pPr>
    <w:r>
      <w:rPr>
        <w:rFonts w:hint="eastAsia" w:ascii="宋体" w:hAnsi="宋体" w:eastAsia="宋体" w:cs="宋体"/>
        <w:sz w:val="28"/>
        <w:lang w:eastAsia="zh-CN"/>
      </w:rPr>
      <w:t>—</w:t>
    </w:r>
    <w:r>
      <w:rPr>
        <w:rFonts w:hint="eastAsia" w:ascii="宋体" w:hAnsi="宋体" w:eastAsia="宋体" w:cs="宋体"/>
        <w:sz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lang w:eastAsia="zh-CN"/>
      </w:rPr>
      <w:instrText xml:space="preserve"> PAGE  \* MERGEFORMAT </w:instrText>
    </w:r>
    <w:r>
      <w:rPr>
        <w:rFonts w:hint="eastAsia" w:ascii="宋体" w:hAnsi="宋体" w:eastAsia="宋体" w:cs="宋体"/>
        <w:sz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lang w:eastAsia="zh-CN"/>
      </w:rPr>
      <w:t>1</w:t>
    </w:r>
    <w:r>
      <w:rPr>
        <w:rFonts w:hint="eastAsia" w:ascii="宋体" w:hAnsi="宋体" w:eastAsia="宋体" w:cs="宋体"/>
        <w:sz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lang w:eastAsia="zh-CN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C73DC8">
    <w:pPr>
      <w:ind w:left="640" w:leftChars="200"/>
      <w:jc w:val="left"/>
      <w:rPr>
        <w:rFonts w:hint="eastAsia" w:ascii="宋体" w:hAnsi="宋体" w:eastAsia="宋体" w:cs="宋体"/>
        <w:sz w:val="28"/>
        <w:lang w:eastAsia="zh-CN"/>
      </w:rPr>
    </w:pPr>
    <w:r>
      <w:rPr>
        <w:rFonts w:hint="eastAsia" w:ascii="宋体" w:hAnsi="宋体" w:eastAsia="宋体" w:cs="宋体"/>
        <w:sz w:val="28"/>
        <w:lang w:eastAsia="zh-CN"/>
      </w:rPr>
      <w:t>—</w:t>
    </w:r>
    <w:r>
      <w:rPr>
        <w:rFonts w:hint="eastAsia" w:ascii="宋体" w:hAnsi="宋体" w:eastAsia="宋体" w:cs="宋体"/>
        <w:sz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lang w:eastAsia="zh-CN"/>
      </w:rPr>
      <w:instrText xml:space="preserve"> PAGE  \* MERGEFORMAT </w:instrText>
    </w:r>
    <w:r>
      <w:rPr>
        <w:rFonts w:hint="eastAsia" w:ascii="宋体" w:hAnsi="宋体" w:eastAsia="宋体" w:cs="宋体"/>
        <w:sz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lang w:eastAsia="zh-CN"/>
      </w:rPr>
      <w:t>2</w:t>
    </w:r>
    <w:r>
      <w:rPr>
        <w:rFonts w:hint="eastAsia" w:ascii="宋体" w:hAnsi="宋体" w:eastAsia="宋体" w:cs="宋体"/>
        <w:sz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lang w:eastAsia="zh-CN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evenAndOddHeaders w:val="1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yNzQxOWY0ZDE4ZjVkMjhiYzVlMTdkMmMyNWYzOGUifQ=="/>
  </w:docVars>
  <w:rsids>
    <w:rsidRoot w:val="6C4A4CFC"/>
    <w:rsid w:val="00800AE0"/>
    <w:rsid w:val="0A0415FB"/>
    <w:rsid w:val="1B1E7CDD"/>
    <w:rsid w:val="26B94D2C"/>
    <w:rsid w:val="2C483081"/>
    <w:rsid w:val="2FFC6CAC"/>
    <w:rsid w:val="348E47B2"/>
    <w:rsid w:val="444E1620"/>
    <w:rsid w:val="4EAE5861"/>
    <w:rsid w:val="50D43BDB"/>
    <w:rsid w:val="5AF716EA"/>
    <w:rsid w:val="623335F2"/>
    <w:rsid w:val="64C31A0A"/>
    <w:rsid w:val="6C4A4CFC"/>
    <w:rsid w:val="6E134750"/>
    <w:rsid w:val="72F27337"/>
    <w:rsid w:val="77BE5893"/>
    <w:rsid w:val="7EFB7083"/>
    <w:rsid w:val="7EFE13E7"/>
    <w:rsid w:val="9DE73CF1"/>
    <w:rsid w:val="ABDE6BE3"/>
    <w:rsid w:val="BB3EABA7"/>
    <w:rsid w:val="F155FBFC"/>
    <w:rsid w:val="FE4D0DC2"/>
    <w:rsid w:val="FED38BBF"/>
    <w:rsid w:val="FFBF3E0B"/>
    <w:rsid w:val="FFFB5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widowControl w:val="0"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qFormat/>
    <w:uiPriority w:val="9"/>
    <w:pPr>
      <w:keepNext/>
      <w:keepLines/>
      <w:spacing w:before="260" w:after="260" w:line="416" w:lineRule="atLeast"/>
      <w:outlineLvl w:val="2"/>
    </w:pPr>
    <w:rPr>
      <w:b/>
      <w:bCs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nhideWhenUsed/>
    <w:qFormat/>
    <w:uiPriority w:val="99"/>
    <w:pPr>
      <w:spacing w:after="1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paragraph" w:customStyle="1" w:styleId="10">
    <w:name w:val="_Style 5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200" w:firstLineChars="200"/>
      <w:jc w:val="both"/>
    </w:pPr>
    <w:rPr>
      <w:rFonts w:hint="default" w:ascii="Times New Roman" w:hAnsi="Times New Roman" w:eastAsia="宋体" w:cs="Times New Roman"/>
      <w:kern w:val="2"/>
      <w:sz w:val="24"/>
      <w:szCs w:val="22"/>
      <w:lang w:val="en-US" w:eastAsia="zh-CN" w:bidi="ar"/>
    </w:rPr>
  </w:style>
  <w:style w:type="paragraph" w:customStyle="1" w:styleId="11">
    <w:name w:val="p18"/>
    <w:basedOn w:val="1"/>
    <w:qFormat/>
    <w:uiPriority w:val="0"/>
    <w:pPr>
      <w:widowControl/>
    </w:pPr>
    <w:rPr>
      <w:rFonts w:ascii="宋体" w:hAnsi="宋体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2fd63e6e-eb93-4e5e-a510-adc46dfd1f95</errorID>
      <errorWord>行政许可法</errorWord>
      <group>L1_Knowledge</group>
      <groupName>知识性问题</groupName>
      <ability>L2_Knowledge</ability>
      <abilityName>其他知识</abilityName>
      <candidateList>
        <item>中华人民共和国行政许可法</item>
      </candidateList>
      <explain>当前法律法规名称使用简称，请注意是否应当使用全称。</explain>
      <paraID>5C4DC55F</paraID>
      <start>17</start>
      <end>22</end>
      <status>unmodified</status>
      <modifiedWord/>
      <trackRevisions>false</trackRevisions>
    </reviewItem>
    <reviewItem>
      <errorID>55cdb8ae-dedc-47e2-83ca-fc4e1576eb0b</errorID>
      <errorWord>公司法</errorWord>
      <group>L1_Knowledge</group>
      <groupName>知识性问题</groupName>
      <ability>L2_Knowledge</ability>
      <abilityName>其他知识</abilityName>
      <candidateList>
        <item>中华人民共和国公司法</item>
      </candidateList>
      <explain>当前法律法规名称使用简称，请注意是否应当使用全称。</explain>
      <paraID>5C4DC55F</paraID>
      <start>24</start>
      <end>27</end>
      <status>unmodified</status>
      <modifiedWord/>
      <trackRevisions>false</trackRevisions>
    </reviewItem>
    <reviewItem>
      <errorID>72653483-1024-409a-952e-db152e4e0acd</errorID>
      <errorWord>计量法</errorWord>
      <group>L1_Knowledge</group>
      <groupName>知识性问题</groupName>
      <ability>L2_Knowledge</ability>
      <abilityName>其他知识</abilityName>
      <candidateList>
        <item>中华人民共和国计量法</item>
      </candidateList>
      <explain>当前法律法规名称使用简称，请注意是否应当使用全称。</explain>
      <paraID>5C4DC55F</paraID>
      <start>29</start>
      <end>32</end>
      <status>unmodified</status>
      <modifiedWord/>
      <trackRevisions>false</trackRevisions>
    </reviewItem>
    <reviewItem>
      <errorID>0655fa17-5f50-4d24-8321-97d75afd684c</errorID>
      <errorWord>特种设备安全法</errorWord>
      <group>L1_Knowledge</group>
      <groupName>知识性问题</groupName>
      <ability>L2_Knowledge</ability>
      <abilityName>其他知识</abilityName>
      <candidateList>
        <item>中华人民共和国特种设备安全法</item>
      </candidateList>
      <explain>当前法律法规名称使用简称，请注意是否应当使用全称。</explain>
      <paraID>5C4DC55F</paraID>
      <start>34</start>
      <end>41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39b7378f-b4d7-46f0-a40c-ab79db83fab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2070</Words>
  <Characters>2182</Characters>
  <Lines>0</Lines>
  <Paragraphs>0</Paragraphs>
  <TotalTime>37</TotalTime>
  <ScaleCrop>false</ScaleCrop>
  <LinksUpToDate>false</LinksUpToDate>
  <CharactersWithSpaces>2182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2024-03-23T02:01:00Z</dcterms:created>
  <dc:creator>lwwmy</dc:creator>
  <cp:lastModifiedBy>Double</cp:lastModifiedBy>
  <dcterms:modified xsi:type="dcterms:W3CDTF">2026-01-28T10:40:55Z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EFF2B4D9EFDD077681FF6D693B1CEC32_43</vt:lpwstr>
  </property>
  <property fmtid="{D5CDD505-2E9C-101B-9397-08002B2CF9AE}" pid="4" name="KSOTemplateDocerSaveRecord">
    <vt:lpwstr>eyJoZGlkIjoiNTMyYTYxZTY0MGEwZjQyZTMwN2IxOTQyZjIyNzkyMzQiLCJ1c2VySWQiOiI0OTk0NzA5OTUifQ==</vt:lpwstr>
  </property>
</Properties>
</file>