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EE5B9">
      <w:pPr>
        <w:spacing w:line="560" w:lineRule="exact"/>
        <w:ind w:left="-178" w:leftChars="-85" w:right="-153" w:rightChars="-73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广州市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荔湾区教育局</w:t>
      </w:r>
      <w:r>
        <w:rPr>
          <w:rFonts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_GBK" w:cs="Times New Roman"/>
          <w:sz w:val="44"/>
          <w:szCs w:val="44"/>
        </w:rPr>
        <w:t>年度行政许可实施</w:t>
      </w:r>
    </w:p>
    <w:p w14:paraId="786F653D">
      <w:pPr>
        <w:spacing w:line="560" w:lineRule="exact"/>
        <w:ind w:left="-178" w:leftChars="-85" w:right="-153" w:rightChars="-73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和监督管理情况报告</w:t>
      </w:r>
    </w:p>
    <w:p w14:paraId="3E0FE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 w14:paraId="0B4B3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根据《广东省行政许可监督管理条例》的要求，现将我单位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年行政许可实施和监督管理情况报告如下：</w:t>
      </w:r>
    </w:p>
    <w:p w14:paraId="58389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一、基本情况</w:t>
      </w:r>
    </w:p>
    <w:p w14:paraId="34BB2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年，本单位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实施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行政许可事项数量共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个主项，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个子项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16个事项全部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进驻广东省政务服务事项管理系统（广东政务服务网）。全年行政许可申请为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642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项，其中受理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598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项。办结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598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项，其中审批同意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598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项，审批不同意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项，不予受理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项。网上办理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557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项，网上全流程办结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531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项。</w:t>
      </w:r>
    </w:p>
    <w:p w14:paraId="40095AF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依法实施情况。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我局严格按照行政许可事项规定，遵守审批权限、范围、程序、条件；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存在变相设定和实施行政许可情况；</w:t>
      </w:r>
      <w:r>
        <w:rPr>
          <w:rFonts w:hint="eastAsia" w:ascii="仿宋_GB2312" w:hAnsi="仿宋_GB2312" w:eastAsia="仿宋_GB2312" w:cs="Times New Roman"/>
          <w:sz w:val="32"/>
          <w:szCs w:val="32"/>
          <w:shd w:val="clear" w:color="auto" w:fill="FFFFFF"/>
        </w:rPr>
        <w:t>以方便群众办事、规范审批行为主旨，不断优化流程梳理、简化审批程序</w:t>
      </w:r>
      <w:r>
        <w:rPr>
          <w:rFonts w:hint="eastAsia" w:ascii="仿宋_GB2312" w:hAnsi="仿宋_GB2312" w:eastAsia="仿宋_GB2312" w:cs="Times New Roman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Times New Roman"/>
          <w:sz w:val="32"/>
          <w:szCs w:val="32"/>
          <w:shd w:val="clear" w:color="auto" w:fill="FFFFFF"/>
          <w:lang w:val="en-US" w:eastAsia="zh-CN"/>
        </w:rPr>
        <w:t>在遵守法定办结期限的基础上压缩承诺办结期限，提高行政审批效率</w:t>
      </w:r>
      <w:r>
        <w:rPr>
          <w:rFonts w:hint="eastAsia" w:ascii="仿宋_GB2312" w:hAnsi="仿宋_GB2312" w:eastAsia="仿宋_GB2312" w:cs="Times New Roman"/>
          <w:sz w:val="32"/>
          <w:szCs w:val="32"/>
          <w:shd w:val="clear" w:color="auto" w:fill="FFFFFF"/>
        </w:rPr>
        <w:t>。</w:t>
      </w:r>
    </w:p>
    <w:p w14:paraId="1CB5E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（二）公开公示情况。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我局及时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广东政务服务网</w:t>
      </w:r>
      <w:r>
        <w:rPr>
          <w:rFonts w:hint="eastAsia" w:ascii="仿宋_GB2312" w:hAnsi="Times New Roman" w:eastAsia="仿宋_GB2312" w:cs="Times New Roman"/>
          <w:sz w:val="32"/>
          <w:szCs w:val="32"/>
        </w:rPr>
        <w:t>更新各事项实施主体、办事指南、格式规范、审批流程、办理条件、时限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咨询投诉方式</w:t>
      </w:r>
      <w:r>
        <w:rPr>
          <w:rFonts w:hint="eastAsia" w:ascii="仿宋_GB2312" w:hAnsi="Times New Roman" w:eastAsia="仿宋_GB2312" w:cs="Times New Roman"/>
          <w:sz w:val="32"/>
          <w:szCs w:val="32"/>
        </w:rPr>
        <w:t>等信息，同时在广东省行政执法信息公示平台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与广州市公共信用信息管理系统公示</w:t>
      </w:r>
      <w:r>
        <w:rPr>
          <w:rFonts w:hint="eastAsia" w:ascii="仿宋_GB2312" w:hAnsi="Times New Roman" w:eastAsia="仿宋_GB2312" w:cs="Times New Roman"/>
          <w:sz w:val="32"/>
          <w:szCs w:val="32"/>
        </w:rPr>
        <w:t>行政许可结果，全面接受社会的监督。</w:t>
      </w:r>
    </w:p>
    <w:p w14:paraId="180A6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Times New Roman"/>
          <w:sz w:val="32"/>
          <w:szCs w:val="32"/>
        </w:rPr>
        <w:t>（三）监督管理情况。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我局根据上级文件指引，实施各项行政审批工作。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年开展抽查监管共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707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人次，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未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收到行政相对人有效投诉举报，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未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抽查发现违法违规行为。</w:t>
      </w:r>
    </w:p>
    <w:p w14:paraId="62DE9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Times New Roman"/>
          <w:sz w:val="32"/>
          <w:szCs w:val="32"/>
        </w:rPr>
        <w:t>（四）实施效果情况。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达到设立行政许可时预期的目的，能在许可规定时限内完成一系列审批流程。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做到公开、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公平、公正，优化审批流程和规范审批程序，提高审批效率。服务满意度达到百分百。</w:t>
      </w:r>
    </w:p>
    <w:p w14:paraId="3207D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（五）创新方式情况。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方便市民网上完成办理。如在审核教师资格证材料的过程中，采取通过“穗好办”APP一次性告知申报人补正材料和电话告知的相结合</w:t>
      </w:r>
      <w:r>
        <w:rPr>
          <w:rFonts w:ascii="仿宋_GB2312" w:hAnsi="Times New Roman" w:eastAsia="仿宋_GB2312" w:cs="Times New Roman"/>
          <w:sz w:val="32"/>
          <w:szCs w:val="32"/>
        </w:rPr>
        <w:t>的方式，减少申报人提交资料的次数，提高相关事项的网上办理率。</w:t>
      </w:r>
    </w:p>
    <w:p w14:paraId="208EC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Times New Roman"/>
          <w:kern w:val="2"/>
          <w:sz w:val="32"/>
          <w:szCs w:val="32"/>
          <w:lang w:val="en-US" w:eastAsia="zh-CN" w:bidi="ar-SA"/>
        </w:rPr>
        <w:t>（六）推行标准化情况。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规范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行政许可事项名称、实施依据、申请条件、申请材料、办理时限、受理范围等要素。我局实施的行政许可不涉及中介服务，无需清理规范。</w:t>
      </w:r>
    </w:p>
    <w:p w14:paraId="7D3DA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二、存在问题和困难</w:t>
      </w:r>
    </w:p>
    <w:p w14:paraId="31E8E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我局执法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力量相对薄弱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执法人员数量不足，</w:t>
      </w:r>
      <w:r>
        <w:rPr>
          <w:rFonts w:hint="eastAsia" w:ascii="仿宋_GB2312" w:hAnsi="仿宋_GB2312" w:eastAsia="仿宋_GB2312" w:cs="仿宋_GB2312"/>
          <w:sz w:val="32"/>
          <w:szCs w:val="32"/>
        </w:rPr>
        <w:t>缺乏专门行政执法队伍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仍有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部分机构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未经审批开展校外培训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。我局审批认定的教师资格持证人员不在我区从教时，监督管理难度大。</w:t>
      </w:r>
    </w:p>
    <w:p w14:paraId="70A45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三、下一步工作措施及有关建议</w:t>
      </w:r>
    </w:p>
    <w:p w14:paraId="3C78D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Times New Roman"/>
          <w:sz w:val="32"/>
          <w:szCs w:val="32"/>
          <w:shd w:val="clear" w:color="auto" w:fill="FFFFFF"/>
        </w:rPr>
        <w:t>强化我局执法人员的业务能力，逐步组建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行政执法队伍，及时查处违法违规的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校外培训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机构，营造良好营商环境。</w:t>
      </w:r>
    </w:p>
    <w:p w14:paraId="52915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（二）加大对校外培训机构的监管力度，严格落实“双随机、一公开”监管要求。切实做好职责范围内的行政许可实施工作，依法依规实施行政许可，按要求在省市双公示平台上公布公示行政结果。</w:t>
      </w:r>
    </w:p>
    <w:p w14:paraId="56EEA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（三）打造全链条教师培养模式，将人才留在荔湾，积极探索我局审批认定的教师资格持证人员后期监督管理方法。</w:t>
      </w:r>
    </w:p>
    <w:p w14:paraId="2DE589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76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20BBF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76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荔湾区教育局</w:t>
      </w:r>
    </w:p>
    <w:p w14:paraId="49EAEC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760" w:firstLine="0" w:firstLine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2026年3月20日</w:t>
      </w:r>
    </w:p>
    <w:p w14:paraId="497CA6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27C6E"/>
    <w:multiLevelType w:val="singleLevel"/>
    <w:tmpl w:val="5A927C6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065EE"/>
    <w:rsid w:val="1610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Office_12.8.2.20793_F1E327BC-269C-435d-A152-05C5408002CA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2026-03-20T08:37:00Z</dcterms:created>
  <dc:creator>尹琴</dc:creator>
  <cp:lastModifiedBy>尹琴</cp:lastModifiedBy>
  <dcterms:modified xsi:type="dcterms:W3CDTF">2026-03-20T08:38:32Z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ICV">
    <vt:lpwstr>C9AB5286A60E46F68469800EC9AAFC5C_11</vt:lpwstr>
  </property>
</Properties>
</file>