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9578D0">
      <w:pPr>
        <w:spacing w:line="560" w:lineRule="exact"/>
        <w:ind w:left="0" w:leftChars="0" w:right="5" w:rightChars="0" w:firstLine="0" w:firstLineChars="0"/>
        <w:jc w:val="center"/>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广州市荔湾区城市管理和</w:t>
      </w:r>
      <w:r>
        <w:rPr>
          <w:rFonts w:hint="eastAsia" w:ascii="方正小标宋简体" w:hAnsi="方正小标宋简体" w:eastAsia="方正小标宋简体" w:cs="方正小标宋简体"/>
          <w:sz w:val="44"/>
          <w:szCs w:val="44"/>
          <w:lang w:val="en-US" w:eastAsia="zh-CN"/>
        </w:rPr>
        <w:t>综合</w:t>
      </w:r>
      <w:r>
        <w:rPr>
          <w:rFonts w:hint="eastAsia" w:ascii="方正小标宋简体" w:hAnsi="方正小标宋简体" w:eastAsia="方正小标宋简体" w:cs="方正小标宋简体"/>
          <w:sz w:val="44"/>
          <w:szCs w:val="44"/>
        </w:rPr>
        <w:t>执法局202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年度行政许可实施和监督管理情况报告</w:t>
      </w:r>
      <w:bookmarkEnd w:id="0"/>
    </w:p>
    <w:p w14:paraId="1A0C48D3">
      <w:pPr>
        <w:spacing w:line="540" w:lineRule="exact"/>
        <w:rPr>
          <w:rFonts w:hint="eastAsia" w:ascii="仿宋_GB2312" w:eastAsia="仿宋_GB2312"/>
          <w:sz w:val="32"/>
          <w:szCs w:val="32"/>
        </w:rPr>
      </w:pPr>
    </w:p>
    <w:p w14:paraId="4B129141">
      <w:pPr>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广东省行政许可监督管理条例</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要求，现将我单位20</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年行政许可实施和监督管理情况报告如下：</w:t>
      </w:r>
    </w:p>
    <w:p w14:paraId="467FE4F7">
      <w:pPr>
        <w:pageBreakBefore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一、基本情况</w:t>
      </w:r>
    </w:p>
    <w:p w14:paraId="7D070B5F">
      <w:pPr>
        <w:pStyle w:val="14"/>
        <w:keepNext w:val="0"/>
        <w:keepLines w:val="0"/>
        <w:pageBreakBefore w:val="0"/>
        <w:widowControl w:val="0"/>
        <w:kinsoku/>
        <w:wordWrap/>
        <w:overflowPunct/>
        <w:topLinePunct w:val="0"/>
        <w:autoSpaceDE/>
        <w:autoSpaceDN/>
        <w:bidi w:val="0"/>
        <w:adjustRightInd/>
        <w:snapToGrid/>
        <w:spacing w:beforeLines="0" w:afterLines="0" w:line="560" w:lineRule="exact"/>
        <w:ind w:firstLine="632" w:firstLineChars="200"/>
        <w:textAlignment w:val="auto"/>
        <w:rPr>
          <w:rFonts w:hint="eastAsia" w:ascii="仿宋_GB2312" w:hAnsi="仿宋_GB2312" w:eastAsia="仿宋_GB2312" w:cs="仿宋_GB2312"/>
          <w:color w:val="000000"/>
          <w:spacing w:val="0"/>
          <w:sz w:val="32"/>
          <w:szCs w:val="32"/>
          <w:highlight w:val="yellow"/>
          <w:shd w:val="clear" w:color="auto" w:fill="FFFFFF"/>
          <w:lang w:eastAsia="zh-CN"/>
        </w:rPr>
      </w:pPr>
      <w:r>
        <w:rPr>
          <w:rFonts w:hint="eastAsia" w:ascii="仿宋_GB2312" w:hAnsi="仿宋_GB2312" w:eastAsia="仿宋_GB2312" w:cs="仿宋_GB2312"/>
          <w:color w:val="000000"/>
          <w:spacing w:val="0"/>
          <w:sz w:val="32"/>
          <w:szCs w:val="32"/>
          <w:highlight w:val="none"/>
          <w:shd w:val="clear" w:color="auto" w:fill="FFFFFF"/>
          <w:lang w:eastAsia="zh-CN"/>
        </w:rPr>
        <w:t>我局行政许可事项共有</w:t>
      </w:r>
      <w:r>
        <w:rPr>
          <w:rFonts w:hint="eastAsia" w:ascii="仿宋_GB2312" w:hAnsi="仿宋_GB2312" w:cs="仿宋_GB2312"/>
          <w:color w:val="000000"/>
          <w:spacing w:val="0"/>
          <w:sz w:val="32"/>
          <w:szCs w:val="32"/>
          <w:highlight w:val="none"/>
          <w:shd w:val="clear" w:color="auto" w:fill="FFFFFF"/>
          <w:lang w:val="en-US" w:eastAsia="zh-CN"/>
        </w:rPr>
        <w:t>16</w:t>
      </w:r>
      <w:r>
        <w:rPr>
          <w:rFonts w:hint="eastAsia" w:ascii="仿宋_GB2312" w:hAnsi="仿宋_GB2312" w:eastAsia="仿宋_GB2312" w:cs="仿宋_GB2312"/>
          <w:color w:val="000000"/>
          <w:spacing w:val="0"/>
          <w:sz w:val="32"/>
          <w:szCs w:val="32"/>
          <w:highlight w:val="none"/>
          <w:shd w:val="clear" w:color="auto" w:fill="FFFFFF"/>
          <w:lang w:eastAsia="zh-CN"/>
        </w:rPr>
        <w:t>项，已全部进驻事项广东省政务服务事项管理系统</w:t>
      </w:r>
      <w:r>
        <w:rPr>
          <w:rFonts w:hint="eastAsia" w:ascii="Times New Roman" w:hAnsi="Times New Roman" w:eastAsia="仿宋_GB2312" w:cs="Times New Roman"/>
          <w:sz w:val="32"/>
          <w:szCs w:val="32"/>
        </w:rPr>
        <w:t>（广东政务服务网）</w:t>
      </w:r>
      <w:r>
        <w:rPr>
          <w:rFonts w:hint="eastAsia" w:ascii="仿宋_GB2312" w:hAnsi="仿宋_GB2312" w:eastAsia="仿宋_GB2312" w:cs="仿宋_GB2312"/>
          <w:color w:val="000000"/>
          <w:spacing w:val="0"/>
          <w:sz w:val="32"/>
          <w:szCs w:val="32"/>
          <w:highlight w:val="none"/>
          <w:shd w:val="clear" w:color="auto" w:fill="FFFFFF"/>
          <w:lang w:eastAsia="zh-CN"/>
        </w:rPr>
        <w:t>，分别是</w:t>
      </w:r>
      <w:r>
        <w:rPr>
          <w:rFonts w:hint="eastAsia" w:ascii="仿宋_GB2312" w:hAnsi="仿宋_GB2312" w:cs="仿宋_GB2312"/>
          <w:color w:val="000000"/>
          <w:spacing w:val="0"/>
          <w:sz w:val="32"/>
          <w:szCs w:val="32"/>
          <w:highlight w:val="none"/>
          <w:shd w:val="clear" w:color="auto" w:fill="FFFFFF"/>
          <w:lang w:eastAsia="zh-CN"/>
        </w:rPr>
        <w:t>：</w:t>
      </w:r>
      <w:r>
        <w:rPr>
          <w:rFonts w:hint="eastAsia" w:ascii="仿宋_GB2312" w:hAnsi="仿宋_GB2312" w:eastAsia="仿宋_GB2312" w:cs="仿宋_GB2312"/>
          <w:color w:val="000000"/>
          <w:spacing w:val="0"/>
          <w:sz w:val="32"/>
          <w:szCs w:val="32"/>
          <w:highlight w:val="none"/>
          <w:shd w:val="clear" w:color="auto" w:fill="FFFFFF"/>
          <w:lang w:eastAsia="zh-CN"/>
        </w:rPr>
        <w:t>城市建筑垃圾处置（排放）核准；城市建筑垃圾处置（受纳）核准；城市建筑垃圾准运审批；燃气经营许可证核发（首次办理）；燃气经营许可证核发（变更）；燃气经营许可证核发（延续）；燃气经营许可证核发（注销）；在城市建筑物、设施上悬挂、张贴宣传品审批；设置大型户外广告审批；从事城市生活垃圾经营性处理服务审批；从事城市生活垃圾经营性清扫、收集、运输、处理服务许可变更审批；关闭、闲置或者拆除生活垃圾处置的设施、场所核准；拆除城市环卫设施许可；设置大型户外广告审批（变更）；设置大型户外广告审批（延续）</w:t>
      </w:r>
      <w:r>
        <w:rPr>
          <w:rFonts w:hint="eastAsia" w:ascii="仿宋_GB2312" w:hAnsi="仿宋_GB2312" w:cs="仿宋_GB2312"/>
          <w:color w:val="000000"/>
          <w:spacing w:val="0"/>
          <w:sz w:val="32"/>
          <w:szCs w:val="32"/>
          <w:highlight w:val="none"/>
          <w:shd w:val="clear" w:color="auto" w:fill="FFFFFF"/>
          <w:lang w:eastAsia="zh-CN"/>
        </w:rPr>
        <w:t>。</w:t>
      </w:r>
    </w:p>
    <w:p w14:paraId="0D512669">
      <w:pPr>
        <w:pStyle w:val="14"/>
        <w:keepNext w:val="0"/>
        <w:keepLines w:val="0"/>
        <w:pageBreakBefore w:val="0"/>
        <w:widowControl w:val="0"/>
        <w:kinsoku/>
        <w:wordWrap/>
        <w:overflowPunct/>
        <w:topLinePunct w:val="0"/>
        <w:autoSpaceDE/>
        <w:autoSpaceDN/>
        <w:bidi w:val="0"/>
        <w:adjustRightInd/>
        <w:snapToGrid/>
        <w:spacing w:beforeLines="0" w:afterLines="0" w:line="560" w:lineRule="exact"/>
        <w:ind w:firstLine="632" w:firstLineChars="200"/>
        <w:textAlignment w:val="auto"/>
        <w:rPr>
          <w:rFonts w:hint="eastAsia" w:ascii="仿宋_GB2312" w:hAnsi="仿宋_GB2312" w:eastAsia="仿宋_GB2312" w:cs="仿宋_GB2312"/>
          <w:color w:val="000000"/>
          <w:spacing w:val="0"/>
          <w:sz w:val="32"/>
          <w:szCs w:val="32"/>
          <w:shd w:val="clear" w:color="auto" w:fill="FFFFFF"/>
          <w:lang w:val="en-US" w:eastAsia="zh-CN" w:bidi="ar-SA"/>
        </w:rPr>
      </w:pPr>
      <w:r>
        <w:rPr>
          <w:rFonts w:hint="eastAsia" w:ascii="仿宋_GB2312" w:hAnsi="仿宋_GB2312" w:eastAsia="仿宋_GB2312" w:cs="仿宋_GB2312"/>
          <w:color w:val="000000"/>
          <w:spacing w:val="0"/>
          <w:sz w:val="32"/>
          <w:szCs w:val="32"/>
          <w:shd w:val="clear" w:color="auto" w:fill="FFFFFF"/>
          <w:lang w:eastAsia="zh-CN"/>
        </w:rPr>
        <w:t>2025年我局行政许可申请279宗，受理279宗，行政许可事项办结279宗，准予许可量为278宗。其中：城市建筑垃圾处置（排放）核准136宗，城市建筑垃圾准运审批95宗，城市建筑垃圾处置（受纳）核准20宗；设置大型户外广告审批3宗，在城市建筑物、设施上悬挂、张贴宣传品审批14宗；从事生活垃圾清扫、收集、运输服务审批4宗，拆除城市环卫设施许可3宗；燃气经营许可证核发(变更）4宗。</w:t>
      </w:r>
    </w:p>
    <w:p w14:paraId="36805825">
      <w:pPr>
        <w:keepNext/>
        <w:keepLines/>
        <w:pageBreakBefore w:val="0"/>
        <w:widowControl w:val="0"/>
        <w:kinsoku/>
        <w:wordWrap/>
        <w:overflowPunct/>
        <w:topLinePunct w:val="0"/>
        <w:autoSpaceDE/>
        <w:autoSpaceDN/>
        <w:bidi w:val="0"/>
        <w:adjustRightInd/>
        <w:snapToGrid/>
        <w:spacing w:beforeLines="0" w:beforeAutospacing="0" w:afterLines="0" w:afterAutospacing="0" w:line="560" w:lineRule="exact"/>
        <w:ind w:firstLine="632" w:firstLineChars="200"/>
        <w:jc w:val="both"/>
        <w:textAlignment w:val="auto"/>
        <w:outlineLvl w:val="2"/>
        <w:rPr>
          <w:rFonts w:hint="eastAsia" w:ascii="楷体_GB2312" w:hAnsi="楷体_GB2312" w:eastAsia="楷体_GB2312" w:cs="楷体_GB2312"/>
          <w:sz w:val="32"/>
          <w:szCs w:val="32"/>
          <w:lang w:val="en-US" w:eastAsia="zh-CN" w:bidi="ar-SA"/>
        </w:rPr>
      </w:pPr>
      <w:r>
        <w:rPr>
          <w:rFonts w:hint="eastAsia" w:ascii="楷体_GB2312" w:hAnsi="楷体_GB2312" w:eastAsia="楷体_GB2312" w:cs="楷体_GB2312"/>
          <w:sz w:val="32"/>
          <w:szCs w:val="32"/>
          <w:lang w:val="en-US" w:eastAsia="zh-CN" w:bidi="ar-SA"/>
        </w:rPr>
        <w:t>（一）依法实施情况</w:t>
      </w:r>
    </w:p>
    <w:p w14:paraId="1189E46F">
      <w:pPr>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60" w:lineRule="exact"/>
        <w:ind w:left="0" w:right="0" w:firstLine="632" w:firstLineChars="200"/>
        <w:jc w:val="both"/>
        <w:textAlignment w:val="auto"/>
        <w:rPr>
          <w:rFonts w:hint="eastAsia" w:ascii="仿宋_GB2312" w:hAnsi="仿宋_GB2312" w:eastAsia="仿宋_GB2312" w:cs="仿宋_GB2312"/>
          <w:spacing w:val="0"/>
          <w:position w:val="0"/>
          <w:sz w:val="32"/>
          <w:szCs w:val="32"/>
          <w:lang w:eastAsia="zh-CN" w:bidi="ar-SA"/>
        </w:rPr>
      </w:pPr>
      <w:r>
        <w:rPr>
          <w:rFonts w:hint="eastAsia" w:ascii="仿宋_GB2312" w:hAnsi="仿宋_GB2312" w:eastAsia="仿宋_GB2312" w:cs="仿宋_GB2312"/>
          <w:spacing w:val="0"/>
          <w:position w:val="0"/>
          <w:sz w:val="32"/>
          <w:szCs w:val="32"/>
          <w:lang w:eastAsia="zh-CN" w:bidi="ar-SA"/>
        </w:rPr>
        <w:t>严格</w:t>
      </w:r>
      <w:r>
        <w:rPr>
          <w:rFonts w:hint="eastAsia" w:ascii="仿宋_GB2312" w:hAnsi="仿宋_GB2312" w:cs="仿宋_GB2312"/>
          <w:spacing w:val="0"/>
          <w:position w:val="0"/>
          <w:sz w:val="32"/>
          <w:szCs w:val="32"/>
          <w:lang w:val="en-US" w:eastAsia="zh-CN" w:bidi="ar-SA"/>
        </w:rPr>
        <w:t>依照</w:t>
      </w:r>
      <w:r>
        <w:rPr>
          <w:rFonts w:hint="eastAsia" w:ascii="Times New Roman" w:hAnsi="Times New Roman" w:eastAsia="仿宋_GB2312"/>
          <w:sz w:val="32"/>
          <w:szCs w:val="32"/>
        </w:rPr>
        <w:t>《中华人民共和国行政许可法》</w:t>
      </w:r>
      <w:r>
        <w:rPr>
          <w:rFonts w:hint="eastAsia" w:ascii="Times New Roman" w:hAnsi="Times New Roman"/>
          <w:sz w:val="32"/>
          <w:szCs w:val="32"/>
          <w:lang w:eastAsia="zh-CN"/>
        </w:rPr>
        <w:t>《</w:t>
      </w:r>
      <w:r>
        <w:rPr>
          <w:rFonts w:hint="eastAsia" w:ascii="Times New Roman" w:hAnsi="Times New Roman" w:eastAsia="仿宋_GB2312"/>
          <w:sz w:val="32"/>
          <w:szCs w:val="32"/>
        </w:rPr>
        <w:t>广州市建筑废弃物管理条例</w:t>
      </w:r>
      <w:r>
        <w:rPr>
          <w:rFonts w:hint="eastAsia" w:ascii="Times New Roman" w:hAnsi="Times New Roman"/>
          <w:sz w:val="32"/>
          <w:szCs w:val="32"/>
          <w:lang w:eastAsia="zh-CN"/>
        </w:rPr>
        <w:t>》</w:t>
      </w:r>
      <w:r>
        <w:rPr>
          <w:rFonts w:hint="eastAsia"/>
          <w:sz w:val="32"/>
          <w:szCs w:val="32"/>
          <w:lang w:eastAsia="zh-CN"/>
        </w:rPr>
        <w:t>《</w:t>
      </w:r>
      <w:r>
        <w:rPr>
          <w:rFonts w:hint="eastAsia" w:ascii="Times New Roman" w:hAnsi="Times New Roman"/>
          <w:sz w:val="32"/>
          <w:szCs w:val="32"/>
          <w:lang w:eastAsia="zh-CN"/>
        </w:rPr>
        <w:t>广州市户外广告和招牌设置管理办法</w:t>
      </w:r>
      <w:r>
        <w:rPr>
          <w:rFonts w:hint="eastAsia"/>
          <w:sz w:val="32"/>
          <w:szCs w:val="32"/>
          <w:lang w:eastAsia="zh-CN"/>
        </w:rPr>
        <w:t>》《燃气经营许可管理办法》</w:t>
      </w:r>
      <w:r>
        <w:rPr>
          <w:rFonts w:hint="eastAsia"/>
          <w:sz w:val="32"/>
          <w:szCs w:val="32"/>
          <w:lang w:val="en-US" w:eastAsia="zh-CN"/>
        </w:rPr>
        <w:t>等</w:t>
      </w:r>
      <w:r>
        <w:rPr>
          <w:rFonts w:hint="eastAsia" w:ascii="仿宋_GB2312" w:hAnsi="仿宋_GB2312" w:eastAsia="仿宋_GB2312" w:cs="仿宋_GB2312"/>
          <w:spacing w:val="0"/>
          <w:position w:val="0"/>
          <w:sz w:val="32"/>
          <w:szCs w:val="32"/>
          <w:lang w:eastAsia="zh-CN" w:bidi="ar-SA"/>
        </w:rPr>
        <w:t>法律法规规定的审批权限、范围、程序、条件</w:t>
      </w:r>
      <w:r>
        <w:rPr>
          <w:rFonts w:hint="eastAsia" w:ascii="仿宋_GB2312" w:hAnsi="仿宋_GB2312" w:cs="仿宋_GB2312"/>
          <w:spacing w:val="0"/>
          <w:position w:val="0"/>
          <w:sz w:val="32"/>
          <w:szCs w:val="32"/>
          <w:lang w:val="en-US" w:eastAsia="zh-CN" w:bidi="ar-SA"/>
        </w:rPr>
        <w:t>依法实施行政许可</w:t>
      </w:r>
      <w:r>
        <w:rPr>
          <w:rFonts w:hint="eastAsia" w:ascii="仿宋_GB2312" w:hAnsi="仿宋_GB2312" w:eastAsia="仿宋_GB2312" w:cs="仿宋_GB2312"/>
          <w:spacing w:val="0"/>
          <w:position w:val="0"/>
          <w:sz w:val="32"/>
          <w:szCs w:val="32"/>
          <w:lang w:eastAsia="zh-CN" w:bidi="ar-SA"/>
        </w:rPr>
        <w:t>，不存在变相设定和实施行政许可情况</w:t>
      </w:r>
      <w:r>
        <w:rPr>
          <w:rFonts w:hint="eastAsia" w:ascii="仿宋_GB2312" w:hAnsi="仿宋_GB2312" w:cs="仿宋_GB2312"/>
          <w:spacing w:val="0"/>
          <w:position w:val="0"/>
          <w:sz w:val="32"/>
          <w:szCs w:val="32"/>
          <w:lang w:eastAsia="zh-CN" w:bidi="ar-SA"/>
        </w:rPr>
        <w:t>。</w:t>
      </w:r>
      <w:r>
        <w:rPr>
          <w:rFonts w:hint="eastAsia" w:ascii="Times New Roman" w:hAnsi="Times New Roman" w:eastAsia="仿宋_GB2312"/>
          <w:sz w:val="32"/>
          <w:szCs w:val="32"/>
        </w:rPr>
        <w:t>没有制定行政许可配套规范性文件。</w:t>
      </w:r>
    </w:p>
    <w:p w14:paraId="24FD1B68">
      <w:pPr>
        <w:keepNext/>
        <w:keepLines/>
        <w:pageBreakBefore w:val="0"/>
        <w:widowControl w:val="0"/>
        <w:kinsoku/>
        <w:wordWrap/>
        <w:overflowPunct/>
        <w:topLinePunct w:val="0"/>
        <w:autoSpaceDE/>
        <w:autoSpaceDN/>
        <w:bidi w:val="0"/>
        <w:adjustRightInd/>
        <w:snapToGrid/>
        <w:spacing w:beforeLines="0" w:beforeAutospacing="0" w:afterLines="0" w:afterAutospacing="0" w:line="560" w:lineRule="exact"/>
        <w:ind w:firstLine="632" w:firstLineChars="200"/>
        <w:jc w:val="both"/>
        <w:textAlignment w:val="auto"/>
        <w:outlineLvl w:val="2"/>
        <w:rPr>
          <w:rFonts w:hint="eastAsia" w:ascii="楷体_GB2312" w:hAnsi="楷体_GB2312" w:eastAsia="楷体_GB2312" w:cs="楷体_GB2312"/>
          <w:sz w:val="32"/>
          <w:szCs w:val="32"/>
          <w:lang w:val="en-US" w:eastAsia="zh-CN" w:bidi="ar-SA"/>
        </w:rPr>
      </w:pPr>
      <w:r>
        <w:rPr>
          <w:rFonts w:hint="eastAsia" w:ascii="楷体_GB2312" w:hAnsi="楷体_GB2312" w:eastAsia="楷体_GB2312" w:cs="楷体_GB2312"/>
          <w:sz w:val="32"/>
          <w:szCs w:val="32"/>
          <w:lang w:val="en-US" w:eastAsia="zh-CN" w:bidi="ar-SA"/>
        </w:rPr>
        <w:t>（二）公开公示情况</w:t>
      </w:r>
    </w:p>
    <w:p w14:paraId="68C3410F">
      <w:pPr>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60" w:lineRule="exact"/>
        <w:ind w:left="0" w:right="0" w:firstLine="632" w:firstLineChars="200"/>
        <w:jc w:val="both"/>
        <w:textAlignment w:val="auto"/>
        <w:rPr>
          <w:rFonts w:hint="eastAsia" w:ascii="仿宋_GB2312" w:hAnsi="仿宋_GB2312" w:eastAsia="仿宋_GB2312" w:cs="仿宋_GB2312"/>
          <w:spacing w:val="0"/>
          <w:position w:val="0"/>
          <w:sz w:val="32"/>
          <w:szCs w:val="32"/>
          <w:lang w:eastAsia="zh-CN" w:bidi="ar-SA"/>
        </w:rPr>
      </w:pPr>
      <w:r>
        <w:rPr>
          <w:rFonts w:hint="eastAsia" w:ascii="仿宋_GB2312" w:hAnsi="仿宋_GB2312" w:cs="仿宋_GB2312"/>
          <w:spacing w:val="0"/>
          <w:position w:val="0"/>
          <w:sz w:val="32"/>
          <w:szCs w:val="32"/>
          <w:lang w:val="en-US" w:eastAsia="zh-CN" w:bidi="ar-SA"/>
        </w:rPr>
        <w:t>我局</w:t>
      </w:r>
      <w:r>
        <w:rPr>
          <w:rFonts w:hint="eastAsia" w:ascii="仿宋_GB2312" w:hAnsi="仿宋_GB2312" w:eastAsia="仿宋_GB2312" w:cs="仿宋_GB2312"/>
          <w:spacing w:val="0"/>
          <w:position w:val="0"/>
          <w:sz w:val="32"/>
          <w:szCs w:val="32"/>
          <w:lang w:eastAsia="zh-CN" w:bidi="ar-SA"/>
        </w:rPr>
        <w:t>行政许可实施主体、依据、程序、条件、期限、裁量标准、申请材料及办法、收费标准、申请书格式文本、咨询投诉方式等信息</w:t>
      </w:r>
      <w:r>
        <w:rPr>
          <w:rFonts w:hint="eastAsia" w:ascii="仿宋_GB2312" w:hAnsi="仿宋_GB2312" w:cs="仿宋_GB2312"/>
          <w:spacing w:val="0"/>
          <w:position w:val="0"/>
          <w:sz w:val="32"/>
          <w:szCs w:val="32"/>
          <w:lang w:eastAsia="zh-CN" w:bidi="ar-SA"/>
        </w:rPr>
        <w:t>，</w:t>
      </w:r>
      <w:r>
        <w:rPr>
          <w:rFonts w:hint="eastAsia" w:ascii="Times New Roman" w:hAnsi="Times New Roman" w:eastAsia="仿宋_GB2312"/>
          <w:sz w:val="32"/>
          <w:szCs w:val="32"/>
        </w:rPr>
        <w:t>按照《中华人民共和国政府信息公开条例》及相关法律法规规定，</w:t>
      </w:r>
      <w:r>
        <w:rPr>
          <w:rFonts w:hint="eastAsia" w:ascii="仿宋_GB2312" w:hAnsi="仿宋_GB2312" w:eastAsia="仿宋_GB2312" w:cs="仿宋_GB2312"/>
          <w:spacing w:val="0"/>
          <w:position w:val="0"/>
          <w:sz w:val="32"/>
          <w:szCs w:val="32"/>
          <w:lang w:eastAsia="zh-CN" w:bidi="ar-SA"/>
        </w:rPr>
        <w:t>在广东政务服务网公示</w:t>
      </w:r>
      <w:r>
        <w:rPr>
          <w:rFonts w:hint="eastAsia" w:ascii="仿宋_GB2312" w:hAnsi="仿宋_GB2312" w:cs="仿宋_GB2312"/>
          <w:spacing w:val="0"/>
          <w:position w:val="0"/>
          <w:sz w:val="32"/>
          <w:szCs w:val="32"/>
          <w:lang w:eastAsia="zh-CN" w:bidi="ar-SA"/>
        </w:rPr>
        <w:t>。</w:t>
      </w:r>
      <w:r>
        <w:rPr>
          <w:rFonts w:hint="eastAsia" w:ascii="仿宋_GB2312" w:hAnsi="仿宋_GB2312" w:cs="仿宋_GB2312"/>
          <w:spacing w:val="0"/>
          <w:position w:val="0"/>
          <w:sz w:val="32"/>
          <w:szCs w:val="32"/>
          <w:lang w:val="en-US" w:eastAsia="zh-CN" w:bidi="ar-SA"/>
        </w:rPr>
        <w:t>同时</w:t>
      </w:r>
      <w:r>
        <w:rPr>
          <w:rFonts w:hint="eastAsia" w:ascii="仿宋_GB2312" w:hAnsi="仿宋_GB2312" w:eastAsia="仿宋_GB2312" w:cs="仿宋_GB2312"/>
          <w:spacing w:val="0"/>
          <w:position w:val="0"/>
          <w:sz w:val="32"/>
          <w:szCs w:val="32"/>
          <w:lang w:eastAsia="zh-CN" w:bidi="ar-SA"/>
        </w:rPr>
        <w:t>我局加强行政许可双公开的要求，分别在信用中国、广州市荔湾区门户网站、广东省行政执法信息公示平台公示，主动接受社会各界的监督。</w:t>
      </w:r>
    </w:p>
    <w:p w14:paraId="55B6A43E">
      <w:pPr>
        <w:keepNext/>
        <w:keepLines/>
        <w:pageBreakBefore w:val="0"/>
        <w:widowControl w:val="0"/>
        <w:kinsoku/>
        <w:wordWrap/>
        <w:overflowPunct/>
        <w:topLinePunct w:val="0"/>
        <w:autoSpaceDE/>
        <w:autoSpaceDN/>
        <w:bidi w:val="0"/>
        <w:adjustRightInd/>
        <w:snapToGrid/>
        <w:spacing w:beforeLines="0" w:beforeAutospacing="0" w:afterLines="0" w:afterAutospacing="0" w:line="560" w:lineRule="exact"/>
        <w:ind w:firstLine="632" w:firstLineChars="200"/>
        <w:jc w:val="both"/>
        <w:textAlignment w:val="auto"/>
        <w:outlineLvl w:val="2"/>
        <w:rPr>
          <w:rFonts w:hint="eastAsia" w:ascii="楷体_GB2312" w:hAnsi="楷体_GB2312" w:eastAsia="楷体_GB2312" w:cs="楷体_GB2312"/>
          <w:sz w:val="32"/>
          <w:szCs w:val="32"/>
          <w:lang w:val="en-US" w:eastAsia="zh-CN" w:bidi="ar-SA"/>
        </w:rPr>
      </w:pPr>
      <w:r>
        <w:rPr>
          <w:rFonts w:hint="eastAsia" w:ascii="楷体_GB2312" w:hAnsi="楷体_GB2312" w:eastAsia="楷体_GB2312" w:cs="楷体_GB2312"/>
          <w:sz w:val="32"/>
          <w:szCs w:val="32"/>
          <w:lang w:val="en-US" w:eastAsia="zh-CN" w:bidi="ar-SA"/>
        </w:rPr>
        <w:t>（三）监督管理情况</w:t>
      </w:r>
    </w:p>
    <w:p w14:paraId="716B5B85">
      <w:pPr>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pacing w:val="0"/>
          <w:position w:val="0"/>
          <w:sz w:val="32"/>
          <w:szCs w:val="32"/>
          <w:lang w:eastAsia="zh-CN" w:bidi="ar-SA"/>
        </w:rPr>
      </w:pPr>
      <w:r>
        <w:rPr>
          <w:rFonts w:hint="eastAsia" w:ascii="仿宋_GB2312" w:hAnsi="仿宋_GB2312" w:eastAsia="仿宋_GB2312" w:cs="仿宋_GB2312"/>
          <w:spacing w:val="0"/>
          <w:position w:val="0"/>
          <w:sz w:val="32"/>
          <w:szCs w:val="32"/>
          <w:lang w:eastAsia="zh-CN" w:bidi="ar-SA"/>
        </w:rPr>
        <w:t>我局按照“放管服”改革要求，厘清管理职能与执法责任边界，形成事前预防、事中检查、事后查处有机结合的长效监管机制。严格落实审批事项的事中、事后监管，建立常态化巡查和联合执法机制，与住建、交通、公安等其他部门联动，加强对建筑工地、余泥运输、户外广告、燃气站点等监督执法。</w:t>
      </w:r>
      <w:r>
        <w:rPr>
          <w:rFonts w:hint="eastAsia" w:ascii="仿宋" w:hAnsi="仿宋" w:eastAsia="仿宋" w:cs="仿宋"/>
          <w:kern w:val="2"/>
          <w:sz w:val="32"/>
          <w:szCs w:val="32"/>
          <w:lang w:val="en-US" w:eastAsia="zh-CN" w:bidi="ar-SA"/>
        </w:rPr>
        <w:t>制定并印发《荔湾区城市管理和综合执法局2025年党风廉政建设和反腐败工作计划》，高标准推进年度纪检监察工作落实，集中整治“违规吃喝”7个方面，紧扣行政许可廉政风险点，以身边案、身边事教育警醒广大党员干部，推进政府系统廉政建设和反腐败斗争。</w:t>
      </w:r>
    </w:p>
    <w:p w14:paraId="52D835F2">
      <w:pPr>
        <w:keepNext/>
        <w:keepLines/>
        <w:pageBreakBefore w:val="0"/>
        <w:widowControl w:val="0"/>
        <w:kinsoku/>
        <w:wordWrap/>
        <w:overflowPunct/>
        <w:topLinePunct w:val="0"/>
        <w:autoSpaceDE/>
        <w:autoSpaceDN/>
        <w:bidi w:val="0"/>
        <w:adjustRightInd/>
        <w:snapToGrid/>
        <w:spacing w:beforeLines="0" w:beforeAutospacing="0" w:afterLines="0" w:afterAutospacing="0" w:line="560" w:lineRule="exact"/>
        <w:ind w:firstLine="632" w:firstLineChars="200"/>
        <w:jc w:val="both"/>
        <w:textAlignment w:val="auto"/>
        <w:outlineLvl w:val="2"/>
        <w:rPr>
          <w:rFonts w:hint="eastAsia" w:ascii="楷体_GB2312" w:hAnsi="楷体_GB2312" w:eastAsia="楷体_GB2312" w:cs="楷体_GB2312"/>
          <w:sz w:val="32"/>
          <w:szCs w:val="32"/>
          <w:lang w:val="en-US" w:eastAsia="zh-CN" w:bidi="ar-SA"/>
        </w:rPr>
      </w:pPr>
      <w:r>
        <w:rPr>
          <w:rFonts w:hint="eastAsia" w:ascii="楷体_GB2312" w:hAnsi="楷体_GB2312" w:eastAsia="楷体_GB2312" w:cs="楷体_GB2312"/>
          <w:sz w:val="32"/>
          <w:szCs w:val="32"/>
          <w:lang w:val="en-US" w:eastAsia="zh-CN" w:bidi="ar-SA"/>
        </w:rPr>
        <w:t>（四）实施效果情况</w:t>
      </w:r>
    </w:p>
    <w:p w14:paraId="7CB409B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560" w:lineRule="exact"/>
        <w:ind w:left="0" w:right="0" w:firstLine="730" w:firstLineChars="231"/>
        <w:jc w:val="left"/>
        <w:textAlignment w:val="auto"/>
        <w:rPr>
          <w:rFonts w:hint="default" w:ascii="仿宋_GB2312" w:hAnsi="仿宋_GB2312" w:eastAsia="仿宋_GB2312" w:cs="仿宋_GB2312"/>
          <w:spacing w:val="0"/>
          <w:position w:val="0"/>
          <w:sz w:val="32"/>
          <w:szCs w:val="32"/>
          <w:lang w:val="en-US" w:eastAsia="zh-CN" w:bidi="ar-SA"/>
        </w:rPr>
      </w:pPr>
      <w:r>
        <w:rPr>
          <w:rFonts w:hint="eastAsia" w:ascii="仿宋_GB2312" w:hAnsi="仿宋_GB2312" w:eastAsia="仿宋_GB2312" w:cs="仿宋_GB2312"/>
          <w:spacing w:val="0"/>
          <w:position w:val="0"/>
          <w:sz w:val="32"/>
          <w:szCs w:val="32"/>
          <w:lang w:val="en-US" w:eastAsia="zh-CN" w:bidi="ar-SA"/>
        </w:rPr>
        <w:t>2025年我局行政许可实施和监督管理遵循合法、公开、公平、公正和权责相当的原则</w:t>
      </w:r>
      <w:r>
        <w:rPr>
          <w:rFonts w:hint="eastAsia" w:ascii="仿宋_GB2312" w:hAnsi="仿宋_GB2312" w:cs="仿宋_GB2312"/>
          <w:spacing w:val="0"/>
          <w:position w:val="0"/>
          <w:sz w:val="32"/>
          <w:szCs w:val="32"/>
          <w:lang w:val="en-US" w:eastAsia="zh-CN" w:bidi="ar-SA"/>
        </w:rPr>
        <w:t>，</w:t>
      </w:r>
      <w:r>
        <w:rPr>
          <w:rFonts w:hint="eastAsia" w:ascii="仿宋_GB2312" w:hAnsi="仿宋_GB2312" w:eastAsia="仿宋_GB2312" w:cs="仿宋_GB2312"/>
          <w:spacing w:val="0"/>
          <w:position w:val="0"/>
          <w:sz w:val="32"/>
          <w:szCs w:val="32"/>
          <w:lang w:val="en-US" w:eastAsia="zh-CN" w:bidi="ar-SA"/>
        </w:rPr>
        <w:t>按照便民高效、服务基层的要求，</w:t>
      </w:r>
      <w:r>
        <w:rPr>
          <w:rFonts w:hint="eastAsia" w:ascii="仿宋_GB2312" w:hAnsi="仿宋_GB2312" w:eastAsia="仿宋_GB2312" w:cs="仿宋_GB2312"/>
          <w:spacing w:val="0"/>
          <w:position w:val="0"/>
          <w:sz w:val="32"/>
          <w:szCs w:val="32"/>
          <w:lang w:eastAsia="zh-CN" w:bidi="ar-SA"/>
        </w:rPr>
        <w:t>大力推行审批制度改革，</w:t>
      </w:r>
      <w:r>
        <w:rPr>
          <w:rFonts w:hint="eastAsia" w:ascii="仿宋_GB2312" w:hAnsi="仿宋_GB2312" w:eastAsia="仿宋_GB2312" w:cs="仿宋_GB2312"/>
          <w:spacing w:val="0"/>
          <w:position w:val="0"/>
          <w:sz w:val="32"/>
          <w:szCs w:val="32"/>
          <w:lang w:val="en-US" w:eastAsia="zh-CN" w:bidi="ar-SA"/>
        </w:rPr>
        <w:t>通过持续深化各项政策措施，精简审批环节，压缩审批用时，优化行政管理方式</w:t>
      </w:r>
      <w:r>
        <w:rPr>
          <w:rFonts w:hint="eastAsia" w:ascii="仿宋_GB2312" w:hAnsi="仿宋_GB2312" w:cs="仿宋_GB2312"/>
          <w:spacing w:val="0"/>
          <w:position w:val="0"/>
          <w:sz w:val="32"/>
          <w:szCs w:val="32"/>
          <w:lang w:val="en-US" w:eastAsia="zh-CN" w:bidi="ar-SA"/>
        </w:rPr>
        <w:t>，</w:t>
      </w:r>
      <w:r>
        <w:rPr>
          <w:rFonts w:hint="eastAsia" w:ascii="仿宋_GB2312" w:hAnsi="仿宋_GB2312" w:eastAsia="仿宋_GB2312" w:cs="仿宋_GB2312"/>
          <w:spacing w:val="0"/>
          <w:position w:val="0"/>
          <w:sz w:val="32"/>
          <w:szCs w:val="32"/>
          <w:lang w:eastAsia="zh-CN" w:bidi="ar-SA"/>
        </w:rPr>
        <w:t>积极落实行政事务“一门一窗”、“只跑一次”等要求</w:t>
      </w:r>
      <w:r>
        <w:rPr>
          <w:rFonts w:hint="eastAsia" w:ascii="仿宋_GB2312" w:hAnsi="仿宋_GB2312" w:cs="仿宋_GB2312"/>
          <w:spacing w:val="0"/>
          <w:position w:val="0"/>
          <w:sz w:val="32"/>
          <w:szCs w:val="32"/>
          <w:lang w:eastAsia="zh-CN" w:bidi="ar-SA"/>
        </w:rPr>
        <w:t>，</w:t>
      </w:r>
      <w:r>
        <w:rPr>
          <w:rFonts w:hint="eastAsia" w:ascii="仿宋_GB2312" w:hAnsi="仿宋_GB2312" w:eastAsia="仿宋_GB2312" w:cs="仿宋_GB2312"/>
          <w:spacing w:val="0"/>
          <w:position w:val="0"/>
          <w:sz w:val="32"/>
          <w:szCs w:val="32"/>
          <w:lang w:eastAsia="zh-CN" w:bidi="ar-SA"/>
        </w:rPr>
        <w:t>在提升经济、社会效益和便民化方面取得良好的成效</w:t>
      </w:r>
      <w:r>
        <w:rPr>
          <w:rFonts w:hint="eastAsia" w:ascii="仿宋_GB2312" w:hAnsi="仿宋_GB2312" w:eastAsia="仿宋_GB2312" w:cs="仿宋_GB2312"/>
          <w:spacing w:val="0"/>
          <w:position w:val="0"/>
          <w:sz w:val="32"/>
          <w:szCs w:val="32"/>
          <w:lang w:val="en-US" w:eastAsia="zh-CN" w:bidi="ar-SA"/>
        </w:rPr>
        <w:t>。</w:t>
      </w:r>
      <w:r>
        <w:rPr>
          <w:rFonts w:hint="eastAsia" w:ascii="仿宋_GB2312" w:hAnsi="仿宋_GB2312" w:cs="仿宋_GB2312"/>
          <w:spacing w:val="0"/>
          <w:position w:val="0"/>
          <w:sz w:val="32"/>
          <w:szCs w:val="32"/>
          <w:lang w:val="en-US" w:eastAsia="zh-CN" w:bidi="ar-SA"/>
        </w:rPr>
        <w:t>16个行政许可事项法定办结期限为12-20天，承诺办结期限一天，实际平均办结时间与承诺办结期限相符。全年</w:t>
      </w:r>
      <w:r>
        <w:rPr>
          <w:rFonts w:hint="eastAsia" w:ascii="仿宋_GB2312" w:hAnsi="仿宋_GB2312" w:eastAsia="仿宋_GB2312" w:cs="仿宋_GB2312"/>
          <w:spacing w:val="0"/>
          <w:position w:val="0"/>
          <w:sz w:val="32"/>
          <w:szCs w:val="32"/>
          <w:highlight w:val="none"/>
          <w:lang w:eastAsia="zh-CN" w:bidi="ar-SA"/>
        </w:rPr>
        <w:t>派驻政务中心窗口总服务约</w:t>
      </w:r>
      <w:r>
        <w:rPr>
          <w:rFonts w:hint="eastAsia" w:ascii="仿宋_GB2312" w:hAnsi="仿宋_GB2312" w:eastAsia="仿宋_GB2312" w:cs="仿宋_GB2312"/>
          <w:spacing w:val="0"/>
          <w:position w:val="0"/>
          <w:sz w:val="32"/>
          <w:szCs w:val="32"/>
          <w:highlight w:val="none"/>
          <w:lang w:val="en-US" w:eastAsia="zh-CN" w:bidi="ar-SA"/>
        </w:rPr>
        <w:t>60余</w:t>
      </w:r>
      <w:r>
        <w:rPr>
          <w:rFonts w:hint="eastAsia" w:ascii="仿宋_GB2312" w:hAnsi="仿宋_GB2312" w:eastAsia="仿宋_GB2312" w:cs="仿宋_GB2312"/>
          <w:spacing w:val="0"/>
          <w:position w:val="0"/>
          <w:sz w:val="32"/>
          <w:szCs w:val="32"/>
          <w:highlight w:val="none"/>
          <w:lang w:eastAsia="zh-CN" w:bidi="ar-SA"/>
        </w:rPr>
        <w:t>人次，事项办理评价覆盖率达100%，</w:t>
      </w:r>
      <w:r>
        <w:rPr>
          <w:rFonts w:hint="eastAsia" w:ascii="仿宋_GB2312" w:hAnsi="仿宋_GB2312" w:eastAsia="仿宋_GB2312" w:cs="仿宋_GB2312"/>
          <w:spacing w:val="0"/>
          <w:position w:val="0"/>
          <w:sz w:val="32"/>
          <w:szCs w:val="32"/>
          <w:lang w:eastAsia="zh-CN" w:bidi="ar-SA"/>
        </w:rPr>
        <w:t>未发生违纪现象和群众</w:t>
      </w:r>
      <w:r>
        <w:rPr>
          <w:rFonts w:hint="eastAsia" w:ascii="仿宋_GB2312" w:hAnsi="仿宋_GB2312" w:cs="仿宋_GB2312"/>
          <w:spacing w:val="0"/>
          <w:position w:val="0"/>
          <w:sz w:val="32"/>
          <w:szCs w:val="32"/>
          <w:lang w:val="en-US" w:eastAsia="zh-CN" w:bidi="ar-SA"/>
        </w:rPr>
        <w:t>投诉。</w:t>
      </w:r>
    </w:p>
    <w:p w14:paraId="71F923BC">
      <w:pPr>
        <w:keepNext/>
        <w:keepLines/>
        <w:pageBreakBefore w:val="0"/>
        <w:widowControl w:val="0"/>
        <w:kinsoku/>
        <w:wordWrap/>
        <w:overflowPunct/>
        <w:topLinePunct w:val="0"/>
        <w:autoSpaceDE/>
        <w:autoSpaceDN/>
        <w:bidi w:val="0"/>
        <w:adjustRightInd/>
        <w:snapToGrid/>
        <w:spacing w:beforeLines="0" w:beforeAutospacing="0" w:afterLines="0" w:afterAutospacing="0" w:line="560" w:lineRule="exact"/>
        <w:ind w:firstLine="632" w:firstLineChars="200"/>
        <w:jc w:val="both"/>
        <w:textAlignment w:val="auto"/>
        <w:outlineLvl w:val="2"/>
        <w:rPr>
          <w:rFonts w:hint="eastAsia" w:ascii="楷体_GB2312" w:hAnsi="楷体_GB2312" w:eastAsia="楷体_GB2312" w:cs="楷体_GB2312"/>
          <w:sz w:val="32"/>
          <w:szCs w:val="32"/>
          <w:lang w:val="en-US" w:eastAsia="zh-CN" w:bidi="ar-SA"/>
        </w:rPr>
      </w:pPr>
      <w:r>
        <w:rPr>
          <w:rFonts w:hint="eastAsia" w:ascii="楷体_GB2312" w:hAnsi="楷体_GB2312" w:eastAsia="楷体_GB2312" w:cs="楷体_GB2312"/>
          <w:sz w:val="32"/>
          <w:szCs w:val="32"/>
          <w:lang w:val="en-US" w:eastAsia="zh-CN" w:bidi="ar-SA"/>
        </w:rPr>
        <w:t>（五）创新方式情况</w:t>
      </w:r>
    </w:p>
    <w:p w14:paraId="78A7393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560" w:lineRule="exact"/>
        <w:ind w:right="0" w:firstLine="632" w:firstLineChars="200"/>
        <w:jc w:val="left"/>
        <w:textAlignment w:val="auto"/>
        <w:rPr>
          <w:rFonts w:hint="eastAsia" w:ascii="仿宋_GB2312" w:hAnsi="仿宋_GB2312" w:eastAsia="仿宋_GB2312" w:cs="仿宋_GB2312"/>
          <w:spacing w:val="0"/>
          <w:position w:val="0"/>
          <w:sz w:val="32"/>
          <w:szCs w:val="32"/>
          <w:lang w:val="en-US" w:eastAsia="zh-CN" w:bidi="ar-SA"/>
        </w:rPr>
      </w:pPr>
      <w:r>
        <w:rPr>
          <w:rFonts w:hint="eastAsia" w:ascii="仿宋_GB2312" w:hAnsi="仿宋_GB2312" w:eastAsia="仿宋_GB2312" w:cs="仿宋_GB2312"/>
          <w:spacing w:val="0"/>
          <w:position w:val="0"/>
          <w:sz w:val="32"/>
          <w:szCs w:val="32"/>
          <w:lang w:val="en-US" w:eastAsia="zh-CN" w:bidi="ar-SA"/>
        </w:rPr>
        <w:t>为落实深化简政放权、优化营商环境系列工作部署要求，我局积极创新审批服务方式，提升审批工作效率。按照推进“数字政府”的建设目标，目前我局16个行政许可政务事项项目全部</w:t>
      </w:r>
      <w:r>
        <w:rPr>
          <w:rFonts w:hint="eastAsia" w:ascii="仿宋_GB2312" w:hAnsi="仿宋_GB2312" w:cs="仿宋_GB2312"/>
          <w:spacing w:val="0"/>
          <w:position w:val="0"/>
          <w:sz w:val="32"/>
          <w:szCs w:val="32"/>
          <w:lang w:val="en-US" w:eastAsia="zh-CN" w:bidi="ar-SA"/>
        </w:rPr>
        <w:t>进驻</w:t>
      </w:r>
      <w:r>
        <w:rPr>
          <w:rFonts w:hint="eastAsia" w:ascii="仿宋_GB2312" w:hAnsi="仿宋_GB2312" w:eastAsia="仿宋_GB2312" w:cs="仿宋_GB2312"/>
          <w:spacing w:val="0"/>
          <w:position w:val="0"/>
          <w:sz w:val="32"/>
          <w:szCs w:val="32"/>
          <w:lang w:val="en-US" w:eastAsia="zh-CN" w:bidi="ar-SA"/>
        </w:rPr>
        <w:t>区政务服务中心，全面推行一网通办和跨区办等便民服务措施。推进全网办、指尖办、即时办、云坐席等措施，进一步方便群众办事</w:t>
      </w:r>
      <w:r>
        <w:rPr>
          <w:rFonts w:hint="eastAsia" w:ascii="仿宋_GB2312" w:hAnsi="仿宋_GB2312" w:cs="仿宋_GB2312"/>
          <w:spacing w:val="0"/>
          <w:position w:val="0"/>
          <w:sz w:val="32"/>
          <w:szCs w:val="32"/>
          <w:lang w:val="en-US" w:eastAsia="zh-CN" w:bidi="ar-SA"/>
        </w:rPr>
        <w:t>，优化营商环境</w:t>
      </w:r>
      <w:r>
        <w:rPr>
          <w:rFonts w:hint="eastAsia" w:ascii="仿宋_GB2312" w:hAnsi="仿宋_GB2312" w:eastAsia="仿宋_GB2312" w:cs="仿宋_GB2312"/>
          <w:spacing w:val="0"/>
          <w:position w:val="0"/>
          <w:sz w:val="32"/>
          <w:szCs w:val="32"/>
          <w:lang w:val="en-US" w:eastAsia="zh-CN" w:bidi="ar-SA"/>
        </w:rPr>
        <w:t>。</w:t>
      </w:r>
    </w:p>
    <w:p w14:paraId="5E5A438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560" w:lineRule="exact"/>
        <w:ind w:right="0" w:firstLine="632" w:firstLineChars="200"/>
        <w:jc w:val="left"/>
        <w:textAlignment w:val="auto"/>
        <w:rPr>
          <w:rFonts w:hint="eastAsia" w:ascii="楷体_GB2312" w:hAnsi="楷体_GB2312" w:eastAsia="楷体_GB2312" w:cs="楷体_GB2312"/>
          <w:sz w:val="32"/>
          <w:szCs w:val="32"/>
          <w:lang w:val="en-US" w:eastAsia="zh-CN" w:bidi="ar-SA"/>
        </w:rPr>
      </w:pPr>
      <w:r>
        <w:rPr>
          <w:rFonts w:hint="eastAsia" w:ascii="楷体_GB2312" w:hAnsi="楷体_GB2312" w:eastAsia="楷体_GB2312" w:cs="楷体_GB2312"/>
          <w:sz w:val="32"/>
          <w:szCs w:val="32"/>
          <w:lang w:val="en-US" w:eastAsia="zh-CN" w:bidi="ar-SA"/>
        </w:rPr>
        <w:t>（六）推行标准化情况</w:t>
      </w:r>
    </w:p>
    <w:p w14:paraId="137DEF2A">
      <w:pPr>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60" w:lineRule="exact"/>
        <w:ind w:left="0" w:right="0"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0"/>
          <w:position w:val="0"/>
          <w:sz w:val="32"/>
          <w:szCs w:val="32"/>
          <w:lang w:eastAsia="zh-CN" w:bidi="ar-SA"/>
        </w:rPr>
        <w:t>按照广东省政务服务事项标准化工作要求，结合政务服务事项实施清单标准化的梳理工作，我局进一步规范行政许可事项名称、实施依据、申请材料、办理时限等要素内容，对各事项及各子项流程表进行优化。同时根据最新事项目录情况对相应的办事指南进行更新调整并在广东省政务服务网上同步进行公开</w:t>
      </w:r>
      <w:r>
        <w:rPr>
          <w:rFonts w:hint="eastAsia" w:ascii="仿宋_GB2312" w:hAnsi="仿宋_GB2312" w:cs="仿宋_GB2312"/>
          <w:spacing w:val="0"/>
          <w:position w:val="0"/>
          <w:sz w:val="32"/>
          <w:szCs w:val="32"/>
          <w:lang w:eastAsia="zh-CN" w:bidi="ar-SA"/>
        </w:rPr>
        <w:t>，</w:t>
      </w:r>
      <w:r>
        <w:rPr>
          <w:rFonts w:hint="eastAsia" w:ascii="仿宋_GB2312" w:hAnsi="仿宋_GB2312" w:cs="仿宋_GB2312"/>
          <w:spacing w:val="0"/>
          <w:position w:val="0"/>
          <w:sz w:val="32"/>
          <w:szCs w:val="32"/>
          <w:lang w:val="en-US" w:eastAsia="zh-CN" w:bidi="ar-SA"/>
        </w:rPr>
        <w:t>同时制作并印发</w:t>
      </w:r>
      <w:r>
        <w:rPr>
          <w:rFonts w:hint="eastAsia" w:ascii="仿宋_GB2312" w:hAnsi="仿宋_GB2312" w:eastAsia="仿宋_GB2312" w:cs="仿宋_GB2312"/>
          <w:spacing w:val="0"/>
          <w:position w:val="0"/>
          <w:sz w:val="32"/>
          <w:szCs w:val="32"/>
          <w:lang w:eastAsia="zh-CN" w:bidi="ar-SA"/>
        </w:rPr>
        <w:t>户外广告、建筑废弃物处置等行政许可指引。</w:t>
      </w:r>
    </w:p>
    <w:p w14:paraId="394B8EBD">
      <w:pPr>
        <w:pageBreakBefore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二、存在问题和困难</w:t>
      </w:r>
    </w:p>
    <w:p w14:paraId="0CF288D4">
      <w:pPr>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目前，国家、省市相关政策对“放管服”改革及优化营商环境工作提出更高要求，我局正积极探索</w:t>
      </w:r>
      <w:r>
        <w:rPr>
          <w:rFonts w:hint="eastAsia" w:ascii="仿宋_GB2312" w:hAnsi="仿宋_GB2312" w:eastAsia="仿宋_GB2312" w:cs="仿宋_GB2312"/>
          <w:sz w:val="32"/>
          <w:szCs w:val="32"/>
          <w:lang w:eastAsia="zh-CN"/>
        </w:rPr>
        <w:t>进一步压缩审批时限和精简审批材料</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优化审批流程，</w:t>
      </w:r>
      <w:r>
        <w:rPr>
          <w:rFonts w:hint="eastAsia" w:ascii="仿宋_GB2312" w:hAnsi="仿宋_GB2312" w:eastAsia="仿宋_GB2312" w:cs="仿宋_GB2312"/>
          <w:sz w:val="32"/>
          <w:szCs w:val="32"/>
        </w:rPr>
        <w:t>对于审批事项的事后监管难度大等问题，我局</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sz w:val="32"/>
          <w:szCs w:val="32"/>
        </w:rPr>
        <w:t>认真</w:t>
      </w:r>
      <w:r>
        <w:rPr>
          <w:rFonts w:hint="eastAsia" w:ascii="仿宋_GB2312" w:hAnsi="仿宋_GB2312" w:eastAsia="仿宋_GB2312" w:cs="仿宋_GB2312"/>
          <w:sz w:val="32"/>
          <w:szCs w:val="32"/>
          <w:lang w:eastAsia="zh-CN"/>
        </w:rPr>
        <w:t>探</w:t>
      </w:r>
      <w:r>
        <w:rPr>
          <w:rFonts w:hint="eastAsia" w:ascii="仿宋_GB2312" w:hAnsi="仿宋_GB2312" w:eastAsia="仿宋_GB2312" w:cs="仿宋_GB2312"/>
          <w:sz w:val="32"/>
          <w:szCs w:val="32"/>
        </w:rPr>
        <w:t>索，继续厘清各部门责权，充分转变行政审批管理观念，完善调整后续的事中事后监管机制。</w:t>
      </w:r>
    </w:p>
    <w:p w14:paraId="799DC2D8">
      <w:pPr>
        <w:pageBreakBefore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三、下一步工作措施及有关建议</w:t>
      </w:r>
    </w:p>
    <w:p w14:paraId="55E45034">
      <w:pPr>
        <w:pStyle w:val="1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按照上级要求和工作部署，加快推进城管职能转变和“放管服”改革提效率、提效果、提效能，全力推动区城市管理工作再上新台阶、营商环境再优化。</w:t>
      </w:r>
    </w:p>
    <w:p w14:paraId="42C1CEAC">
      <w:pPr>
        <w:pStyle w:val="14"/>
        <w:keepNext w:val="0"/>
        <w:keepLines w:val="0"/>
        <w:pageBreakBefore w:val="0"/>
        <w:widowControl w:val="0"/>
        <w:numPr>
          <w:ilvl w:val="0"/>
          <w:numId w:val="0"/>
        </w:numPr>
        <w:shd w:val="clear" w:color="FFFFFF" w:fill="auto"/>
        <w:kinsoku/>
        <w:wordWrap/>
        <w:overflowPunct/>
        <w:topLinePunct w:val="0"/>
        <w:autoSpaceDE/>
        <w:autoSpaceDN/>
        <w:bidi w:val="0"/>
        <w:adjustRightInd/>
        <w:snapToGrid/>
        <w:spacing w:before="0" w:beforeLines="0" w:after="0" w:afterLines="0" w:line="560" w:lineRule="exact"/>
        <w:ind w:left="0" w:leftChars="0" w:right="0" w:rightChars="0"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进一步优化行政审批制度，不断推进职能高效优化。深化行政审批制度改革，全面优化提升政务服务水平，建立实行行政许可事项清单化、项目化管理。进一步提高行政审批效率，提升审批服务水平，加快实现审批服务全覆盖，确保程服务事项质量只升不降，让“数据多跑路，群众少跑腿”。</w:t>
      </w:r>
    </w:p>
    <w:p w14:paraId="7AD66BEE">
      <w:pPr>
        <w:pStyle w:val="14"/>
        <w:keepNext w:val="0"/>
        <w:keepLines w:val="0"/>
        <w:pageBreakBefore w:val="0"/>
        <w:widowControl w:val="0"/>
        <w:numPr>
          <w:ilvl w:val="0"/>
          <w:numId w:val="0"/>
        </w:numPr>
        <w:shd w:val="clear" w:color="FFFFFF" w:fill="auto"/>
        <w:kinsoku/>
        <w:wordWrap/>
        <w:overflowPunct/>
        <w:topLinePunct w:val="0"/>
        <w:autoSpaceDE/>
        <w:autoSpaceDN/>
        <w:bidi w:val="0"/>
        <w:adjustRightInd/>
        <w:snapToGrid/>
        <w:spacing w:before="0" w:beforeLines="0" w:after="0" w:afterLines="0" w:line="560" w:lineRule="exact"/>
        <w:ind w:left="0" w:leftChars="0" w:right="0" w:rightChars="0"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二是进一步强化事中事后监管，着力提高治理能力和水平</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坚持“宽进严管”的监管理念，明确各科室的监管职责，推行协同高效的监管方式，完善科学有效的监管规则。聚焦管理难度大、风险隐患突出的行业领域，根据行业领域特点和审批监管对象状况，完善事中事后监管制度，针对群众关切、舆论关注领域的审批业务，落实有针对性的监管措施，从源头上防范化解风险，着力推动治理能力和水平提升。</w:t>
      </w:r>
    </w:p>
    <w:p w14:paraId="25B28D20">
      <w:pPr>
        <w:pStyle w:val="14"/>
        <w:keepNext w:val="0"/>
        <w:keepLines w:val="0"/>
        <w:pageBreakBefore w:val="0"/>
        <w:widowControl w:val="0"/>
        <w:numPr>
          <w:ilvl w:val="0"/>
          <w:numId w:val="0"/>
        </w:numPr>
        <w:shd w:val="clear" w:color="FFFFFF" w:fill="auto"/>
        <w:kinsoku/>
        <w:wordWrap/>
        <w:overflowPunct/>
        <w:topLinePunct w:val="0"/>
        <w:autoSpaceDE/>
        <w:autoSpaceDN/>
        <w:bidi w:val="0"/>
        <w:adjustRightInd/>
        <w:snapToGrid/>
        <w:spacing w:before="0" w:beforeLines="0" w:after="0" w:afterLines="0" w:line="560" w:lineRule="exact"/>
        <w:ind w:left="0" w:leftChars="0" w:right="0" w:rightChars="0"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三是进一步构建高效服务体系，持续提供人民满意的服务</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锚定优化营商环境目标，继续向改革创新要动能,持续构建高效服务体系。持续精简材料和审批流程，全力推进我局燃气行政事务工作达成水电气一站式服务。加大内部推广电子证照力度，优化精简审批材料，加大审批速度，大力推广网上申请、网上审批和网上出证，在跨区办、异地办和一网通办的基础上，全面达成全流程网办和指尖办。</w:t>
      </w:r>
    </w:p>
    <w:p w14:paraId="51E8C71B">
      <w:pPr>
        <w:pStyle w:val="14"/>
        <w:keepNext w:val="0"/>
        <w:keepLines w:val="0"/>
        <w:pageBreakBefore w:val="0"/>
        <w:widowControl w:val="0"/>
        <w:numPr>
          <w:ilvl w:val="0"/>
          <w:numId w:val="0"/>
        </w:numPr>
        <w:shd w:val="clear" w:color="FFFFFF" w:fill="auto"/>
        <w:spacing w:before="0" w:beforeLines="0" w:after="0" w:afterLines="0" w:line="560" w:lineRule="exact"/>
        <w:ind w:left="0" w:leftChars="0" w:right="0" w:rightChars="0" w:firstLine="632" w:firstLineChars="200"/>
        <w:jc w:val="both"/>
        <w:rPr>
          <w:rFonts w:hint="eastAsia" w:ascii="仿宋_GB2312" w:hAnsi="仿宋_GB2312" w:eastAsia="仿宋_GB2312" w:cs="仿宋_GB2312"/>
          <w:sz w:val="32"/>
          <w:szCs w:val="32"/>
          <w:lang w:val="en-US" w:eastAsia="zh-CN"/>
        </w:rPr>
      </w:pPr>
    </w:p>
    <w:p w14:paraId="72225012">
      <w:pPr>
        <w:pStyle w:val="14"/>
        <w:keepNext w:val="0"/>
        <w:keepLines w:val="0"/>
        <w:pageBreakBefore w:val="0"/>
        <w:widowControl w:val="0"/>
        <w:numPr>
          <w:ilvl w:val="0"/>
          <w:numId w:val="0"/>
        </w:numPr>
        <w:shd w:val="clear" w:color="FFFFFF" w:fill="auto"/>
        <w:spacing w:before="0" w:beforeLines="0" w:after="0" w:afterLines="0" w:line="560" w:lineRule="exact"/>
        <w:ind w:left="0" w:leftChars="0" w:right="0" w:rightChars="0" w:firstLine="632" w:firstLineChars="200"/>
        <w:jc w:val="both"/>
        <w:rPr>
          <w:rFonts w:hint="eastAsia" w:ascii="仿宋_GB2312" w:hAnsi="仿宋_GB2312" w:eastAsia="仿宋_GB2312" w:cs="仿宋_GB2312"/>
          <w:sz w:val="32"/>
          <w:szCs w:val="32"/>
          <w:lang w:val="en-US" w:eastAsia="zh-CN"/>
        </w:rPr>
      </w:pPr>
    </w:p>
    <w:p w14:paraId="56D17A98">
      <w:pPr>
        <w:pStyle w:val="14"/>
        <w:keepNext w:val="0"/>
        <w:keepLines w:val="0"/>
        <w:pageBreakBefore w:val="0"/>
        <w:widowControl w:val="0"/>
        <w:numPr>
          <w:ilvl w:val="0"/>
          <w:numId w:val="0"/>
        </w:numPr>
        <w:shd w:val="clear" w:color="FFFFFF" w:fill="auto"/>
        <w:spacing w:before="0" w:beforeLines="0" w:after="0" w:afterLines="0" w:line="560" w:lineRule="exact"/>
        <w:ind w:left="0" w:leftChars="0" w:right="0" w:rightChars="0" w:firstLine="632" w:firstLineChars="200"/>
        <w:jc w:val="both"/>
        <w:rPr>
          <w:rFonts w:hint="eastAsia" w:ascii="仿宋_GB2312" w:hAnsi="仿宋_GB2312" w:eastAsia="仿宋_GB2312" w:cs="仿宋_GB2312"/>
          <w:sz w:val="32"/>
          <w:szCs w:val="32"/>
          <w:lang w:val="en-US" w:eastAsia="zh-CN"/>
        </w:rPr>
      </w:pPr>
    </w:p>
    <w:p w14:paraId="361FFB1B">
      <w:pPr>
        <w:pStyle w:val="14"/>
        <w:keepNext w:val="0"/>
        <w:keepLines w:val="0"/>
        <w:pageBreakBefore w:val="0"/>
        <w:widowControl w:val="0"/>
        <w:numPr>
          <w:ilvl w:val="0"/>
          <w:numId w:val="0"/>
        </w:numPr>
        <w:shd w:val="clear" w:color="FFFFFF" w:fill="auto"/>
        <w:spacing w:before="0" w:beforeLines="0" w:after="0" w:afterLines="0" w:line="560" w:lineRule="exact"/>
        <w:ind w:left="0" w:leftChars="0" w:right="0" w:rightChars="0" w:firstLine="632" w:firstLineChars="200"/>
        <w:jc w:val="both"/>
        <w:rPr>
          <w:rFonts w:hint="eastAsia" w:ascii="仿宋_GB2312" w:hAnsi="仿宋_GB2312" w:eastAsia="仿宋_GB2312" w:cs="仿宋_GB2312"/>
          <w:sz w:val="32"/>
          <w:szCs w:val="32"/>
          <w:lang w:val="en-US" w:eastAsia="zh-CN"/>
        </w:rPr>
      </w:pPr>
    </w:p>
    <w:p w14:paraId="1832D5FE">
      <w:pPr>
        <w:pStyle w:val="14"/>
        <w:keepNext w:val="0"/>
        <w:keepLines w:val="0"/>
        <w:pageBreakBefore w:val="0"/>
        <w:widowControl w:val="0"/>
        <w:numPr>
          <w:ilvl w:val="0"/>
          <w:numId w:val="0"/>
        </w:numPr>
        <w:shd w:val="clear" w:color="FFFFFF" w:fill="auto"/>
        <w:spacing w:before="0" w:beforeLines="0" w:after="0" w:afterLines="0" w:line="560" w:lineRule="exact"/>
        <w:ind w:left="0" w:leftChars="0" w:right="0" w:rightChars="0" w:firstLine="632" w:firstLineChars="200"/>
        <w:jc w:val="both"/>
        <w:rPr>
          <w:rFonts w:hint="eastAsia" w:ascii="仿宋_GB2312" w:hAnsi="仿宋_GB2312" w:eastAsia="仿宋_GB2312" w:cs="仿宋_GB2312"/>
          <w:sz w:val="32"/>
          <w:szCs w:val="32"/>
          <w:lang w:val="en-US" w:eastAsia="zh-CN"/>
        </w:rPr>
      </w:pPr>
    </w:p>
    <w:p w14:paraId="5D19166E">
      <w:pPr>
        <w:pStyle w:val="14"/>
        <w:keepNext w:val="0"/>
        <w:keepLines w:val="0"/>
        <w:pageBreakBefore w:val="0"/>
        <w:widowControl w:val="0"/>
        <w:numPr>
          <w:ilvl w:val="0"/>
          <w:numId w:val="0"/>
        </w:numPr>
        <w:shd w:val="clear" w:color="FFFFFF" w:fill="auto"/>
        <w:spacing w:before="0" w:beforeLines="0" w:after="0" w:afterLines="0" w:line="560" w:lineRule="exact"/>
        <w:ind w:left="0" w:leftChars="0" w:right="0" w:rightChars="0" w:firstLine="632" w:firstLineChars="200"/>
        <w:jc w:val="both"/>
        <w:rPr>
          <w:rFonts w:hint="eastAsia" w:ascii="仿宋_GB2312" w:hAnsi="仿宋_GB2312" w:eastAsia="仿宋_GB2312" w:cs="仿宋_GB2312"/>
          <w:sz w:val="32"/>
          <w:szCs w:val="32"/>
          <w:lang w:val="en-US" w:eastAsia="zh-CN"/>
        </w:rPr>
      </w:pPr>
    </w:p>
    <w:p w14:paraId="63335FA7">
      <w:pPr>
        <w:rPr>
          <w:rFonts w:hint="eastAsia" w:ascii="仿宋_GB2312" w:hAnsi="仿宋_GB2312" w:eastAsia="仿宋_GB2312" w:cs="仿宋_GB2312"/>
          <w:sz w:val="32"/>
          <w:szCs w:val="32"/>
        </w:rPr>
        <w:sectPr>
          <w:footerReference r:id="rId3" w:type="default"/>
          <w:pgSz w:w="11907" w:h="16840"/>
          <w:pgMar w:top="2098" w:right="1474" w:bottom="1985" w:left="1587" w:header="737" w:footer="1531" w:gutter="0"/>
          <w:pgBorders>
            <w:top w:val="none" w:sz="0" w:space="0"/>
            <w:left w:val="none" w:sz="0" w:space="0"/>
            <w:bottom w:val="none" w:sz="0" w:space="0"/>
            <w:right w:val="none" w:sz="0" w:space="0"/>
          </w:pgBorders>
          <w:pgNumType w:fmt="decimal" w:start="2"/>
          <w:cols w:space="720" w:num="1"/>
          <w:docGrid w:type="linesAndChars" w:linePitch="579" w:charSpace="-842"/>
        </w:sectPr>
      </w:pPr>
    </w:p>
    <w:p w14:paraId="6254383D">
      <w:pPr>
        <w:rPr>
          <w:rFonts w:hint="default"/>
          <w:lang w:val="en-US" w:eastAsia="zh-CN"/>
        </w:rPr>
      </w:pPr>
    </w:p>
    <w:sectPr>
      <w:footerReference r:id="rId5" w:type="first"/>
      <w:footerReference r:id="rId4" w:type="default"/>
      <w:pgSz w:w="16840" w:h="11907" w:orient="landscape"/>
      <w:pgMar w:top="1474" w:right="1474" w:bottom="1361" w:left="1587" w:header="737" w:footer="1531" w:gutter="0"/>
      <w:pgBorders>
        <w:top w:val="none" w:sz="0" w:space="0"/>
        <w:left w:val="none" w:sz="0" w:space="0"/>
        <w:bottom w:val="none" w:sz="0" w:space="0"/>
        <w:right w:val="none" w:sz="0" w:space="0"/>
      </w:pgBorders>
      <w:pgNumType w:fmt="decimal"/>
      <w:cols w:space="720" w:num="1"/>
      <w:titlePg/>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81F58E">
    <w:pPr>
      <w:pStyle w:val="7"/>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EC4908E">
                          <w:pPr>
                            <w:pStyle w:val="7"/>
                            <w:keepNext w:val="0"/>
                            <w:keepLines w:val="0"/>
                            <w:pageBreakBefore w:val="0"/>
                            <w:widowControl w:val="0"/>
                            <w:kinsoku/>
                            <w:wordWrap/>
                            <w:overflowPunct/>
                            <w:topLinePunct w:val="0"/>
                            <w:bidi w:val="0"/>
                            <w:adjustRightInd/>
                            <w:snapToGrid w:val="0"/>
                            <w:ind w:left="320" w:leftChars="100" w:right="32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1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odrHm3gEAAL8DAAAOAAAAAAAA&#10;AAEAIAAAAB4BAABkcnMvZTJvRG9jLnhtbFBLBQYAAAAABgAGAFkBAABuBQAAAAA=&#10;">
              <v:fill on="f" focussize="0,0"/>
              <v:stroke on="f"/>
              <v:imagedata o:title=""/>
              <o:lock v:ext="edit" aspectratio="f"/>
              <v:textbox inset="0mm,0mm,0mm,0mm" style="mso-fit-shape-to-text:t;">
                <w:txbxContent>
                  <w:p w14:paraId="7EC4908E">
                    <w:pPr>
                      <w:pStyle w:val="7"/>
                      <w:keepNext w:val="0"/>
                      <w:keepLines w:val="0"/>
                      <w:pageBreakBefore w:val="0"/>
                      <w:widowControl w:val="0"/>
                      <w:kinsoku/>
                      <w:wordWrap/>
                      <w:overflowPunct/>
                      <w:topLinePunct w:val="0"/>
                      <w:bidi w:val="0"/>
                      <w:adjustRightInd/>
                      <w:snapToGrid w:val="0"/>
                      <w:ind w:left="320" w:leftChars="100" w:right="32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AD3F0">
    <w:pPr>
      <w:pStyle w:val="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7B667">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5"/>
  <w:hyphenationZone w:val="360"/>
  <w:drawingGridHorizontalSpacing w:val="158"/>
  <w:drawingGridVerticalSpacing w:val="579"/>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jOWYwOWNjODQ3OTdiODViNmMxYTZlNWZlYjBlMTkifQ=="/>
  </w:docVars>
  <w:rsids>
    <w:rsidRoot w:val="715901C9"/>
    <w:rsid w:val="0000488A"/>
    <w:rsid w:val="00056A96"/>
    <w:rsid w:val="000A619C"/>
    <w:rsid w:val="000B49C1"/>
    <w:rsid w:val="00100339"/>
    <w:rsid w:val="00140E1A"/>
    <w:rsid w:val="00155C03"/>
    <w:rsid w:val="001671C2"/>
    <w:rsid w:val="00167FBE"/>
    <w:rsid w:val="001B353D"/>
    <w:rsid w:val="001E026B"/>
    <w:rsid w:val="001E2959"/>
    <w:rsid w:val="001E2EDF"/>
    <w:rsid w:val="0025491D"/>
    <w:rsid w:val="002723D6"/>
    <w:rsid w:val="00281754"/>
    <w:rsid w:val="00281DBE"/>
    <w:rsid w:val="00296F97"/>
    <w:rsid w:val="002E7523"/>
    <w:rsid w:val="00300EC9"/>
    <w:rsid w:val="003205ED"/>
    <w:rsid w:val="00343840"/>
    <w:rsid w:val="00343E30"/>
    <w:rsid w:val="0034610B"/>
    <w:rsid w:val="00351A34"/>
    <w:rsid w:val="00352BAD"/>
    <w:rsid w:val="00363D8E"/>
    <w:rsid w:val="00373F93"/>
    <w:rsid w:val="00376234"/>
    <w:rsid w:val="00384188"/>
    <w:rsid w:val="003A0646"/>
    <w:rsid w:val="003D72A7"/>
    <w:rsid w:val="003E3E61"/>
    <w:rsid w:val="0044685C"/>
    <w:rsid w:val="0045659A"/>
    <w:rsid w:val="0046230A"/>
    <w:rsid w:val="004A0B40"/>
    <w:rsid w:val="004A5D46"/>
    <w:rsid w:val="004B4E63"/>
    <w:rsid w:val="004C51B5"/>
    <w:rsid w:val="004F257D"/>
    <w:rsid w:val="004F3F8A"/>
    <w:rsid w:val="00513F47"/>
    <w:rsid w:val="0052751A"/>
    <w:rsid w:val="00543783"/>
    <w:rsid w:val="00547118"/>
    <w:rsid w:val="00550133"/>
    <w:rsid w:val="00595E54"/>
    <w:rsid w:val="006640C4"/>
    <w:rsid w:val="006A118A"/>
    <w:rsid w:val="006B6D83"/>
    <w:rsid w:val="006D4804"/>
    <w:rsid w:val="006F2E3C"/>
    <w:rsid w:val="0070220D"/>
    <w:rsid w:val="0074791E"/>
    <w:rsid w:val="00780281"/>
    <w:rsid w:val="00793E51"/>
    <w:rsid w:val="007B1C7F"/>
    <w:rsid w:val="007D1534"/>
    <w:rsid w:val="007D4ED2"/>
    <w:rsid w:val="007F6338"/>
    <w:rsid w:val="00801E15"/>
    <w:rsid w:val="00832651"/>
    <w:rsid w:val="00835520"/>
    <w:rsid w:val="008364AA"/>
    <w:rsid w:val="00843553"/>
    <w:rsid w:val="0088266D"/>
    <w:rsid w:val="008A273C"/>
    <w:rsid w:val="008A6956"/>
    <w:rsid w:val="008A7547"/>
    <w:rsid w:val="008E7C89"/>
    <w:rsid w:val="008F5159"/>
    <w:rsid w:val="00906919"/>
    <w:rsid w:val="0094565F"/>
    <w:rsid w:val="00960634"/>
    <w:rsid w:val="00977907"/>
    <w:rsid w:val="00986915"/>
    <w:rsid w:val="009A4A2D"/>
    <w:rsid w:val="009D3B23"/>
    <w:rsid w:val="009E232D"/>
    <w:rsid w:val="009E5DD1"/>
    <w:rsid w:val="009E6AB2"/>
    <w:rsid w:val="00A01422"/>
    <w:rsid w:val="00A400A6"/>
    <w:rsid w:val="00A50A5F"/>
    <w:rsid w:val="00A5352D"/>
    <w:rsid w:val="00A94C6B"/>
    <w:rsid w:val="00AA2CB9"/>
    <w:rsid w:val="00AA388F"/>
    <w:rsid w:val="00AF45B8"/>
    <w:rsid w:val="00B00989"/>
    <w:rsid w:val="00B45E0E"/>
    <w:rsid w:val="00B53E1D"/>
    <w:rsid w:val="00B733FF"/>
    <w:rsid w:val="00BB6747"/>
    <w:rsid w:val="00BC592B"/>
    <w:rsid w:val="00BE39F2"/>
    <w:rsid w:val="00BE4BC5"/>
    <w:rsid w:val="00C26F25"/>
    <w:rsid w:val="00C365A9"/>
    <w:rsid w:val="00C375FF"/>
    <w:rsid w:val="00CD0B1B"/>
    <w:rsid w:val="00D13938"/>
    <w:rsid w:val="00D51EFE"/>
    <w:rsid w:val="00D559EB"/>
    <w:rsid w:val="00D71680"/>
    <w:rsid w:val="00D97528"/>
    <w:rsid w:val="00DC3999"/>
    <w:rsid w:val="00DC3D0C"/>
    <w:rsid w:val="00DC7601"/>
    <w:rsid w:val="00E04C2B"/>
    <w:rsid w:val="00E21080"/>
    <w:rsid w:val="00E338CA"/>
    <w:rsid w:val="00E370D8"/>
    <w:rsid w:val="00E56C3A"/>
    <w:rsid w:val="00E744C2"/>
    <w:rsid w:val="00E82B43"/>
    <w:rsid w:val="00EA19B4"/>
    <w:rsid w:val="00EA209A"/>
    <w:rsid w:val="00EA29FB"/>
    <w:rsid w:val="00EB19C4"/>
    <w:rsid w:val="00F01BB9"/>
    <w:rsid w:val="00F048D5"/>
    <w:rsid w:val="00F15850"/>
    <w:rsid w:val="00F31815"/>
    <w:rsid w:val="00F45A51"/>
    <w:rsid w:val="00F54094"/>
    <w:rsid w:val="00FB4CF0"/>
    <w:rsid w:val="00FB516B"/>
    <w:rsid w:val="00FC661B"/>
    <w:rsid w:val="00FD79FD"/>
    <w:rsid w:val="00FE5E56"/>
    <w:rsid w:val="012C76FD"/>
    <w:rsid w:val="01621E5E"/>
    <w:rsid w:val="01F378E0"/>
    <w:rsid w:val="021F6598"/>
    <w:rsid w:val="048144DC"/>
    <w:rsid w:val="0CA079FF"/>
    <w:rsid w:val="113A62CB"/>
    <w:rsid w:val="11B2319A"/>
    <w:rsid w:val="14F9371F"/>
    <w:rsid w:val="1914710F"/>
    <w:rsid w:val="19D4016B"/>
    <w:rsid w:val="20AA7C15"/>
    <w:rsid w:val="242D18EB"/>
    <w:rsid w:val="251D6143"/>
    <w:rsid w:val="25E5683B"/>
    <w:rsid w:val="2B5F38DD"/>
    <w:rsid w:val="2D972956"/>
    <w:rsid w:val="2DEF08B5"/>
    <w:rsid w:val="2F4F58DB"/>
    <w:rsid w:val="34435328"/>
    <w:rsid w:val="383F27B9"/>
    <w:rsid w:val="3B542D41"/>
    <w:rsid w:val="3E11267E"/>
    <w:rsid w:val="3FC217B1"/>
    <w:rsid w:val="3FDC2791"/>
    <w:rsid w:val="41446EEA"/>
    <w:rsid w:val="48BD513E"/>
    <w:rsid w:val="5308659C"/>
    <w:rsid w:val="5AA615B5"/>
    <w:rsid w:val="5C3929A3"/>
    <w:rsid w:val="5C741CF4"/>
    <w:rsid w:val="64C40D36"/>
    <w:rsid w:val="67146B4F"/>
    <w:rsid w:val="693B555C"/>
    <w:rsid w:val="69F65C23"/>
    <w:rsid w:val="713E5769"/>
    <w:rsid w:val="715901C9"/>
    <w:rsid w:val="7699408F"/>
    <w:rsid w:val="77F82D77"/>
    <w:rsid w:val="78026677"/>
    <w:rsid w:val="792B2493"/>
    <w:rsid w:val="7BDF629A"/>
    <w:rsid w:val="7D9330E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1"/>
    <w:basedOn w:val="1"/>
    <w:next w:val="1"/>
    <w:link w:val="17"/>
    <w:qFormat/>
    <w:uiPriority w:val="0"/>
    <w:pPr>
      <w:keepNext/>
      <w:keepLines/>
      <w:spacing w:before="340" w:after="330" w:line="578" w:lineRule="auto"/>
      <w:outlineLvl w:val="0"/>
    </w:pPr>
    <w:rPr>
      <w:rFonts w:ascii="Calibri" w:hAnsi="Calibri" w:eastAsia="宋体"/>
      <w:b/>
      <w:bCs/>
      <w:kern w:val="44"/>
      <w:sz w:val="44"/>
      <w:szCs w:val="44"/>
    </w:rPr>
  </w:style>
  <w:style w:type="paragraph" w:styleId="3">
    <w:name w:val="heading 2"/>
    <w:basedOn w:val="1"/>
    <w:next w:val="1"/>
    <w:link w:val="2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after="0" w:afterLines="0"/>
      <w:jc w:val="both"/>
    </w:pPr>
    <w:rPr>
      <w:rFonts w:eastAsia="仿宋_GB2312"/>
      <w:sz w:val="32"/>
    </w:rPr>
  </w:style>
  <w:style w:type="paragraph" w:styleId="5">
    <w:name w:val="Body Text Indent"/>
    <w:basedOn w:val="1"/>
    <w:qFormat/>
    <w:uiPriority w:val="0"/>
    <w:pPr>
      <w:ind w:firstLine="594" w:firstLineChars="200"/>
    </w:pPr>
    <w:rPr>
      <w:rFonts w:ascii="仿宋_GB2312" w:hAnsi="宋体"/>
      <w:snapToGrid w:val="0"/>
      <w:kern w:val="0"/>
      <w:szCs w:val="24"/>
    </w:rPr>
  </w:style>
  <w:style w:type="paragraph" w:styleId="6">
    <w:name w:val="Date"/>
    <w:basedOn w:val="1"/>
    <w:next w:val="1"/>
    <w:qFormat/>
    <w:uiPriority w:val="0"/>
    <w:rPr>
      <w:rFonts w:ascii="仿宋_GB2312"/>
      <w:szCs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eastAsia="宋体"/>
      <w:kern w:val="0"/>
      <w:sz w:val="24"/>
      <w:szCs w:val="24"/>
    </w:rPr>
  </w:style>
  <w:style w:type="character" w:styleId="12">
    <w:name w:val="page number"/>
    <w:basedOn w:val="11"/>
    <w:qFormat/>
    <w:uiPriority w:val="0"/>
    <w:rPr>
      <w:rFonts w:eastAsia="仿宋_GB2312"/>
      <w:color w:val="auto"/>
      <w:sz w:val="28"/>
      <w:u w:val="none"/>
      <w:vertAlign w:val="baseline"/>
    </w:rPr>
  </w:style>
  <w:style w:type="paragraph" w:customStyle="1" w:styleId="13">
    <w:name w:val="p0"/>
    <w:basedOn w:val="1"/>
    <w:qFormat/>
    <w:uiPriority w:val="0"/>
    <w:pPr>
      <w:widowControl/>
    </w:pPr>
    <w:rPr>
      <w:rFonts w:eastAsia="宋体"/>
      <w:kern w:val="0"/>
      <w:szCs w:val="32"/>
    </w:rPr>
  </w:style>
  <w:style w:type="paragraph" w:customStyle="1" w:styleId="14">
    <w:name w:val="正文1"/>
    <w:next w:val="15"/>
    <w:qFormat/>
    <w:uiPriority w:val="0"/>
    <w:pPr>
      <w:widowControl w:val="0"/>
      <w:pBdr>
        <w:top w:val="none" w:color="000000" w:sz="0" w:space="0"/>
        <w:left w:val="none" w:color="000000" w:sz="0" w:space="0"/>
        <w:bottom w:val="none" w:color="000000" w:sz="0" w:space="0"/>
        <w:right w:val="none" w:color="000000" w:sz="0" w:space="0"/>
        <w:between w:val="none" w:color="000000" w:sz="0" w:space="0"/>
      </w:pBdr>
      <w:shd w:val="clear" w:color="FFFFFF" w:fill="auto"/>
      <w:spacing w:before="0" w:beforeAutospacing="0" w:after="0" w:afterAutospacing="0" w:line="600" w:lineRule="exact"/>
      <w:ind w:left="0" w:right="0" w:firstLine="0"/>
      <w:jc w:val="both"/>
    </w:pPr>
    <w:rPr>
      <w:rFonts w:ascii="Calibri" w:hAnsi="Calibri" w:eastAsia="仿宋_GB2312" w:cs="Times New Roman"/>
      <w:color w:val="auto"/>
      <w:spacing w:val="0"/>
      <w:position w:val="0"/>
      <w:sz w:val="32"/>
      <w:szCs w:val="24"/>
      <w:lang w:val="en-US" w:eastAsia="zh-CN" w:bidi="ar-SA"/>
    </w:rPr>
  </w:style>
  <w:style w:type="paragraph" w:customStyle="1" w:styleId="15">
    <w:name w:val="正文缩进1"/>
    <w:basedOn w:val="14"/>
    <w:next w:val="16"/>
    <w:qFormat/>
    <w:uiPriority w:val="0"/>
    <w:pPr>
      <w:spacing w:after="0" w:line="560" w:lineRule="exact"/>
      <w:ind w:firstLine="420" w:firstLineChars="200"/>
      <w:jc w:val="both"/>
    </w:pPr>
    <w:rPr>
      <w:rFonts w:ascii="Calibri" w:hAnsi="Calibri" w:eastAsia="宋体"/>
      <w:sz w:val="32"/>
      <w:szCs w:val="32"/>
    </w:rPr>
  </w:style>
  <w:style w:type="paragraph" w:customStyle="1" w:styleId="16">
    <w:name w:val="目录 41"/>
    <w:basedOn w:val="14"/>
    <w:next w:val="14"/>
    <w:qFormat/>
    <w:uiPriority w:val="0"/>
    <w:pPr>
      <w:widowControl w:val="0"/>
      <w:wordWrap w:val="0"/>
      <w:ind w:left="850"/>
      <w:jc w:val="both"/>
    </w:pPr>
    <w:rPr>
      <w:rFonts w:ascii="Calibri" w:hAnsi="Calibri" w:eastAsia="宋体"/>
      <w:sz w:val="21"/>
      <w:szCs w:val="22"/>
      <w:lang w:val="en-US" w:eastAsia="zh-CN" w:bidi="ar-SA"/>
    </w:rPr>
  </w:style>
  <w:style w:type="character" w:customStyle="1" w:styleId="17">
    <w:name w:val=" Char Char2"/>
    <w:link w:val="2"/>
    <w:qFormat/>
    <w:uiPriority w:val="0"/>
    <w:rPr>
      <w:rFonts w:ascii="Calibri" w:hAnsi="Calibri" w:eastAsia="宋体"/>
      <w:b/>
      <w:bCs/>
      <w:kern w:val="44"/>
      <w:sz w:val="44"/>
      <w:szCs w:val="44"/>
      <w:lang w:val="en-US" w:eastAsia="zh-CN" w:bidi="ar-SA"/>
    </w:rPr>
  </w:style>
  <w:style w:type="paragraph" w:customStyle="1" w:styleId="18">
    <w:name w:val="List Paragraph1"/>
    <w:basedOn w:val="1"/>
    <w:qFormat/>
    <w:uiPriority w:val="0"/>
    <w:pPr>
      <w:ind w:firstLine="420" w:firstLineChars="200"/>
    </w:pPr>
    <w:rPr>
      <w:rFonts w:eastAsia="宋体"/>
      <w:sz w:val="21"/>
      <w:szCs w:val="21"/>
    </w:rPr>
  </w:style>
  <w:style w:type="paragraph" w:customStyle="1" w:styleId="19">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20">
    <w:name w:val="页脚1"/>
    <w:basedOn w:val="1"/>
    <w:qFormat/>
    <w:uiPriority w:val="0"/>
    <w:pPr>
      <w:tabs>
        <w:tab w:val="center" w:pos="4153"/>
        <w:tab w:val="right" w:pos="8306"/>
      </w:tabs>
      <w:snapToGrid w:val="0"/>
      <w:jc w:val="left"/>
    </w:pPr>
    <w:rPr>
      <w:sz w:val="18"/>
      <w:szCs w:val="18"/>
    </w:rPr>
  </w:style>
  <w:style w:type="character" w:customStyle="1" w:styleId="21">
    <w:name w:val="标题 2 Char"/>
    <w:link w:val="3"/>
    <w:qFormat/>
    <w:uiPriority w:val="0"/>
    <w:rPr>
      <w:rFonts w:ascii="Arial" w:hAnsi="Arial" w:eastAsia="黑体"/>
      <w:b/>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4037;&#20316;\&#25919;&#21153;\2024&#24180;\202403\128&#24191;&#24030;&#24066;&#33620;&#28286;&#21306;&#20154;&#27665;&#25919;&#24220;&#21150;&#20844;&#23460;&#20851;&#20110;&#25253;&#36865;2023&#24180;&#24230;&#34892;&#25919;&#35768;&#21487;&#23454;&#26045;&#21644;&#30417;&#30563;&#31649;&#29702;&#24773;&#20917;&#25253;&#21578;&#30340;&#36890;&#30693;4719.doc"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128广州市荔湾区人民政府办公室关于报送2023年度行政许可实施和监督管理情况报告的通知4719.doc</Template>
  <Pages>6</Pages>
  <Words>2742</Words>
  <Characters>2874</Characters>
  <Lines>1</Lines>
  <Paragraphs>1</Paragraphs>
  <TotalTime>3</TotalTime>
  <ScaleCrop>false</ScaleCrop>
  <LinksUpToDate>false</LinksUpToDate>
  <CharactersWithSpaces>2977</CharactersWithSpaces>
  <Application>WPS Office_12.8.2.20793_F1E327BC-269C-435d-A152-05C5408002CA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2024-03-13T03:35:00Z</dcterms:created>
  <dc:creator>市容审批科_黄强勇</dc:creator>
  <cp:lastModifiedBy>法规科_张毓</cp:lastModifiedBy>
  <dcterms:modified xsi:type="dcterms:W3CDTF">2026-03-25T03:24:42Z</dcterms:modified>
  <dc:title>荔府函〔200  〕  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2052-12.8.2.20793</vt:lpwstr>
  </property>
  <property fmtid="{D5CDD505-2E9C-101B-9397-08002B2CF9AE}" pid="3" name="ICV">
    <vt:lpwstr>5C9CCA6C274440AA96D3C6E4F586E95A</vt:lpwstr>
  </property>
</Properties>
</file>