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FF055E">
      <w:pPr>
        <w:spacing w:line="360" w:lineRule="auto"/>
        <w:rPr>
          <w:rFonts w:hint="default" w:ascii="Times New Roman" w:hAnsi="Times New Roman" w:eastAsia="宋体" w:cs="Times New Roman"/>
          <w:b/>
          <w:caps w:val="0"/>
          <w:color w:val="000000" w:themeColor="text1"/>
          <w:sz w:val="28"/>
          <w:szCs w:val="28"/>
          <w:highlight w:val="none"/>
          <w14:textFill>
            <w14:solidFill>
              <w14:schemeClr w14:val="tx1"/>
            </w14:solidFill>
          </w14:textFill>
        </w:rPr>
      </w:pPr>
    </w:p>
    <w:p w14:paraId="4118C79F">
      <w:pPr>
        <w:pStyle w:val="6"/>
        <w:rPr>
          <w:rFonts w:hint="default" w:ascii="Times New Roman" w:hAnsi="Times New Roman" w:eastAsia="宋体" w:cs="Times New Roman"/>
          <w:caps w:val="0"/>
          <w:color w:val="000000" w:themeColor="text1"/>
          <w:highlight w:val="none"/>
          <w14:textFill>
            <w14:solidFill>
              <w14:schemeClr w14:val="tx1"/>
            </w14:solidFill>
          </w14:textFill>
        </w:rPr>
      </w:pPr>
    </w:p>
    <w:p w14:paraId="59850EF2">
      <w:pPr>
        <w:spacing w:line="360" w:lineRule="auto"/>
        <w:rPr>
          <w:rFonts w:hint="default" w:ascii="Times New Roman" w:hAnsi="Times New Roman" w:eastAsia="宋体" w:cs="Times New Roman"/>
          <w:b/>
          <w:caps w:val="0"/>
          <w:color w:val="000000" w:themeColor="text1"/>
          <w:sz w:val="28"/>
          <w:szCs w:val="28"/>
          <w:highlight w:val="none"/>
          <w14:textFill>
            <w14:solidFill>
              <w14:schemeClr w14:val="tx1"/>
            </w14:solidFill>
          </w14:textFill>
        </w:rPr>
      </w:pPr>
    </w:p>
    <w:p w14:paraId="24D20715">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default" w:ascii="Times New Roman" w:hAnsi="Times New Roman" w:eastAsia="宋体" w:cs="Times New Roman"/>
          <w:b/>
          <w:bCs/>
          <w:caps w:val="0"/>
          <w:color w:val="000000" w:themeColor="text1"/>
          <w:w w:val="150"/>
          <w:sz w:val="32"/>
          <w:szCs w:val="32"/>
          <w:highlight w:val="none"/>
          <w:u w:val="none"/>
          <w14:textFill>
            <w14:solidFill>
              <w14:schemeClr w14:val="tx1"/>
            </w14:solidFill>
          </w14:textFill>
        </w:rPr>
      </w:pPr>
      <w:r>
        <w:rPr>
          <w:rFonts w:hint="default" w:ascii="Times New Roman" w:hAnsi="Times New Roman" w:eastAsia="宋体" w:cs="Times New Roman"/>
          <w:b/>
          <w:bCs/>
          <w:caps w:val="0"/>
          <w:color w:val="000000" w:themeColor="text1"/>
          <w:sz w:val="48"/>
          <w:szCs w:val="48"/>
          <w:highlight w:val="none"/>
          <w:u w:val="none"/>
          <w:shd w:val="clear" w:color="auto" w:fill="FFFFFF"/>
          <w:lang w:eastAsia="zh-CN"/>
          <w14:textFill>
            <w14:solidFill>
              <w14:schemeClr w14:val="tx1"/>
            </w14:solidFill>
          </w14:textFill>
        </w:rPr>
        <w:t>西湾和苑人行天桥管线迁改设计施工总承包</w:t>
      </w:r>
    </w:p>
    <w:p w14:paraId="2DBCD756">
      <w:pPr>
        <w:spacing w:line="360" w:lineRule="auto"/>
        <w:rPr>
          <w:rFonts w:hint="default" w:ascii="Times New Roman" w:hAnsi="Times New Roman" w:eastAsia="宋体" w:cs="Times New Roman"/>
          <w:b/>
          <w:caps w:val="0"/>
          <w:color w:val="000000" w:themeColor="text1"/>
          <w:w w:val="150"/>
          <w:sz w:val="28"/>
          <w:szCs w:val="28"/>
          <w:highlight w:val="none"/>
          <w14:textFill>
            <w14:solidFill>
              <w14:schemeClr w14:val="tx1"/>
            </w14:solidFill>
          </w14:textFill>
        </w:rPr>
      </w:pPr>
    </w:p>
    <w:p w14:paraId="46B1B474">
      <w:pPr>
        <w:spacing w:line="360" w:lineRule="auto"/>
        <w:jc w:val="center"/>
        <w:rPr>
          <w:rFonts w:hint="default" w:ascii="Times New Roman" w:hAnsi="Times New Roman" w:eastAsia="宋体" w:cs="Times New Roman"/>
          <w:b/>
          <w:bCs/>
          <w:caps w:val="0"/>
          <w:color w:val="000000" w:themeColor="text1"/>
          <w:sz w:val="72"/>
          <w:szCs w:val="72"/>
          <w:highlight w:val="none"/>
          <w14:textFill>
            <w14:solidFill>
              <w14:schemeClr w14:val="tx1"/>
            </w14:solidFill>
          </w14:textFill>
        </w:rPr>
      </w:pPr>
    </w:p>
    <w:p w14:paraId="6674129B">
      <w:pPr>
        <w:pStyle w:val="26"/>
        <w:jc w:val="both"/>
        <w:rPr>
          <w:rFonts w:hint="default" w:ascii="Times New Roman" w:hAnsi="Times New Roman" w:cs="Times New Roman"/>
          <w:color w:val="000000" w:themeColor="text1"/>
          <w:highlight w:val="none"/>
          <w14:textFill>
            <w14:solidFill>
              <w14:schemeClr w14:val="tx1"/>
            </w14:solidFill>
          </w14:textFill>
        </w:rPr>
      </w:pPr>
    </w:p>
    <w:p w14:paraId="4F692F1E">
      <w:pPr>
        <w:spacing w:line="360" w:lineRule="auto"/>
        <w:jc w:val="center"/>
        <w:rPr>
          <w:rFonts w:hint="default" w:ascii="Times New Roman" w:hAnsi="Times New Roman" w:eastAsia="宋体" w:cs="Times New Roman"/>
          <w:b/>
          <w:bCs/>
          <w:caps w:val="0"/>
          <w:color w:val="000000" w:themeColor="text1"/>
          <w:sz w:val="72"/>
          <w:szCs w:val="72"/>
          <w:highlight w:val="none"/>
          <w14:textFill>
            <w14:solidFill>
              <w14:schemeClr w14:val="tx1"/>
            </w14:solidFill>
          </w14:textFill>
        </w:rPr>
      </w:pPr>
    </w:p>
    <w:p w14:paraId="466B2EAD">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default" w:ascii="Times New Roman" w:hAnsi="Times New Roman" w:eastAsia="宋体" w:cs="Times New Roman"/>
          <w:b/>
          <w:bCs/>
          <w:caps w:val="0"/>
          <w:color w:val="000000" w:themeColor="text1"/>
          <w:sz w:val="52"/>
          <w:szCs w:val="52"/>
          <w:highlight w:val="none"/>
          <w14:textFill>
            <w14:solidFill>
              <w14:schemeClr w14:val="tx1"/>
            </w14:solidFill>
          </w14:textFill>
        </w:rPr>
      </w:pPr>
      <w:bookmarkStart w:id="0" w:name="_Toc9810"/>
      <w:bookmarkStart w:id="1" w:name="_Toc32194"/>
      <w:r>
        <w:rPr>
          <w:rFonts w:hint="default" w:ascii="Times New Roman" w:hAnsi="Times New Roman" w:eastAsia="宋体" w:cs="Times New Roman"/>
          <w:b/>
          <w:bCs/>
          <w:caps w:val="0"/>
          <w:color w:val="000000" w:themeColor="text1"/>
          <w:sz w:val="52"/>
          <w:szCs w:val="52"/>
          <w:highlight w:val="none"/>
          <w14:textFill>
            <w14:solidFill>
              <w14:schemeClr w14:val="tx1"/>
            </w14:solidFill>
          </w14:textFill>
        </w:rPr>
        <w:t>询比文件</w:t>
      </w:r>
      <w:bookmarkEnd w:id="0"/>
      <w:bookmarkEnd w:id="1"/>
    </w:p>
    <w:p w14:paraId="59F73339">
      <w:pPr>
        <w:spacing w:line="360" w:lineRule="auto"/>
        <w:jc w:val="distribute"/>
        <w:rPr>
          <w:rFonts w:hint="default" w:ascii="Times New Roman" w:hAnsi="Times New Roman" w:eastAsia="宋体" w:cs="Times New Roman"/>
          <w:b/>
          <w:caps w:val="0"/>
          <w:color w:val="000000" w:themeColor="text1"/>
          <w:w w:val="150"/>
          <w:sz w:val="96"/>
          <w:highlight w:val="none"/>
          <w14:textFill>
            <w14:solidFill>
              <w14:schemeClr w14:val="tx1"/>
            </w14:solidFill>
          </w14:textFill>
        </w:rPr>
      </w:pPr>
    </w:p>
    <w:p w14:paraId="328DDF71">
      <w:pPr>
        <w:spacing w:line="360" w:lineRule="auto"/>
        <w:jc w:val="center"/>
        <w:rPr>
          <w:rFonts w:hint="default" w:ascii="Times New Roman" w:hAnsi="Times New Roman" w:eastAsia="宋体" w:cs="Times New Roman"/>
          <w:b/>
          <w:caps w:val="0"/>
          <w:color w:val="000000" w:themeColor="text1"/>
          <w:w w:val="150"/>
          <w:sz w:val="44"/>
          <w:highlight w:val="none"/>
          <w14:textFill>
            <w14:solidFill>
              <w14:schemeClr w14:val="tx1"/>
            </w14:solidFill>
          </w14:textFill>
        </w:rPr>
      </w:pPr>
    </w:p>
    <w:p w14:paraId="1B8E8D2B">
      <w:pPr>
        <w:spacing w:line="360" w:lineRule="auto"/>
        <w:jc w:val="center"/>
        <w:rPr>
          <w:rFonts w:hint="default" w:ascii="Times New Roman" w:hAnsi="Times New Roman" w:eastAsia="宋体" w:cs="Times New Roman"/>
          <w:b/>
          <w:caps w:val="0"/>
          <w:color w:val="000000" w:themeColor="text1"/>
          <w:w w:val="150"/>
          <w:sz w:val="44"/>
          <w:highlight w:val="none"/>
          <w14:textFill>
            <w14:solidFill>
              <w14:schemeClr w14:val="tx1"/>
            </w14:solidFill>
          </w14:textFill>
        </w:rPr>
      </w:pPr>
    </w:p>
    <w:p w14:paraId="0F5A293D">
      <w:pPr>
        <w:spacing w:line="360" w:lineRule="auto"/>
        <w:jc w:val="center"/>
        <w:rPr>
          <w:rFonts w:hint="default" w:ascii="Times New Roman" w:hAnsi="Times New Roman" w:eastAsia="宋体" w:cs="Times New Roman"/>
          <w:b/>
          <w:caps w:val="0"/>
          <w:color w:val="000000" w:themeColor="text1"/>
          <w:w w:val="150"/>
          <w:sz w:val="44"/>
          <w:highlight w:val="none"/>
          <w14:textFill>
            <w14:solidFill>
              <w14:schemeClr w14:val="tx1"/>
            </w14:solidFill>
          </w14:textFill>
        </w:rPr>
      </w:pPr>
    </w:p>
    <w:p w14:paraId="6F4B6C6F">
      <w:pPr>
        <w:spacing w:line="360" w:lineRule="auto"/>
        <w:jc w:val="center"/>
        <w:rPr>
          <w:rFonts w:hint="default" w:ascii="Times New Roman" w:hAnsi="Times New Roman" w:eastAsia="宋体" w:cs="Times New Roman"/>
          <w:b/>
          <w:caps w:val="0"/>
          <w:color w:val="000000" w:themeColor="text1"/>
          <w:w w:val="150"/>
          <w:sz w:val="44"/>
          <w:highlight w:val="none"/>
          <w14:textFill>
            <w14:solidFill>
              <w14:schemeClr w14:val="tx1"/>
            </w14:solidFill>
          </w14:textFill>
        </w:rPr>
      </w:pPr>
    </w:p>
    <w:p w14:paraId="0E84B2BC">
      <w:pPr>
        <w:spacing w:line="360" w:lineRule="auto"/>
        <w:ind w:firstLine="803" w:firstLineChars="250"/>
        <w:rPr>
          <w:rFonts w:hint="default" w:ascii="Times New Roman" w:hAnsi="Times New Roman" w:eastAsia="宋体" w:cs="Times New Roman"/>
          <w:b/>
          <w:bCs/>
          <w:caps w:val="0"/>
          <w:color w:val="000000" w:themeColor="text1"/>
          <w:sz w:val="32"/>
          <w:szCs w:val="32"/>
          <w:highlight w:val="none"/>
          <w14:textFill>
            <w14:solidFill>
              <w14:schemeClr w14:val="tx1"/>
            </w14:solidFill>
          </w14:textFill>
        </w:rPr>
      </w:pPr>
    </w:p>
    <w:p w14:paraId="2FCA9B67">
      <w:pPr>
        <w:keepNext w:val="0"/>
        <w:keepLines w:val="0"/>
        <w:pageBreakBefore w:val="0"/>
        <w:widowControl w:val="0"/>
        <w:kinsoku/>
        <w:wordWrap/>
        <w:overflowPunct/>
        <w:topLinePunct w:val="0"/>
        <w:autoSpaceDE/>
        <w:autoSpaceDN/>
        <w:bidi w:val="0"/>
        <w:adjustRightInd/>
        <w:snapToGrid/>
        <w:spacing w:line="360" w:lineRule="auto"/>
        <w:ind w:firstLine="803" w:firstLineChars="250"/>
        <w:textAlignment w:val="auto"/>
        <w:outlineLvl w:val="9"/>
        <w:rPr>
          <w:rFonts w:hint="default" w:ascii="Times New Roman" w:hAnsi="Times New Roman" w:eastAsia="宋体" w:cs="Times New Roman"/>
          <w:b/>
          <w:bCs/>
          <w:caps w:val="0"/>
          <w:color w:val="000000" w:themeColor="text1"/>
          <w:sz w:val="32"/>
          <w:szCs w:val="32"/>
          <w:highlight w:val="none"/>
          <w:lang w:eastAsia="zh-CN"/>
          <w14:textFill>
            <w14:solidFill>
              <w14:schemeClr w14:val="tx1"/>
            </w14:solidFill>
          </w14:textFill>
        </w:rPr>
      </w:pPr>
      <w:bookmarkStart w:id="2" w:name="_Toc831"/>
      <w:bookmarkStart w:id="3" w:name="_Toc19919"/>
      <w:r>
        <w:rPr>
          <w:rFonts w:hint="default" w:ascii="Times New Roman" w:hAnsi="Times New Roman" w:eastAsia="宋体" w:cs="Times New Roman"/>
          <w:b/>
          <w:bCs/>
          <w:caps w:val="0"/>
          <w:color w:val="000000" w:themeColor="text1"/>
          <w:sz w:val="32"/>
          <w:szCs w:val="32"/>
          <w:highlight w:val="none"/>
          <w14:textFill>
            <w14:solidFill>
              <w14:schemeClr w14:val="tx1"/>
            </w14:solidFill>
          </w14:textFill>
        </w:rPr>
        <w:t>询比单位：</w:t>
      </w:r>
      <w:bookmarkEnd w:id="2"/>
      <w:bookmarkEnd w:id="3"/>
      <w:r>
        <w:rPr>
          <w:rFonts w:hint="default" w:ascii="Times New Roman" w:hAnsi="Times New Roman" w:eastAsia="宋体" w:cs="Times New Roman"/>
          <w:b/>
          <w:bCs/>
          <w:caps w:val="0"/>
          <w:color w:val="000000" w:themeColor="text1"/>
          <w:sz w:val="32"/>
          <w:szCs w:val="32"/>
          <w:highlight w:val="none"/>
          <w:lang w:eastAsia="zh-CN"/>
          <w14:textFill>
            <w14:solidFill>
              <w14:schemeClr w14:val="tx1"/>
            </w14:solidFill>
          </w14:textFill>
        </w:rPr>
        <w:t>广州市荔湾区建设工程项目代建中心</w:t>
      </w:r>
    </w:p>
    <w:p w14:paraId="00BC81E2">
      <w:pPr>
        <w:keepNext w:val="0"/>
        <w:keepLines w:val="0"/>
        <w:pageBreakBefore w:val="0"/>
        <w:widowControl w:val="0"/>
        <w:kinsoku/>
        <w:wordWrap/>
        <w:overflowPunct/>
        <w:topLinePunct w:val="0"/>
        <w:autoSpaceDE/>
        <w:autoSpaceDN/>
        <w:bidi w:val="0"/>
        <w:adjustRightInd/>
        <w:snapToGrid/>
        <w:spacing w:line="360" w:lineRule="auto"/>
        <w:ind w:firstLine="803" w:firstLineChars="250"/>
        <w:textAlignment w:val="auto"/>
        <w:outlineLvl w:val="9"/>
        <w:rPr>
          <w:rFonts w:hint="default" w:ascii="Times New Roman" w:hAnsi="Times New Roman" w:eastAsia="宋体" w:cs="Times New Roman"/>
          <w:b/>
          <w:bCs/>
          <w:caps w:val="0"/>
          <w:color w:val="000000" w:themeColor="text1"/>
          <w:sz w:val="32"/>
          <w:szCs w:val="32"/>
          <w:highlight w:val="none"/>
          <w:lang w:val="en-US" w:eastAsia="zh-CN"/>
          <w14:textFill>
            <w14:solidFill>
              <w14:schemeClr w14:val="tx1"/>
            </w14:solidFill>
          </w14:textFill>
        </w:rPr>
      </w:pPr>
      <w:bookmarkStart w:id="4" w:name="_Toc24188"/>
      <w:bookmarkStart w:id="5" w:name="_Toc8780"/>
      <w:r>
        <w:rPr>
          <w:rFonts w:hint="default" w:ascii="Times New Roman" w:hAnsi="Times New Roman" w:eastAsia="宋体" w:cs="Times New Roman"/>
          <w:b/>
          <w:bCs/>
          <w:caps w:val="0"/>
          <w:color w:val="000000" w:themeColor="text1"/>
          <w:sz w:val="32"/>
          <w:szCs w:val="32"/>
          <w:highlight w:val="none"/>
          <w14:textFill>
            <w14:solidFill>
              <w14:schemeClr w14:val="tx1"/>
            </w14:solidFill>
          </w14:textFill>
        </w:rPr>
        <w:t>询比代理单位：</w:t>
      </w:r>
      <w:bookmarkEnd w:id="4"/>
      <w:r>
        <w:rPr>
          <w:rFonts w:hint="default" w:ascii="Times New Roman" w:hAnsi="Times New Roman" w:eastAsia="宋体" w:cs="Times New Roman"/>
          <w:b/>
          <w:bCs/>
          <w:caps w:val="0"/>
          <w:color w:val="000000" w:themeColor="text1"/>
          <w:sz w:val="32"/>
          <w:szCs w:val="32"/>
          <w:highlight w:val="none"/>
          <w:lang w:eastAsia="zh-CN"/>
          <w14:textFill>
            <w14:solidFill>
              <w14:schemeClr w14:val="tx1"/>
            </w14:solidFill>
          </w14:textFill>
        </w:rPr>
        <w:t>广东冠诚工程管理有限公司</w:t>
      </w:r>
      <w:bookmarkEnd w:id="5"/>
    </w:p>
    <w:p w14:paraId="4B0DA5D5">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default" w:ascii="Times New Roman" w:hAnsi="Times New Roman" w:eastAsia="宋体" w:cs="Times New Roman"/>
          <w:b/>
          <w:caps w:val="0"/>
          <w:color w:val="000000" w:themeColor="text1"/>
          <w:sz w:val="32"/>
          <w:szCs w:val="32"/>
          <w:highlight w:val="none"/>
          <w14:textFill>
            <w14:solidFill>
              <w14:schemeClr w14:val="tx1"/>
            </w14:solidFill>
          </w14:textFill>
        </w:rPr>
      </w:pPr>
      <w:bookmarkStart w:id="6" w:name="_Toc30942"/>
      <w:bookmarkStart w:id="7" w:name="_Toc29221"/>
      <w:r>
        <w:rPr>
          <w:rFonts w:hint="default" w:ascii="Times New Roman" w:hAnsi="Times New Roman" w:eastAsia="宋体" w:cs="Times New Roman"/>
          <w:b/>
          <w:caps w:val="0"/>
          <w:color w:val="000000" w:themeColor="text1"/>
          <w:sz w:val="32"/>
          <w:szCs w:val="32"/>
          <w:highlight w:val="none"/>
          <w:lang w:val="en-US" w:eastAsia="zh-CN"/>
          <w14:textFill>
            <w14:solidFill>
              <w14:schemeClr w14:val="tx1"/>
            </w14:solidFill>
          </w14:textFill>
        </w:rPr>
        <w:t>二</w:t>
      </w:r>
      <w:r>
        <w:rPr>
          <w:rFonts w:hint="eastAsia" w:ascii="宋体" w:hAnsi="宋体" w:eastAsia="宋体" w:cs="宋体"/>
          <w:b/>
          <w:caps w:val="0"/>
          <w:sz w:val="32"/>
          <w:szCs w:val="32"/>
          <w:highlight w:val="none"/>
          <w:lang w:val="en-US" w:eastAsia="zh-CN"/>
        </w:rPr>
        <w:t>〇</w:t>
      </w:r>
      <w:r>
        <w:rPr>
          <w:rFonts w:hint="default" w:ascii="Times New Roman" w:hAnsi="Times New Roman" w:eastAsia="宋体" w:cs="Times New Roman"/>
          <w:b/>
          <w:caps w:val="0"/>
          <w:color w:val="000000" w:themeColor="text1"/>
          <w:sz w:val="32"/>
          <w:szCs w:val="32"/>
          <w:highlight w:val="none"/>
          <w:lang w:val="en-US" w:eastAsia="zh-CN"/>
          <w14:textFill>
            <w14:solidFill>
              <w14:schemeClr w14:val="tx1"/>
            </w14:solidFill>
          </w14:textFill>
        </w:rPr>
        <w:t>二六</w:t>
      </w:r>
      <w:r>
        <w:rPr>
          <w:rFonts w:hint="default" w:ascii="Times New Roman" w:hAnsi="Times New Roman" w:eastAsia="宋体" w:cs="Times New Roman"/>
          <w:b/>
          <w:caps w:val="0"/>
          <w:color w:val="000000" w:themeColor="text1"/>
          <w:sz w:val="32"/>
          <w:szCs w:val="32"/>
          <w:highlight w:val="none"/>
          <w14:textFill>
            <w14:solidFill>
              <w14:schemeClr w14:val="tx1"/>
            </w14:solidFill>
          </w14:textFill>
        </w:rPr>
        <w:t>年</w:t>
      </w:r>
      <w:r>
        <w:rPr>
          <w:rFonts w:hint="default" w:ascii="Times New Roman" w:hAnsi="Times New Roman" w:eastAsia="宋体" w:cs="Times New Roman"/>
          <w:b/>
          <w:caps w:val="0"/>
          <w:color w:val="000000" w:themeColor="text1"/>
          <w:sz w:val="32"/>
          <w:szCs w:val="32"/>
          <w:highlight w:val="none"/>
          <w:lang w:val="en-US" w:eastAsia="zh-CN"/>
          <w14:textFill>
            <w14:solidFill>
              <w14:schemeClr w14:val="tx1"/>
            </w14:solidFill>
          </w14:textFill>
        </w:rPr>
        <w:t>四</w:t>
      </w:r>
      <w:r>
        <w:rPr>
          <w:rFonts w:hint="default" w:ascii="Times New Roman" w:hAnsi="Times New Roman" w:eastAsia="宋体" w:cs="Times New Roman"/>
          <w:b/>
          <w:caps w:val="0"/>
          <w:color w:val="000000" w:themeColor="text1"/>
          <w:sz w:val="32"/>
          <w:szCs w:val="32"/>
          <w:highlight w:val="none"/>
          <w14:textFill>
            <w14:solidFill>
              <w14:schemeClr w14:val="tx1"/>
            </w14:solidFill>
          </w14:textFill>
        </w:rPr>
        <w:t>月</w:t>
      </w:r>
      <w:bookmarkEnd w:id="6"/>
      <w:bookmarkEnd w:id="7"/>
    </w:p>
    <w:p w14:paraId="45B305D0">
      <w:pPr>
        <w:pStyle w:val="63"/>
        <w:jc w:val="cente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sectPr>
          <w:footerReference r:id="rId5" w:type="first"/>
          <w:headerReference r:id="rId3" w:type="default"/>
          <w:headerReference r:id="rId4" w:type="even"/>
          <w:pgSz w:w="11906" w:h="16838"/>
          <w:pgMar w:top="1440" w:right="1800" w:bottom="1440" w:left="1800" w:header="851" w:footer="992" w:gutter="0"/>
          <w:pgNumType w:fmt="decimal" w:start="1"/>
          <w:cols w:space="425" w:num="1"/>
          <w:docGrid w:type="lines" w:linePitch="312" w:charSpace="0"/>
        </w:sectPr>
      </w:pPr>
    </w:p>
    <w:sdt>
      <w:sdtP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id w:val="147458762"/>
        <w15:color w:val="DBDBDB"/>
        <w:docPartObj>
          <w:docPartGallery w:val="Table of Contents"/>
          <w:docPartUnique/>
        </w:docPartObj>
      </w:sdtPr>
      <w:sdtEndPr>
        <w:rPr>
          <w:rFonts w:hint="default" w:ascii="Times New Roman" w:hAnsi="Times New Roman" w:eastAsia="宋体" w:cs="Times New Roman"/>
          <w:bCs/>
          <w:color w:val="000000" w:themeColor="text1"/>
          <w:kern w:val="2"/>
          <w:sz w:val="21"/>
          <w:szCs w:val="32"/>
          <w:highlight w:val="none"/>
          <w:lang w:val="en-US" w:eastAsia="zh-CN" w:bidi="ar-SA"/>
          <w14:textFill>
            <w14:solidFill>
              <w14:schemeClr w14:val="tx1"/>
            </w14:solidFill>
          </w14:textFill>
        </w:rPr>
      </w:sdtEndPr>
      <w:sdtContent>
        <w:p w14:paraId="495A9AB6">
          <w:pPr>
            <w:pStyle w:val="63"/>
            <w:jc w:val="center"/>
            <w:rPr>
              <w:rFonts w:hint="default" w:ascii="Times New Roman" w:hAnsi="Times New Roman" w:eastAsia="宋体" w:cs="Times New Roman"/>
              <w:color w:val="000000" w:themeColor="text1"/>
              <w:sz w:val="32"/>
              <w:szCs w:val="32"/>
              <w:highlight w:val="none"/>
              <w:lang w:val="zh-CN"/>
              <w14:textFill>
                <w14:solidFill>
                  <w14:schemeClr w14:val="tx1"/>
                </w14:solidFill>
              </w14:textFill>
            </w:rPr>
          </w:pPr>
          <w:bookmarkStart w:id="8" w:name="_Toc14379"/>
          <w:bookmarkStart w:id="9" w:name="_Toc27607"/>
          <w:r>
            <w:rPr>
              <w:rFonts w:hint="default" w:ascii="Times New Roman" w:hAnsi="Times New Roman" w:eastAsia="宋体" w:cs="Times New Roman"/>
              <w:color w:val="000000" w:themeColor="text1"/>
              <w:sz w:val="32"/>
              <w:szCs w:val="32"/>
              <w:highlight w:val="none"/>
              <w:lang w:val="zh-CN"/>
              <w14:textFill>
                <w14:solidFill>
                  <w14:schemeClr w14:val="tx1"/>
                </w14:solidFill>
              </w14:textFill>
            </w:rPr>
            <w:t>目</w:t>
          </w:r>
          <w:r>
            <w:rPr>
              <w:rFonts w:hint="default" w:ascii="Times New Roman" w:hAnsi="Times New Roman" w:eastAsia="宋体" w:cs="Times New Roman"/>
              <w:color w:val="000000" w:themeColor="text1"/>
              <w:sz w:val="32"/>
              <w:szCs w:val="32"/>
              <w:highlight w:val="none"/>
              <w14:textFill>
                <w14:solidFill>
                  <w14:schemeClr w14:val="tx1"/>
                </w14:solidFill>
              </w14:textFill>
            </w:rPr>
            <w:t xml:space="preserve">    </w:t>
          </w:r>
          <w:r>
            <w:rPr>
              <w:rFonts w:hint="default" w:ascii="Times New Roman" w:hAnsi="Times New Roman" w:eastAsia="宋体" w:cs="Times New Roman"/>
              <w:color w:val="000000" w:themeColor="text1"/>
              <w:sz w:val="32"/>
              <w:szCs w:val="32"/>
              <w:highlight w:val="none"/>
              <w:lang w:val="zh-CN"/>
              <w14:textFill>
                <w14:solidFill>
                  <w14:schemeClr w14:val="tx1"/>
                </w14:solidFill>
              </w14:textFill>
            </w:rPr>
            <w:t>录</w:t>
          </w:r>
          <w:bookmarkEnd w:id="8"/>
          <w:bookmarkEnd w:id="9"/>
        </w:p>
        <w:p w14:paraId="33A78B83">
          <w:pPr>
            <w:pStyle w:val="21"/>
            <w:tabs>
              <w:tab w:val="right" w:pos="8306"/>
            </w:tabs>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b/>
              <w:bCs/>
              <w:color w:val="000000" w:themeColor="text1"/>
              <w:sz w:val="32"/>
              <w:szCs w:val="32"/>
              <w:highlight w:val="none"/>
              <w14:textFill>
                <w14:solidFill>
                  <w14:schemeClr w14:val="tx1"/>
                </w14:solidFill>
              </w14:textFill>
            </w:rPr>
            <w:fldChar w:fldCharType="begin"/>
          </w:r>
          <w:r>
            <w:rPr>
              <w:rFonts w:hint="default" w:ascii="Times New Roman" w:hAnsi="Times New Roman" w:eastAsia="宋体" w:cs="Times New Roman"/>
              <w:b/>
              <w:bCs/>
              <w:color w:val="000000" w:themeColor="text1"/>
              <w:sz w:val="32"/>
              <w:szCs w:val="32"/>
              <w:highlight w:val="none"/>
              <w14:textFill>
                <w14:solidFill>
                  <w14:schemeClr w14:val="tx1"/>
                </w14:solidFill>
              </w14:textFill>
            </w:rPr>
            <w:instrText xml:space="preserve">TOC \o "1-1" \h \u </w:instrText>
          </w:r>
          <w:r>
            <w:rPr>
              <w:rFonts w:hint="default" w:ascii="Times New Roman" w:hAnsi="Times New Roman" w:eastAsia="宋体" w:cs="Times New Roman"/>
              <w:b/>
              <w:bCs/>
              <w:color w:val="000000" w:themeColor="text1"/>
              <w:sz w:val="32"/>
              <w:szCs w:val="32"/>
              <w:highlight w:val="none"/>
              <w14:textFill>
                <w14:solidFill>
                  <w14:schemeClr w14:val="tx1"/>
                </w14:solidFill>
              </w14:textFill>
            </w:rPr>
            <w:fldChar w:fldCharType="separate"/>
          </w:r>
        </w:p>
        <w:p w14:paraId="169489F8">
          <w:pPr>
            <w:pStyle w:val="21"/>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
              <w:bCs w:val="0"/>
              <w:color w:val="000000" w:themeColor="text1"/>
              <w:sz w:val="24"/>
              <w:szCs w:val="24"/>
              <w:highlight w:val="none"/>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14:textFill>
                <w14:solidFill>
                  <w14:schemeClr w14:val="tx1"/>
                </w14:solidFill>
              </w14:textFill>
            </w:rPr>
            <w:fldChar w:fldCharType="begin"/>
          </w:r>
          <w:r>
            <w:rPr>
              <w:rFonts w:hint="default" w:ascii="Times New Roman" w:hAnsi="Times New Roman" w:eastAsia="宋体" w:cs="Times New Roman"/>
              <w:b/>
              <w:bCs w:val="0"/>
              <w:color w:val="000000" w:themeColor="text1"/>
              <w:sz w:val="24"/>
              <w:szCs w:val="24"/>
              <w:highlight w:val="none"/>
              <w14:textFill>
                <w14:solidFill>
                  <w14:schemeClr w14:val="tx1"/>
                </w14:solidFill>
              </w14:textFill>
            </w:rPr>
            <w:instrText xml:space="preserve"> HYPERLINK \l _Toc20509 </w:instrText>
          </w:r>
          <w:r>
            <w:rPr>
              <w:rFonts w:hint="default" w:ascii="Times New Roman" w:hAnsi="Times New Roman" w:eastAsia="宋体" w:cs="Times New Roman"/>
              <w:b/>
              <w:bCs w:val="0"/>
              <w:color w:val="000000" w:themeColor="text1"/>
              <w:sz w:val="24"/>
              <w:szCs w:val="24"/>
              <w:highlight w:val="none"/>
              <w14:textFill>
                <w14:solidFill>
                  <w14:schemeClr w14:val="tx1"/>
                </w14:solidFill>
              </w14:textFill>
            </w:rPr>
            <w:fldChar w:fldCharType="separate"/>
          </w:r>
          <w:r>
            <w:rPr>
              <w:rFonts w:hint="default" w:ascii="Times New Roman" w:hAnsi="Times New Roman" w:eastAsia="宋体" w:cs="Times New Roman"/>
              <w:b/>
              <w:bCs w:val="0"/>
              <w:caps w:val="0"/>
              <w:color w:val="000000" w:themeColor="text1"/>
              <w:sz w:val="24"/>
              <w:szCs w:val="24"/>
              <w:highlight w:val="none"/>
              <w:shd w:val="clear" w:color="auto" w:fill="FFFFFF"/>
              <w14:textFill>
                <w14:solidFill>
                  <w14:schemeClr w14:val="tx1"/>
                </w14:solidFill>
              </w14:textFill>
            </w:rPr>
            <w:t>第一章 询比公告</w:t>
          </w:r>
          <w:r>
            <w:rPr>
              <w:rFonts w:hint="default" w:ascii="Times New Roman" w:hAnsi="Times New Roman" w:eastAsia="宋体" w:cs="Times New Roman"/>
              <w:b/>
              <w:bCs w:val="0"/>
              <w:color w:val="000000" w:themeColor="text1"/>
              <w:sz w:val="24"/>
              <w:szCs w:val="24"/>
              <w:highlight w:val="none"/>
              <w14:textFill>
                <w14:solidFill>
                  <w14:schemeClr w14:val="tx1"/>
                </w14:solidFill>
              </w14:textFill>
            </w:rPr>
            <w:tab/>
          </w:r>
          <w:r>
            <w:rPr>
              <w:rFonts w:hint="default" w:ascii="Times New Roman" w:hAnsi="Times New Roman" w:eastAsia="宋体" w:cs="Times New Roman"/>
              <w:b/>
              <w:bCs w:val="0"/>
              <w:color w:val="000000" w:themeColor="text1"/>
              <w:sz w:val="24"/>
              <w:szCs w:val="24"/>
              <w:highlight w:val="none"/>
              <w14:textFill>
                <w14:solidFill>
                  <w14:schemeClr w14:val="tx1"/>
                </w14:solidFill>
              </w14:textFill>
            </w:rPr>
            <w:fldChar w:fldCharType="begin"/>
          </w:r>
          <w:r>
            <w:rPr>
              <w:rFonts w:hint="default" w:ascii="Times New Roman" w:hAnsi="Times New Roman" w:eastAsia="宋体" w:cs="Times New Roman"/>
              <w:b/>
              <w:bCs w:val="0"/>
              <w:color w:val="000000" w:themeColor="text1"/>
              <w:sz w:val="24"/>
              <w:szCs w:val="24"/>
              <w:highlight w:val="none"/>
              <w14:textFill>
                <w14:solidFill>
                  <w14:schemeClr w14:val="tx1"/>
                </w14:solidFill>
              </w14:textFill>
            </w:rPr>
            <w:instrText xml:space="preserve"> PAGEREF _Toc20509 \h </w:instrText>
          </w:r>
          <w:r>
            <w:rPr>
              <w:rFonts w:hint="default" w:ascii="Times New Roman" w:hAnsi="Times New Roman" w:eastAsia="宋体" w:cs="Times New Roman"/>
              <w:b/>
              <w:bCs w:val="0"/>
              <w:color w:val="000000" w:themeColor="text1"/>
              <w:sz w:val="24"/>
              <w:szCs w:val="24"/>
              <w:highlight w:val="none"/>
              <w14:textFill>
                <w14:solidFill>
                  <w14:schemeClr w14:val="tx1"/>
                </w14:solidFill>
              </w14:textFill>
            </w:rPr>
            <w:fldChar w:fldCharType="separate"/>
          </w:r>
          <w:r>
            <w:rPr>
              <w:rFonts w:hint="default" w:ascii="Times New Roman" w:hAnsi="Times New Roman" w:eastAsia="宋体" w:cs="Times New Roman"/>
              <w:b/>
              <w:bCs w:val="0"/>
              <w:color w:val="000000" w:themeColor="text1"/>
              <w:sz w:val="24"/>
              <w:szCs w:val="24"/>
              <w:highlight w:val="none"/>
              <w14:textFill>
                <w14:solidFill>
                  <w14:schemeClr w14:val="tx1"/>
                </w14:solidFill>
              </w14:textFill>
            </w:rPr>
            <w:t>2</w:t>
          </w:r>
          <w:r>
            <w:rPr>
              <w:rFonts w:hint="default" w:ascii="Times New Roman" w:hAnsi="Times New Roman" w:eastAsia="宋体" w:cs="Times New Roman"/>
              <w:b/>
              <w:bCs w:val="0"/>
              <w:color w:val="000000" w:themeColor="text1"/>
              <w:sz w:val="24"/>
              <w:szCs w:val="24"/>
              <w:highlight w:val="none"/>
              <w14:textFill>
                <w14:solidFill>
                  <w14:schemeClr w14:val="tx1"/>
                </w14:solidFill>
              </w14:textFill>
            </w:rPr>
            <w:fldChar w:fldCharType="end"/>
          </w:r>
          <w:r>
            <w:rPr>
              <w:rFonts w:hint="default" w:ascii="Times New Roman" w:hAnsi="Times New Roman" w:eastAsia="宋体" w:cs="Times New Roman"/>
              <w:b/>
              <w:bCs w:val="0"/>
              <w:color w:val="000000" w:themeColor="text1"/>
              <w:sz w:val="24"/>
              <w:szCs w:val="24"/>
              <w:highlight w:val="none"/>
              <w14:textFill>
                <w14:solidFill>
                  <w14:schemeClr w14:val="tx1"/>
                </w14:solidFill>
              </w14:textFill>
            </w:rPr>
            <w:fldChar w:fldCharType="end"/>
          </w:r>
        </w:p>
        <w:p w14:paraId="318EADF2">
          <w:pPr>
            <w:pStyle w:val="21"/>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
              <w:bCs w:val="0"/>
              <w:color w:val="000000" w:themeColor="text1"/>
              <w:sz w:val="24"/>
              <w:szCs w:val="24"/>
              <w:highlight w:val="none"/>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14:textFill>
                <w14:solidFill>
                  <w14:schemeClr w14:val="tx1"/>
                </w14:solidFill>
              </w14:textFill>
            </w:rPr>
            <w:fldChar w:fldCharType="begin"/>
          </w:r>
          <w:r>
            <w:rPr>
              <w:rFonts w:hint="default" w:ascii="Times New Roman" w:hAnsi="Times New Roman" w:eastAsia="宋体" w:cs="Times New Roman"/>
              <w:b/>
              <w:bCs w:val="0"/>
              <w:color w:val="000000" w:themeColor="text1"/>
              <w:sz w:val="24"/>
              <w:szCs w:val="24"/>
              <w:highlight w:val="none"/>
              <w14:textFill>
                <w14:solidFill>
                  <w14:schemeClr w14:val="tx1"/>
                </w14:solidFill>
              </w14:textFill>
            </w:rPr>
            <w:instrText xml:space="preserve"> HYPERLINK \l _Toc27992 </w:instrText>
          </w:r>
          <w:r>
            <w:rPr>
              <w:rFonts w:hint="default" w:ascii="Times New Roman" w:hAnsi="Times New Roman" w:eastAsia="宋体" w:cs="Times New Roman"/>
              <w:b/>
              <w:bCs w:val="0"/>
              <w:color w:val="000000" w:themeColor="text1"/>
              <w:sz w:val="24"/>
              <w:szCs w:val="24"/>
              <w:highlight w:val="none"/>
              <w14:textFill>
                <w14:solidFill>
                  <w14:schemeClr w14:val="tx1"/>
                </w14:solidFill>
              </w14:textFill>
            </w:rPr>
            <w:fldChar w:fldCharType="separate"/>
          </w:r>
          <w:r>
            <w:rPr>
              <w:rFonts w:hint="default" w:ascii="Times New Roman" w:hAnsi="Times New Roman" w:eastAsia="宋体" w:cs="Times New Roman"/>
              <w:b/>
              <w:bCs w:val="0"/>
              <w:color w:val="000000" w:themeColor="text1"/>
              <w:sz w:val="24"/>
              <w:szCs w:val="24"/>
              <w:highlight w:val="none"/>
              <w:shd w:val="clear" w:color="auto" w:fill="FFFFFF"/>
              <w14:textFill>
                <w14:solidFill>
                  <w14:schemeClr w14:val="tx1"/>
                </w14:solidFill>
              </w14:textFill>
            </w:rPr>
            <w:t>第二章 评审办法</w:t>
          </w:r>
          <w:r>
            <w:rPr>
              <w:rFonts w:hint="default" w:ascii="Times New Roman" w:hAnsi="Times New Roman" w:eastAsia="宋体" w:cs="Times New Roman"/>
              <w:b/>
              <w:bCs w:val="0"/>
              <w:color w:val="000000" w:themeColor="text1"/>
              <w:sz w:val="24"/>
              <w:szCs w:val="24"/>
              <w:highlight w:val="none"/>
              <w14:textFill>
                <w14:solidFill>
                  <w14:schemeClr w14:val="tx1"/>
                </w14:solidFill>
              </w14:textFill>
            </w:rPr>
            <w:tab/>
          </w:r>
          <w:r>
            <w:rPr>
              <w:rFonts w:hint="default" w:ascii="Times New Roman" w:hAnsi="Times New Roman" w:eastAsia="宋体" w:cs="Times New Roman"/>
              <w:b/>
              <w:bCs w:val="0"/>
              <w:color w:val="000000" w:themeColor="text1"/>
              <w:sz w:val="24"/>
              <w:szCs w:val="24"/>
              <w:highlight w:val="none"/>
              <w14:textFill>
                <w14:solidFill>
                  <w14:schemeClr w14:val="tx1"/>
                </w14:solidFill>
              </w14:textFill>
            </w:rPr>
            <w:fldChar w:fldCharType="begin"/>
          </w:r>
          <w:r>
            <w:rPr>
              <w:rFonts w:hint="default" w:ascii="Times New Roman" w:hAnsi="Times New Roman" w:eastAsia="宋体" w:cs="Times New Roman"/>
              <w:b/>
              <w:bCs w:val="0"/>
              <w:color w:val="000000" w:themeColor="text1"/>
              <w:sz w:val="24"/>
              <w:szCs w:val="24"/>
              <w:highlight w:val="none"/>
              <w14:textFill>
                <w14:solidFill>
                  <w14:schemeClr w14:val="tx1"/>
                </w14:solidFill>
              </w14:textFill>
            </w:rPr>
            <w:instrText xml:space="preserve"> PAGEREF _Toc27992 \h </w:instrText>
          </w:r>
          <w:r>
            <w:rPr>
              <w:rFonts w:hint="default" w:ascii="Times New Roman" w:hAnsi="Times New Roman" w:eastAsia="宋体" w:cs="Times New Roman"/>
              <w:b/>
              <w:bCs w:val="0"/>
              <w:color w:val="000000" w:themeColor="text1"/>
              <w:sz w:val="24"/>
              <w:szCs w:val="24"/>
              <w:highlight w:val="none"/>
              <w14:textFill>
                <w14:solidFill>
                  <w14:schemeClr w14:val="tx1"/>
                </w14:solidFill>
              </w14:textFill>
            </w:rPr>
            <w:fldChar w:fldCharType="separate"/>
          </w:r>
          <w:r>
            <w:rPr>
              <w:rFonts w:hint="default" w:ascii="Times New Roman" w:hAnsi="Times New Roman" w:eastAsia="宋体" w:cs="Times New Roman"/>
              <w:b/>
              <w:bCs w:val="0"/>
              <w:color w:val="000000" w:themeColor="text1"/>
              <w:sz w:val="24"/>
              <w:szCs w:val="24"/>
              <w:highlight w:val="none"/>
              <w14:textFill>
                <w14:solidFill>
                  <w14:schemeClr w14:val="tx1"/>
                </w14:solidFill>
              </w14:textFill>
            </w:rPr>
            <w:t>6</w:t>
          </w:r>
          <w:r>
            <w:rPr>
              <w:rFonts w:hint="default" w:ascii="Times New Roman" w:hAnsi="Times New Roman" w:eastAsia="宋体" w:cs="Times New Roman"/>
              <w:b/>
              <w:bCs w:val="0"/>
              <w:color w:val="000000" w:themeColor="text1"/>
              <w:sz w:val="24"/>
              <w:szCs w:val="24"/>
              <w:highlight w:val="none"/>
              <w14:textFill>
                <w14:solidFill>
                  <w14:schemeClr w14:val="tx1"/>
                </w14:solidFill>
              </w14:textFill>
            </w:rPr>
            <w:fldChar w:fldCharType="end"/>
          </w:r>
          <w:r>
            <w:rPr>
              <w:rFonts w:hint="default" w:ascii="Times New Roman" w:hAnsi="Times New Roman" w:eastAsia="宋体" w:cs="Times New Roman"/>
              <w:b/>
              <w:bCs w:val="0"/>
              <w:color w:val="000000" w:themeColor="text1"/>
              <w:sz w:val="24"/>
              <w:szCs w:val="24"/>
              <w:highlight w:val="none"/>
              <w14:textFill>
                <w14:solidFill>
                  <w14:schemeClr w14:val="tx1"/>
                </w14:solidFill>
              </w14:textFill>
            </w:rPr>
            <w:fldChar w:fldCharType="end"/>
          </w:r>
        </w:p>
        <w:p w14:paraId="6744EEB4">
          <w:pPr>
            <w:pStyle w:val="21"/>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
              <w:bCs w:val="0"/>
              <w:color w:val="000000" w:themeColor="text1"/>
              <w:sz w:val="24"/>
              <w:szCs w:val="24"/>
              <w:highlight w:val="none"/>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14:textFill>
                <w14:solidFill>
                  <w14:schemeClr w14:val="tx1"/>
                </w14:solidFill>
              </w14:textFill>
            </w:rPr>
            <w:fldChar w:fldCharType="begin"/>
          </w:r>
          <w:r>
            <w:rPr>
              <w:rFonts w:hint="default" w:ascii="Times New Roman" w:hAnsi="Times New Roman" w:eastAsia="宋体" w:cs="Times New Roman"/>
              <w:b/>
              <w:bCs w:val="0"/>
              <w:color w:val="000000" w:themeColor="text1"/>
              <w:sz w:val="24"/>
              <w:szCs w:val="24"/>
              <w:highlight w:val="none"/>
              <w14:textFill>
                <w14:solidFill>
                  <w14:schemeClr w14:val="tx1"/>
                </w14:solidFill>
              </w14:textFill>
            </w:rPr>
            <w:instrText xml:space="preserve"> HYPERLINK \l _Toc20781 </w:instrText>
          </w:r>
          <w:r>
            <w:rPr>
              <w:rFonts w:hint="default" w:ascii="Times New Roman" w:hAnsi="Times New Roman" w:eastAsia="宋体" w:cs="Times New Roman"/>
              <w:b/>
              <w:bCs w:val="0"/>
              <w:color w:val="000000" w:themeColor="text1"/>
              <w:sz w:val="24"/>
              <w:szCs w:val="24"/>
              <w:highlight w:val="none"/>
              <w14:textFill>
                <w14:solidFill>
                  <w14:schemeClr w14:val="tx1"/>
                </w14:solidFill>
              </w14:textFill>
            </w:rPr>
            <w:fldChar w:fldCharType="separate"/>
          </w:r>
          <w:r>
            <w:rPr>
              <w:rFonts w:hint="default" w:ascii="Times New Roman" w:hAnsi="Times New Roman" w:eastAsia="宋体" w:cs="Times New Roman"/>
              <w:b/>
              <w:bCs w:val="0"/>
              <w:color w:val="000000" w:themeColor="text1"/>
              <w:sz w:val="24"/>
              <w:szCs w:val="24"/>
              <w:highlight w:val="none"/>
              <w:shd w:val="clear" w:color="auto" w:fill="FFFFFF"/>
              <w14:textFill>
                <w14:solidFill>
                  <w14:schemeClr w14:val="tx1"/>
                </w14:solidFill>
              </w14:textFill>
            </w:rPr>
            <w:t>第三章 报价文件</w:t>
          </w:r>
          <w:r>
            <w:rPr>
              <w:rFonts w:hint="default" w:ascii="Times New Roman" w:hAnsi="Times New Roman" w:eastAsia="宋体" w:cs="Times New Roman"/>
              <w:b/>
              <w:bCs w:val="0"/>
              <w:color w:val="000000" w:themeColor="text1"/>
              <w:sz w:val="24"/>
              <w:szCs w:val="24"/>
              <w:highlight w:val="none"/>
              <w14:textFill>
                <w14:solidFill>
                  <w14:schemeClr w14:val="tx1"/>
                </w14:solidFill>
              </w14:textFill>
            </w:rPr>
            <w:tab/>
          </w:r>
          <w:r>
            <w:rPr>
              <w:rFonts w:hint="default" w:ascii="Times New Roman" w:hAnsi="Times New Roman" w:eastAsia="宋体" w:cs="Times New Roman"/>
              <w:b/>
              <w:bCs w:val="0"/>
              <w:color w:val="000000" w:themeColor="text1"/>
              <w:sz w:val="24"/>
              <w:szCs w:val="24"/>
              <w:highlight w:val="none"/>
              <w14:textFill>
                <w14:solidFill>
                  <w14:schemeClr w14:val="tx1"/>
                </w14:solidFill>
              </w14:textFill>
            </w:rPr>
            <w:fldChar w:fldCharType="begin"/>
          </w:r>
          <w:r>
            <w:rPr>
              <w:rFonts w:hint="default" w:ascii="Times New Roman" w:hAnsi="Times New Roman" w:eastAsia="宋体" w:cs="Times New Roman"/>
              <w:b/>
              <w:bCs w:val="0"/>
              <w:color w:val="000000" w:themeColor="text1"/>
              <w:sz w:val="24"/>
              <w:szCs w:val="24"/>
              <w:highlight w:val="none"/>
              <w14:textFill>
                <w14:solidFill>
                  <w14:schemeClr w14:val="tx1"/>
                </w14:solidFill>
              </w14:textFill>
            </w:rPr>
            <w:instrText xml:space="preserve"> PAGEREF _Toc20781 \h </w:instrText>
          </w:r>
          <w:r>
            <w:rPr>
              <w:rFonts w:hint="default" w:ascii="Times New Roman" w:hAnsi="Times New Roman" w:eastAsia="宋体" w:cs="Times New Roman"/>
              <w:b/>
              <w:bCs w:val="0"/>
              <w:color w:val="000000" w:themeColor="text1"/>
              <w:sz w:val="24"/>
              <w:szCs w:val="24"/>
              <w:highlight w:val="none"/>
              <w14:textFill>
                <w14:solidFill>
                  <w14:schemeClr w14:val="tx1"/>
                </w14:solidFill>
              </w14:textFill>
            </w:rPr>
            <w:fldChar w:fldCharType="separate"/>
          </w:r>
          <w:r>
            <w:rPr>
              <w:rFonts w:hint="default" w:ascii="Times New Roman" w:hAnsi="Times New Roman" w:eastAsia="宋体" w:cs="Times New Roman"/>
              <w:b/>
              <w:bCs w:val="0"/>
              <w:color w:val="000000" w:themeColor="text1"/>
              <w:sz w:val="24"/>
              <w:szCs w:val="24"/>
              <w:highlight w:val="none"/>
              <w14:textFill>
                <w14:solidFill>
                  <w14:schemeClr w14:val="tx1"/>
                </w14:solidFill>
              </w14:textFill>
            </w:rPr>
            <w:t>7</w:t>
          </w:r>
          <w:r>
            <w:rPr>
              <w:rFonts w:hint="default" w:ascii="Times New Roman" w:hAnsi="Times New Roman" w:eastAsia="宋体" w:cs="Times New Roman"/>
              <w:b/>
              <w:bCs w:val="0"/>
              <w:color w:val="000000" w:themeColor="text1"/>
              <w:sz w:val="24"/>
              <w:szCs w:val="24"/>
              <w:highlight w:val="none"/>
              <w14:textFill>
                <w14:solidFill>
                  <w14:schemeClr w14:val="tx1"/>
                </w14:solidFill>
              </w14:textFill>
            </w:rPr>
            <w:fldChar w:fldCharType="end"/>
          </w:r>
          <w:r>
            <w:rPr>
              <w:rFonts w:hint="default" w:ascii="Times New Roman" w:hAnsi="Times New Roman" w:eastAsia="宋体" w:cs="Times New Roman"/>
              <w:b/>
              <w:bCs w:val="0"/>
              <w:color w:val="000000" w:themeColor="text1"/>
              <w:sz w:val="24"/>
              <w:szCs w:val="24"/>
              <w:highlight w:val="none"/>
              <w14:textFill>
                <w14:solidFill>
                  <w14:schemeClr w14:val="tx1"/>
                </w14:solidFill>
              </w14:textFill>
            </w:rPr>
            <w:fldChar w:fldCharType="end"/>
          </w:r>
        </w:p>
        <w:p w14:paraId="47776E4B">
          <w:pPr>
            <w:pStyle w:val="21"/>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
              <w:bCs w:val="0"/>
              <w:color w:val="000000" w:themeColor="text1"/>
              <w:sz w:val="24"/>
              <w:szCs w:val="24"/>
              <w:highlight w:val="none"/>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14:textFill>
                <w14:solidFill>
                  <w14:schemeClr w14:val="tx1"/>
                </w14:solidFill>
              </w14:textFill>
            </w:rPr>
            <w:fldChar w:fldCharType="begin"/>
          </w:r>
          <w:r>
            <w:rPr>
              <w:rFonts w:hint="default" w:ascii="Times New Roman" w:hAnsi="Times New Roman" w:eastAsia="宋体" w:cs="Times New Roman"/>
              <w:b/>
              <w:bCs w:val="0"/>
              <w:color w:val="000000" w:themeColor="text1"/>
              <w:sz w:val="24"/>
              <w:szCs w:val="24"/>
              <w:highlight w:val="none"/>
              <w14:textFill>
                <w14:solidFill>
                  <w14:schemeClr w14:val="tx1"/>
                </w14:solidFill>
              </w14:textFill>
            </w:rPr>
            <w:instrText xml:space="preserve"> HYPERLINK \l _Toc31608 </w:instrText>
          </w:r>
          <w:r>
            <w:rPr>
              <w:rFonts w:hint="default" w:ascii="Times New Roman" w:hAnsi="Times New Roman" w:eastAsia="宋体" w:cs="Times New Roman"/>
              <w:b/>
              <w:bCs w:val="0"/>
              <w:color w:val="000000" w:themeColor="text1"/>
              <w:sz w:val="24"/>
              <w:szCs w:val="24"/>
              <w:highlight w:val="none"/>
              <w14:textFill>
                <w14:solidFill>
                  <w14:schemeClr w14:val="tx1"/>
                </w14:solidFill>
              </w14:textFill>
            </w:rPr>
            <w:fldChar w:fldCharType="separate"/>
          </w:r>
          <w:r>
            <w:rPr>
              <w:rFonts w:hint="default" w:ascii="Times New Roman" w:hAnsi="Times New Roman" w:eastAsia="宋体" w:cs="Times New Roman"/>
              <w:b/>
              <w:bCs w:val="0"/>
              <w:caps w:val="0"/>
              <w:color w:val="000000" w:themeColor="text1"/>
              <w:sz w:val="24"/>
              <w:szCs w:val="24"/>
              <w:highlight w:val="none"/>
              <w:lang w:val="en-US" w:eastAsia="zh-CN"/>
              <w14:textFill>
                <w14:solidFill>
                  <w14:schemeClr w14:val="tx1"/>
                </w14:solidFill>
              </w14:textFill>
            </w:rPr>
            <w:t>第四章 合同</w:t>
          </w:r>
          <w:r>
            <w:rPr>
              <w:rFonts w:hint="default" w:ascii="Times New Roman" w:hAnsi="Times New Roman" w:eastAsia="宋体" w:cs="Times New Roman"/>
              <w:b/>
              <w:bCs w:val="0"/>
              <w:color w:val="000000" w:themeColor="text1"/>
              <w:sz w:val="24"/>
              <w:szCs w:val="24"/>
              <w:highlight w:val="none"/>
              <w14:textFill>
                <w14:solidFill>
                  <w14:schemeClr w14:val="tx1"/>
                </w14:solidFill>
              </w14:textFill>
            </w:rPr>
            <w:tab/>
          </w:r>
          <w:r>
            <w:rPr>
              <w:rFonts w:hint="default" w:ascii="Times New Roman" w:hAnsi="Times New Roman" w:eastAsia="宋体" w:cs="Times New Roman"/>
              <w:b/>
              <w:bCs w:val="0"/>
              <w:color w:val="000000" w:themeColor="text1"/>
              <w:sz w:val="24"/>
              <w:szCs w:val="24"/>
              <w:highlight w:val="none"/>
              <w14:textFill>
                <w14:solidFill>
                  <w14:schemeClr w14:val="tx1"/>
                </w14:solidFill>
              </w14:textFill>
            </w:rPr>
            <w:fldChar w:fldCharType="begin"/>
          </w:r>
          <w:r>
            <w:rPr>
              <w:rFonts w:hint="default" w:ascii="Times New Roman" w:hAnsi="Times New Roman" w:eastAsia="宋体" w:cs="Times New Roman"/>
              <w:b/>
              <w:bCs w:val="0"/>
              <w:color w:val="000000" w:themeColor="text1"/>
              <w:sz w:val="24"/>
              <w:szCs w:val="24"/>
              <w:highlight w:val="none"/>
              <w14:textFill>
                <w14:solidFill>
                  <w14:schemeClr w14:val="tx1"/>
                </w14:solidFill>
              </w14:textFill>
            </w:rPr>
            <w:instrText xml:space="preserve"> PAGEREF _Toc31608 \h </w:instrText>
          </w:r>
          <w:r>
            <w:rPr>
              <w:rFonts w:hint="default" w:ascii="Times New Roman" w:hAnsi="Times New Roman" w:eastAsia="宋体" w:cs="Times New Roman"/>
              <w:b/>
              <w:bCs w:val="0"/>
              <w:color w:val="000000" w:themeColor="text1"/>
              <w:sz w:val="24"/>
              <w:szCs w:val="24"/>
              <w:highlight w:val="none"/>
              <w14:textFill>
                <w14:solidFill>
                  <w14:schemeClr w14:val="tx1"/>
                </w14:solidFill>
              </w14:textFill>
            </w:rPr>
            <w:fldChar w:fldCharType="separate"/>
          </w:r>
          <w:r>
            <w:rPr>
              <w:rFonts w:hint="default" w:ascii="Times New Roman" w:hAnsi="Times New Roman" w:eastAsia="宋体" w:cs="Times New Roman"/>
              <w:b/>
              <w:bCs w:val="0"/>
              <w:color w:val="000000" w:themeColor="text1"/>
              <w:sz w:val="24"/>
              <w:szCs w:val="24"/>
              <w:highlight w:val="none"/>
              <w14:textFill>
                <w14:solidFill>
                  <w14:schemeClr w14:val="tx1"/>
                </w14:solidFill>
              </w14:textFill>
            </w:rPr>
            <w:t>22</w:t>
          </w:r>
          <w:r>
            <w:rPr>
              <w:rFonts w:hint="default" w:ascii="Times New Roman" w:hAnsi="Times New Roman" w:eastAsia="宋体" w:cs="Times New Roman"/>
              <w:b/>
              <w:bCs w:val="0"/>
              <w:color w:val="000000" w:themeColor="text1"/>
              <w:sz w:val="24"/>
              <w:szCs w:val="24"/>
              <w:highlight w:val="none"/>
              <w14:textFill>
                <w14:solidFill>
                  <w14:schemeClr w14:val="tx1"/>
                </w14:solidFill>
              </w14:textFill>
            </w:rPr>
            <w:fldChar w:fldCharType="end"/>
          </w:r>
          <w:r>
            <w:rPr>
              <w:rFonts w:hint="default" w:ascii="Times New Roman" w:hAnsi="Times New Roman" w:eastAsia="宋体" w:cs="Times New Roman"/>
              <w:b/>
              <w:bCs w:val="0"/>
              <w:color w:val="000000" w:themeColor="text1"/>
              <w:sz w:val="24"/>
              <w:szCs w:val="24"/>
              <w:highlight w:val="none"/>
              <w14:textFill>
                <w14:solidFill>
                  <w14:schemeClr w14:val="tx1"/>
                </w14:solidFill>
              </w14:textFill>
            </w:rPr>
            <w:fldChar w:fldCharType="end"/>
          </w:r>
        </w:p>
        <w:p w14:paraId="5415459C">
          <w:pPr>
            <w:rPr>
              <w:rFonts w:hint="default" w:ascii="Times New Roman" w:hAnsi="Times New Roman" w:eastAsia="宋体" w:cs="Times New Roman"/>
              <w:bCs/>
              <w:color w:val="000000" w:themeColor="text1"/>
              <w:kern w:val="2"/>
              <w:sz w:val="21"/>
              <w:szCs w:val="32"/>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szCs w:val="32"/>
              <w:highlight w:val="none"/>
              <w14:textFill>
                <w14:solidFill>
                  <w14:schemeClr w14:val="tx1"/>
                </w14:solidFill>
              </w14:textFill>
            </w:rPr>
            <w:fldChar w:fldCharType="end"/>
          </w:r>
        </w:p>
      </w:sdtContent>
    </w:sdt>
    <w:p w14:paraId="163DFFD5">
      <w:pPr>
        <w:rPr>
          <w:rFonts w:hint="default" w:ascii="Times New Roman" w:hAnsi="Times New Roman" w:eastAsia="宋体" w:cs="Times New Roman"/>
          <w:bCs/>
          <w:color w:val="000000" w:themeColor="text1"/>
          <w:kern w:val="2"/>
          <w:sz w:val="21"/>
          <w:szCs w:val="32"/>
          <w:highlight w:val="none"/>
          <w:lang w:val="en-US" w:eastAsia="zh-CN" w:bidi="ar-SA"/>
          <w14:textFill>
            <w14:solidFill>
              <w14:schemeClr w14:val="tx1"/>
            </w14:solidFill>
          </w14:textFill>
        </w:rPr>
      </w:pPr>
    </w:p>
    <w:p w14:paraId="193F19C7">
      <w:pPr>
        <w:keepNext w:val="0"/>
        <w:keepLines w:val="0"/>
        <w:pageBreakBefore w:val="0"/>
        <w:widowControl w:val="0"/>
        <w:kinsoku/>
        <w:bidi w:val="0"/>
        <w:spacing w:line="360" w:lineRule="auto"/>
        <w:jc w:val="center"/>
        <w:rPr>
          <w:rFonts w:hint="default" w:ascii="Times New Roman" w:hAnsi="Times New Roman" w:eastAsia="宋体" w:cs="Times New Roman"/>
          <w:b/>
          <w:bCs/>
          <w:color w:val="000000" w:themeColor="text1"/>
          <w:sz w:val="32"/>
          <w:szCs w:val="32"/>
          <w:highlight w:val="none"/>
          <w14:textFill>
            <w14:solidFill>
              <w14:schemeClr w14:val="tx1"/>
            </w14:solidFill>
          </w14:textFill>
        </w:rPr>
      </w:pPr>
    </w:p>
    <w:p w14:paraId="7597541C">
      <w:pPr>
        <w:tabs>
          <w:tab w:val="left" w:pos="6351"/>
        </w:tabs>
        <w:bidi w:val="0"/>
        <w:jc w:val="left"/>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sectPr>
          <w:footerReference r:id="rId6" w:type="default"/>
          <w:pgSz w:w="11906" w:h="16838"/>
          <w:pgMar w:top="1440" w:right="1800" w:bottom="1440" w:left="1800" w:header="851" w:footer="992" w:gutter="0"/>
          <w:pgNumType w:fmt="decimal" w:start="1"/>
          <w:cols w:space="425" w:num="1"/>
          <w:docGrid w:type="lines" w:linePitch="312" w:charSpace="0"/>
        </w:sectPr>
      </w:pPr>
      <w: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tab/>
      </w:r>
    </w:p>
    <w:p w14:paraId="4934F5CC">
      <w:pPr>
        <w:keepNext w:val="0"/>
        <w:keepLines w:val="0"/>
        <w:pageBreakBefore w:val="0"/>
        <w:widowControl w:val="0"/>
        <w:kinsoku/>
        <w:wordWrap/>
        <w:overflowPunct/>
        <w:topLinePunct w:val="0"/>
        <w:autoSpaceDE/>
        <w:autoSpaceDN/>
        <w:bidi w:val="0"/>
        <w:adjustRightInd/>
        <w:snapToGrid/>
        <w:spacing w:before="313" w:beforeLines="100" w:after="313" w:afterLines="100" w:line="360" w:lineRule="auto"/>
        <w:ind w:firstLine="562" w:firstLineChars="200"/>
        <w:jc w:val="center"/>
        <w:textAlignment w:val="top"/>
        <w:outlineLvl w:val="0"/>
        <w:rPr>
          <w:rFonts w:hint="default" w:ascii="Times New Roman" w:hAnsi="Times New Roman" w:eastAsia="宋体" w:cs="Times New Roman"/>
          <w:b/>
          <w:bCs/>
          <w:caps w:val="0"/>
          <w:color w:val="000000" w:themeColor="text1"/>
          <w:sz w:val="28"/>
          <w:szCs w:val="28"/>
          <w:highlight w:val="none"/>
          <w:shd w:val="clear" w:color="auto" w:fill="FFFFFF"/>
          <w14:textFill>
            <w14:solidFill>
              <w14:schemeClr w14:val="tx1"/>
            </w14:solidFill>
          </w14:textFill>
        </w:rPr>
      </w:pPr>
      <w:bookmarkStart w:id="10" w:name="_Toc6105"/>
      <w:bookmarkStart w:id="11" w:name="_Toc20509"/>
      <w:r>
        <w:rPr>
          <w:rFonts w:hint="default" w:ascii="Times New Roman" w:hAnsi="Times New Roman" w:eastAsia="宋体" w:cs="Times New Roman"/>
          <w:b/>
          <w:bCs/>
          <w:caps w:val="0"/>
          <w:color w:val="000000" w:themeColor="text1"/>
          <w:sz w:val="28"/>
          <w:szCs w:val="28"/>
          <w:highlight w:val="none"/>
          <w:shd w:val="clear" w:color="auto" w:fill="FFFFFF"/>
          <w14:textFill>
            <w14:solidFill>
              <w14:schemeClr w14:val="tx1"/>
            </w14:solidFill>
          </w14:textFill>
        </w:rPr>
        <w:t>第一章 询比公告</w:t>
      </w:r>
      <w:bookmarkEnd w:id="10"/>
      <w:bookmarkEnd w:id="11"/>
    </w:p>
    <w:p w14:paraId="5124DA6D">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top"/>
        <w:rPr>
          <w:rFonts w:hint="default" w:ascii="Times New Roman" w:hAnsi="Times New Roman" w:eastAsia="宋体" w:cs="Times New Roman"/>
          <w:caps w:val="0"/>
          <w:color w:val="000000" w:themeColor="text1"/>
          <w:sz w:val="24"/>
          <w:highlight w:val="none"/>
          <w14:textFill>
            <w14:solidFill>
              <w14:schemeClr w14:val="tx1"/>
            </w14:solidFill>
          </w14:textFill>
        </w:rPr>
      </w:pPr>
      <w:bookmarkStart w:id="12" w:name="EB4031cd9436d540afae2ad391deff5c0e"/>
      <w:r>
        <w:rPr>
          <w:rFonts w:hint="default" w:ascii="Times New Roman" w:hAnsi="Times New Roman" w:eastAsia="宋体" w:cs="Times New Roman"/>
          <w:caps w:val="0"/>
          <w:color w:val="000000" w:themeColor="text1"/>
          <w:sz w:val="24"/>
          <w:highlight w:val="none"/>
          <w:shd w:val="clear" w:color="auto" w:fill="FFFFFF"/>
          <w14:textFill>
            <w14:solidFill>
              <w14:schemeClr w14:val="tx1"/>
            </w14:solidFill>
          </w14:textFill>
        </w:rPr>
        <w:t>为更好地择优选取</w:t>
      </w:r>
      <w:bookmarkEnd w:id="12"/>
      <w:r>
        <w:rPr>
          <w:rFonts w:hint="default" w:ascii="Times New Roman" w:hAnsi="Times New Roman" w:eastAsia="宋体" w:cs="Times New Roman"/>
          <w:caps w:val="0"/>
          <w:color w:val="000000" w:themeColor="text1"/>
          <w:sz w:val="24"/>
          <w:highlight w:val="none"/>
          <w:u w:val="single"/>
          <w:shd w:val="clear" w:color="auto" w:fill="FFFFFF"/>
          <w:lang w:val="en-US" w:eastAsia="zh-CN"/>
          <w14:textFill>
            <w14:solidFill>
              <w14:schemeClr w14:val="tx1"/>
            </w14:solidFill>
          </w14:textFill>
        </w:rPr>
        <w:t xml:space="preserve">西湾和苑人行天桥管线迁改设计施工总承包 </w:t>
      </w:r>
      <w:r>
        <w:rPr>
          <w:rFonts w:hint="default" w:ascii="Times New Roman" w:hAnsi="Times New Roman" w:eastAsia="宋体" w:cs="Times New Roman"/>
          <w:caps w:val="0"/>
          <w:color w:val="000000" w:themeColor="text1"/>
          <w:sz w:val="24"/>
          <w:highlight w:val="none"/>
          <w:u w:val="none"/>
          <w:shd w:val="clear" w:color="auto" w:fill="FFFFFF"/>
          <w:lang w:val="en-US" w:eastAsia="zh-CN"/>
          <w14:textFill>
            <w14:solidFill>
              <w14:schemeClr w14:val="tx1"/>
            </w14:solidFill>
          </w14:textFill>
        </w:rPr>
        <w:t>服务单位</w:t>
      </w:r>
      <w:r>
        <w:rPr>
          <w:rFonts w:hint="default" w:ascii="Times New Roman" w:hAnsi="Times New Roman" w:eastAsia="宋体" w:cs="Times New Roman"/>
          <w:caps w:val="0"/>
          <w:color w:val="000000" w:themeColor="text1"/>
          <w:sz w:val="24"/>
          <w:highlight w:val="none"/>
          <w:shd w:val="clear" w:color="auto" w:fill="FFFFFF"/>
          <w14:textFill>
            <w14:solidFill>
              <w14:schemeClr w14:val="tx1"/>
            </w14:solidFill>
          </w14:textFill>
        </w:rPr>
        <w:t>，现</w:t>
      </w:r>
      <w:r>
        <w:rPr>
          <w:rFonts w:hint="default" w:ascii="Times New Roman" w:hAnsi="Times New Roman" w:eastAsia="宋体" w:cs="Times New Roman"/>
          <w:caps w:val="0"/>
          <w:color w:val="000000" w:themeColor="text1"/>
          <w:sz w:val="24"/>
          <w:highlight w:val="none"/>
          <w:shd w:val="clear" w:color="auto" w:fill="FFFFFF"/>
          <w:lang w:eastAsia="zh-CN"/>
          <w14:textFill>
            <w14:solidFill>
              <w14:schemeClr w14:val="tx1"/>
            </w14:solidFill>
          </w14:textFill>
        </w:rPr>
        <w:t>广州市荔湾区建设工程项目代建中心</w:t>
      </w:r>
      <w:r>
        <w:rPr>
          <w:rFonts w:hint="default" w:ascii="Times New Roman" w:hAnsi="Times New Roman" w:eastAsia="宋体" w:cs="Times New Roman"/>
          <w:caps w:val="0"/>
          <w:color w:val="000000" w:themeColor="text1"/>
          <w:sz w:val="24"/>
          <w:highlight w:val="none"/>
          <w:shd w:val="clear" w:color="auto" w:fill="FFFFFF"/>
          <w14:textFill>
            <w14:solidFill>
              <w14:schemeClr w14:val="tx1"/>
            </w14:solidFill>
          </w14:textFill>
        </w:rPr>
        <w:t>进行公开询比</w:t>
      </w:r>
      <w:r>
        <w:rPr>
          <w:rFonts w:hint="default" w:ascii="Times New Roman" w:hAnsi="Times New Roman" w:eastAsia="宋体" w:cs="Times New Roman"/>
          <w:caps w:val="0"/>
          <w:color w:val="000000" w:themeColor="text1"/>
          <w:sz w:val="24"/>
          <w:highlight w:val="none"/>
          <w:shd w:val="clear" w:color="auto" w:fill="FFFFFF"/>
          <w:lang w:eastAsia="zh-CN"/>
          <w14:textFill>
            <w14:solidFill>
              <w14:schemeClr w14:val="tx1"/>
            </w14:solidFill>
          </w14:textFill>
        </w:rPr>
        <w:t>，在</w:t>
      </w:r>
      <w:bookmarkStart w:id="13" w:name="EBf5670e6d291445918fbaeeb8f3e1df8e"/>
      <w:r>
        <w:rPr>
          <w:rFonts w:hint="default" w:ascii="Times New Roman" w:hAnsi="Times New Roman" w:eastAsia="宋体" w:cs="Times New Roman"/>
          <w:caps w:val="0"/>
          <w:color w:val="000000" w:themeColor="text1"/>
          <w:sz w:val="24"/>
          <w:highlight w:val="none"/>
          <w:shd w:val="clear" w:color="auto" w:fill="FFFFFF"/>
          <w14:textFill>
            <w14:solidFill>
              <w14:schemeClr w14:val="tx1"/>
            </w14:solidFill>
          </w14:textFill>
        </w:rPr>
        <w:t>参与报价并符合要求的企业内选取一家承办单位，欢迎符合资格条件的意向人报名参加。</w:t>
      </w:r>
      <w:bookmarkEnd w:id="13"/>
    </w:p>
    <w:p w14:paraId="2E7E76D6">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
          <w:bCs/>
          <w:caps w:val="0"/>
          <w:color w:val="000000" w:themeColor="text1"/>
          <w:sz w:val="24"/>
          <w:highlight w:val="none"/>
          <w14:textFill>
            <w14:solidFill>
              <w14:schemeClr w14:val="tx1"/>
            </w14:solidFill>
          </w14:textFill>
        </w:rPr>
      </w:pPr>
      <w:r>
        <w:rPr>
          <w:rFonts w:hint="default" w:ascii="Times New Roman" w:hAnsi="Times New Roman" w:eastAsia="宋体" w:cs="Times New Roman"/>
          <w:b/>
          <w:bCs/>
          <w:caps w:val="0"/>
          <w:color w:val="000000" w:themeColor="text1"/>
          <w:sz w:val="24"/>
          <w:highlight w:val="none"/>
          <w14:textFill>
            <w14:solidFill>
              <w14:schemeClr w14:val="tx1"/>
            </w14:solidFill>
          </w14:textFill>
        </w:rPr>
        <w:t>一</w:t>
      </w:r>
      <w:r>
        <w:rPr>
          <w:rFonts w:hint="default" w:ascii="Times New Roman" w:hAnsi="Times New Roman" w:eastAsia="宋体" w:cs="Times New Roman"/>
          <w:b/>
          <w:bCs/>
          <w:caps w:val="0"/>
          <w:color w:val="000000" w:themeColor="text1"/>
          <w:sz w:val="24"/>
          <w:highlight w:val="none"/>
          <w:lang w:eastAsia="zh-CN"/>
          <w14:textFill>
            <w14:solidFill>
              <w14:schemeClr w14:val="tx1"/>
            </w14:solidFill>
          </w14:textFill>
        </w:rPr>
        <w:t>、</w:t>
      </w:r>
      <w:r>
        <w:rPr>
          <w:rFonts w:hint="default" w:ascii="Times New Roman" w:hAnsi="Times New Roman" w:eastAsia="宋体" w:cs="Times New Roman"/>
          <w:b/>
          <w:bCs/>
          <w:caps w:val="0"/>
          <w:color w:val="000000" w:themeColor="text1"/>
          <w:sz w:val="24"/>
          <w:highlight w:val="none"/>
          <w14:textFill>
            <w14:solidFill>
              <w14:schemeClr w14:val="tx1"/>
            </w14:solidFill>
          </w14:textFill>
        </w:rPr>
        <w:t>项目概况</w:t>
      </w:r>
    </w:p>
    <w:p w14:paraId="3703B03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top"/>
        <w:rPr>
          <w:rFonts w:hint="default" w:ascii="Times New Roman" w:hAnsi="Times New Roman" w:eastAsia="宋体" w:cs="Times New Roman"/>
          <w:color w:val="000000" w:themeColor="text1"/>
          <w:sz w:val="24"/>
          <w:szCs w:val="24"/>
          <w:highlight w:val="none"/>
          <w:shd w:val="clear" w:color="auto" w:fill="FFFFFF"/>
          <w14:textFill>
            <w14:solidFill>
              <w14:schemeClr w14:val="tx1"/>
            </w14:solidFill>
          </w14:textFill>
        </w:rPr>
      </w:pPr>
      <w:r>
        <w:rPr>
          <w:rFonts w:hint="default" w:ascii="Times New Roman" w:hAnsi="Times New Roman" w:eastAsia="宋体" w:cs="Times New Roman"/>
          <w:color w:val="000000" w:themeColor="text1"/>
          <w:sz w:val="24"/>
          <w:szCs w:val="24"/>
          <w:highlight w:val="none"/>
          <w:shd w:val="clear" w:color="auto" w:fill="FFFFFF"/>
          <w14:textFill>
            <w14:solidFill>
              <w14:schemeClr w14:val="tx1"/>
            </w14:solidFill>
          </w14:textFill>
        </w:rPr>
        <w:t>1.询比单位：</w:t>
      </w:r>
      <w:r>
        <w:rPr>
          <w:rFonts w:hint="default" w:ascii="Times New Roman" w:hAnsi="Times New Roman" w:eastAsia="宋体" w:cs="Times New Roman"/>
          <w:color w:val="000000" w:themeColor="text1"/>
          <w:sz w:val="24"/>
          <w:szCs w:val="24"/>
          <w:highlight w:val="none"/>
          <w:shd w:val="clear" w:color="auto" w:fill="FFFFFF"/>
          <w:lang w:eastAsia="zh-CN"/>
          <w14:textFill>
            <w14:solidFill>
              <w14:schemeClr w14:val="tx1"/>
            </w14:solidFill>
          </w14:textFill>
        </w:rPr>
        <w:t>广州市荔湾区建设工程项目代建中心</w:t>
      </w:r>
      <w:r>
        <w:rPr>
          <w:rFonts w:hint="default" w:ascii="Times New Roman" w:hAnsi="Times New Roman" w:eastAsia="宋体" w:cs="Times New Roman"/>
          <w:color w:val="000000" w:themeColor="text1"/>
          <w:sz w:val="24"/>
          <w:szCs w:val="24"/>
          <w:highlight w:val="none"/>
          <w:shd w:val="clear" w:color="auto" w:fill="FFFFFF"/>
          <w14:textFill>
            <w14:solidFill>
              <w14:schemeClr w14:val="tx1"/>
            </w14:solidFill>
          </w14:textFill>
        </w:rPr>
        <w:t>。</w:t>
      </w:r>
    </w:p>
    <w:p w14:paraId="4001383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top"/>
        <w:rPr>
          <w:rFonts w:hint="default" w:ascii="Times New Roman" w:hAnsi="Times New Roman" w:eastAsia="宋体" w:cs="Times New Roman"/>
          <w:color w:val="000000" w:themeColor="text1"/>
          <w:sz w:val="24"/>
          <w:szCs w:val="24"/>
          <w:highlight w:val="none"/>
          <w:shd w:val="clear" w:color="auto" w:fill="FFFFFF"/>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shd w:val="clear" w:color="auto" w:fill="FFFFFF"/>
          <w:lang w:eastAsia="zh-CN"/>
          <w14:textFill>
            <w14:solidFill>
              <w14:schemeClr w14:val="tx1"/>
            </w14:solidFill>
          </w14:textFill>
        </w:rPr>
        <w:t>2.项目概况：西湾和苑人行天桥主要建设内容为新建一座人行天桥上跨越现状西湾路。主桥桥面净宽5.9米，采用预制钢箱梁结构跨过西湾路，天桥设置两部无障碍电梯，总占地面积约1022平方米</w:t>
      </w:r>
      <w:r>
        <w:rPr>
          <w:rFonts w:hint="default" w:ascii="Times New Roman" w:hAnsi="Times New Roman" w:eastAsia="宋体" w:cs="Times New Roman"/>
          <w:color w:val="000000" w:themeColor="text1"/>
          <w:sz w:val="24"/>
          <w:szCs w:val="24"/>
          <w:highlight w:val="none"/>
          <w:shd w:val="clear" w:color="auto" w:fill="FFFFFF"/>
          <w:lang w:val="en-US" w:eastAsia="zh-CN"/>
          <w14:textFill>
            <w14:solidFill>
              <w14:schemeClr w14:val="tx1"/>
            </w14:solidFill>
          </w14:textFill>
        </w:rPr>
        <w:t>。</w:t>
      </w:r>
    </w:p>
    <w:p w14:paraId="04E31337">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top"/>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3.建设地点：广州市荔湾区。</w:t>
      </w:r>
    </w:p>
    <w:p w14:paraId="1199506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top"/>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4.</w:t>
      </w:r>
      <w:r>
        <w:rPr>
          <w:rFonts w:hint="default" w:ascii="Times New Roman" w:hAnsi="Times New Roman" w:eastAsia="宋体" w:cs="Times New Roman"/>
          <w:color w:val="auto"/>
          <w:sz w:val="24"/>
          <w:szCs w:val="24"/>
          <w:highlight w:val="none"/>
        </w:rPr>
        <w:t>项目总投资</w:t>
      </w:r>
      <w:r>
        <w:rPr>
          <w:rFonts w:hint="default" w:ascii="Times New Roman" w:hAnsi="Times New Roman" w:eastAsia="宋体" w:cs="Times New Roman"/>
          <w:color w:val="auto"/>
          <w:sz w:val="24"/>
          <w:szCs w:val="24"/>
          <w:highlight w:val="none"/>
          <w:lang w:val="en-US" w:eastAsia="zh-CN"/>
        </w:rPr>
        <w:t>:项目估算总投资2284.50万元，其中工程费1300.63万元，工程建设其他费826.19万元，预备费157.68万元</w:t>
      </w:r>
      <w:r>
        <w:rPr>
          <w:rFonts w:hint="default" w:ascii="Times New Roman" w:hAnsi="Times New Roman" w:eastAsia="宋体" w:cs="Times New Roman"/>
          <w:color w:val="000000" w:themeColor="text1"/>
          <w:sz w:val="24"/>
          <w:szCs w:val="24"/>
          <w:highlight w:val="none"/>
          <w:shd w:val="clear" w:color="auto" w:fill="FFFFFF"/>
          <w:lang w:val="en-US" w:eastAsia="zh-CN"/>
          <w14:textFill>
            <w14:solidFill>
              <w14:schemeClr w14:val="tx1"/>
            </w14:solidFill>
          </w14:textFill>
        </w:rPr>
        <w:t>。</w:t>
      </w:r>
    </w:p>
    <w:p w14:paraId="199878D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top"/>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5.资金来源：财政资金。</w:t>
      </w:r>
    </w:p>
    <w:p w14:paraId="3F7EFE58">
      <w:pPr>
        <w:keepNext w:val="0"/>
        <w:keepLines w:val="0"/>
        <w:pageBreakBefore w:val="0"/>
        <w:kinsoku/>
        <w:wordWrap/>
        <w:overflowPunct/>
        <w:topLinePunct w:val="0"/>
        <w:autoSpaceDE/>
        <w:autoSpaceDN/>
        <w:bidi w:val="0"/>
        <w:spacing w:line="360" w:lineRule="auto"/>
        <w:jc w:val="left"/>
        <w:textAlignment w:val="top"/>
        <w:rPr>
          <w:rFonts w:hint="default" w:ascii="Times New Roman" w:hAnsi="Times New Roman" w:eastAsia="宋体" w:cs="Times New Roman"/>
          <w:b/>
          <w:bCs/>
          <w:color w:val="000000" w:themeColor="text1"/>
          <w:sz w:val="24"/>
          <w:szCs w:val="24"/>
          <w:highlight w:val="none"/>
          <w:shd w:val="clear" w:color="auto" w:fill="FFFFFF"/>
          <w:lang w:val="en-US" w:eastAsia="zh-CN"/>
          <w14:textFill>
            <w14:solidFill>
              <w14:schemeClr w14:val="tx1"/>
            </w14:solidFill>
          </w14:textFill>
        </w:rPr>
      </w:pPr>
      <w:r>
        <w:rPr>
          <w:rFonts w:hint="default" w:ascii="Times New Roman" w:hAnsi="Times New Roman" w:eastAsia="宋体" w:cs="Times New Roman"/>
          <w:b/>
          <w:bCs/>
          <w:caps w:val="0"/>
          <w:color w:val="000000" w:themeColor="text1"/>
          <w:sz w:val="24"/>
          <w:highlight w:val="none"/>
          <w:lang w:val="en-US" w:eastAsia="zh-CN"/>
          <w14:textFill>
            <w14:solidFill>
              <w14:schemeClr w14:val="tx1"/>
            </w14:solidFill>
          </w14:textFill>
        </w:rPr>
        <w:t>二</w:t>
      </w:r>
      <w:r>
        <w:rPr>
          <w:rFonts w:hint="default" w:ascii="Times New Roman" w:hAnsi="Times New Roman" w:eastAsia="宋体" w:cs="Times New Roman"/>
          <w:b/>
          <w:bCs/>
          <w:caps w:val="0"/>
          <w:color w:val="000000" w:themeColor="text1"/>
          <w:sz w:val="24"/>
          <w:highlight w:val="none"/>
          <w:lang w:eastAsia="zh-CN"/>
          <w14:textFill>
            <w14:solidFill>
              <w14:schemeClr w14:val="tx1"/>
            </w14:solidFill>
          </w14:textFill>
        </w:rPr>
        <w:t>、服务内容</w:t>
      </w:r>
      <w:r>
        <w:rPr>
          <w:rFonts w:hint="default" w:ascii="Times New Roman" w:hAnsi="Times New Roman" w:eastAsia="宋体" w:cs="Times New Roman"/>
          <w:b/>
          <w:bCs/>
          <w:color w:val="000000" w:themeColor="text1"/>
          <w:sz w:val="24"/>
          <w:szCs w:val="24"/>
          <w:highlight w:val="none"/>
          <w:lang w:eastAsia="zh-CN"/>
          <w14:textFill>
            <w14:solidFill>
              <w14:schemeClr w14:val="tx1"/>
            </w14:solidFill>
          </w14:textFill>
        </w:rPr>
        <w:t>、</w:t>
      </w:r>
      <w:r>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t>承包方式、服务期</w:t>
      </w:r>
      <w:r>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t>及质量标准</w:t>
      </w:r>
    </w:p>
    <w:p w14:paraId="6A48C4D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top"/>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1.服务内容：对影响项目主体工程施工的管线作迁改处理。（1）管线迁改设计内容：本工程的施工图设计、现场服务、施工过程中的方案优化、报建报批及设计变更、施工及验收过程的配合等（备注：相关迁改方案需经管线产权单位审批）；（2）管线迁改施工内容：独立完成本工程管线迁改施工总承包工作，并将相关管线设施移交管线产权单位，管线迁改暂涉及供水管线</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(DN400)</w:t>
      </w:r>
      <w:r>
        <w:rPr>
          <w:rFonts w:hint="default" w:ascii="Times New Roman" w:hAnsi="Times New Roman" w:eastAsia="宋体" w:cs="Times New Roman"/>
          <w:color w:val="000000" w:themeColor="text1"/>
          <w:sz w:val="24"/>
          <w:highlight w:val="none"/>
          <w14:textFill>
            <w14:solidFill>
              <w14:schemeClr w14:val="tx1"/>
            </w14:solidFill>
          </w14:textFill>
        </w:rPr>
        <w:t>160米、路灯5支等，以及路面修复（最终以相关管线产权单位批复迁改方案或咨询服务意见书为准）。</w:t>
      </w:r>
    </w:p>
    <w:p w14:paraId="7B6FD73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top"/>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2.承包方式：由中选单位按照合同约定范围和图纸内容实行工程设计施工总承包，</w:t>
      </w:r>
      <w:bookmarkStart w:id="491" w:name="_GoBack"/>
      <w:bookmarkEnd w:id="491"/>
      <w:r>
        <w:rPr>
          <w:rFonts w:hint="default" w:ascii="Times New Roman" w:hAnsi="Times New Roman" w:eastAsia="宋体" w:cs="Times New Roman"/>
          <w:color w:val="000000" w:themeColor="text1"/>
          <w:sz w:val="24"/>
          <w:highlight w:val="none"/>
          <w14:textFill>
            <w14:solidFill>
              <w14:schemeClr w14:val="tx1"/>
            </w14:solidFill>
          </w14:textFill>
        </w:rPr>
        <w:t>包括但不限于方案设计、施工图设计、相关报批及报建、包工、包料、包质量、包安全生产、包文明施工、包工期、包调试、包工程验收通过、包移交、包结算、包施工总承包管理和现场整体组织、包专业协调及配合等。</w:t>
      </w:r>
    </w:p>
    <w:p w14:paraId="047E070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top"/>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3.服务期：工程合同工期总日历天数：180天。</w:t>
      </w:r>
    </w:p>
    <w:p w14:paraId="6283B48D">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top"/>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4.质量标准：按照国家或工程所在的地区现行施工验收标准进行验收达到合格等级或达到原有工程标准。</w:t>
      </w:r>
    </w:p>
    <w:p w14:paraId="0482BF50">
      <w:pPr>
        <w:pStyle w:val="27"/>
        <w:spacing w:after="0" w:line="360" w:lineRule="auto"/>
        <w:rPr>
          <w:rFonts w:hint="default" w:ascii="Times New Roman" w:hAnsi="Times New Roman" w:cs="Times New Roman"/>
          <w:color w:val="000000" w:themeColor="text1"/>
          <w:sz w:val="24"/>
          <w:szCs w:val="24"/>
          <w:highlight w:val="none"/>
          <w14:textFill>
            <w14:solidFill>
              <w14:schemeClr w14:val="tx1"/>
            </w14:solidFill>
          </w14:textFill>
        </w:rPr>
      </w:pPr>
      <w:r>
        <w:rPr>
          <w:rStyle w:val="32"/>
          <w:rFonts w:hint="default" w:ascii="Times New Roman" w:hAnsi="Times New Roman" w:cs="Times New Roman"/>
          <w:color w:val="000000" w:themeColor="text1"/>
          <w:sz w:val="24"/>
          <w:szCs w:val="24"/>
          <w:highlight w:val="none"/>
          <w:shd w:val="clear" w:color="auto" w:fill="FFFFFF"/>
          <w14:textFill>
            <w14:solidFill>
              <w14:schemeClr w14:val="tx1"/>
            </w14:solidFill>
          </w14:textFill>
        </w:rPr>
        <w:t>具体的服务内容、承包方式、服务期及质量标准以合同相关约定为准。</w:t>
      </w:r>
    </w:p>
    <w:p w14:paraId="35DE9A5A">
      <w:pPr>
        <w:spacing w:line="360" w:lineRule="auto"/>
        <w:rPr>
          <w:rFonts w:hint="default" w:ascii="Times New Roman" w:hAnsi="Times New Roman" w:eastAsia="宋体" w:cs="Times New Roman"/>
          <w:b/>
          <w:bCs/>
          <w:caps w:val="0"/>
          <w:color w:val="000000" w:themeColor="text1"/>
          <w:sz w:val="24"/>
          <w:highlight w:val="none"/>
          <w14:textFill>
            <w14:solidFill>
              <w14:schemeClr w14:val="tx1"/>
            </w14:solidFill>
          </w14:textFill>
        </w:rPr>
      </w:pPr>
      <w:r>
        <w:rPr>
          <w:rFonts w:hint="default" w:ascii="Times New Roman" w:hAnsi="Times New Roman" w:eastAsia="宋体" w:cs="Times New Roman"/>
          <w:b/>
          <w:bCs/>
          <w:caps w:val="0"/>
          <w:color w:val="000000" w:themeColor="text1"/>
          <w:sz w:val="24"/>
          <w:highlight w:val="none"/>
          <w:lang w:val="en-US" w:eastAsia="zh-CN"/>
          <w14:textFill>
            <w14:solidFill>
              <w14:schemeClr w14:val="tx1"/>
            </w14:solidFill>
          </w14:textFill>
        </w:rPr>
        <w:t>三</w:t>
      </w:r>
      <w:r>
        <w:rPr>
          <w:rFonts w:hint="default" w:ascii="Times New Roman" w:hAnsi="Times New Roman" w:eastAsia="宋体" w:cs="Times New Roman"/>
          <w:b/>
          <w:bCs/>
          <w:caps w:val="0"/>
          <w:color w:val="000000" w:themeColor="text1"/>
          <w:sz w:val="24"/>
          <w:highlight w:val="none"/>
          <w:lang w:eastAsia="zh-CN"/>
          <w14:textFill>
            <w14:solidFill>
              <w14:schemeClr w14:val="tx1"/>
            </w14:solidFill>
          </w14:textFill>
        </w:rPr>
        <w:t>、</w:t>
      </w:r>
      <w:r>
        <w:rPr>
          <w:rFonts w:hint="default" w:ascii="Times New Roman" w:hAnsi="Times New Roman" w:eastAsia="宋体" w:cs="Times New Roman"/>
          <w:b/>
          <w:bCs/>
          <w:caps w:val="0"/>
          <w:color w:val="000000" w:themeColor="text1"/>
          <w:sz w:val="24"/>
          <w:highlight w:val="none"/>
          <w14:textFill>
            <w14:solidFill>
              <w14:schemeClr w14:val="tx1"/>
            </w14:solidFill>
          </w14:textFill>
        </w:rPr>
        <w:t>报价人资格要求</w:t>
      </w:r>
    </w:p>
    <w:p w14:paraId="02F6C500">
      <w:pPr>
        <w:keepNext w:val="0"/>
        <w:keepLines w:val="0"/>
        <w:pageBreakBefore w:val="0"/>
        <w:kinsoku/>
        <w:wordWrap/>
        <w:overflowPunct/>
        <w:topLinePunct w:val="0"/>
        <w:autoSpaceDE/>
        <w:autoSpaceDN/>
        <w:bidi w:val="0"/>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1.报价人</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如联合体报价，指</w:t>
      </w:r>
      <w:r>
        <w:rPr>
          <w:rFonts w:hint="default" w:ascii="Times New Roman" w:hAnsi="Times New Roman" w:eastAsia="宋体" w:cs="Times New Roman"/>
          <w:color w:val="auto"/>
          <w:sz w:val="24"/>
          <w:szCs w:val="24"/>
          <w:highlight w:val="none"/>
        </w:rPr>
        <w:t>联合体</w:t>
      </w:r>
      <w:r>
        <w:rPr>
          <w:rFonts w:hint="default" w:ascii="Times New Roman" w:hAnsi="Times New Roman" w:eastAsia="宋体" w:cs="Times New Roman"/>
          <w:color w:val="auto"/>
          <w:sz w:val="24"/>
          <w:szCs w:val="24"/>
          <w:highlight w:val="none"/>
          <w:lang w:val="en-US" w:eastAsia="zh-CN"/>
        </w:rPr>
        <w:t>各方</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具有独立法人资格，持有有效的市场监督（工商行政）管理部门核发的企业法人营业执照或各级登记管理机关颁发的事业单位法人证书，按国家法律经营。</w:t>
      </w:r>
    </w:p>
    <w:p w14:paraId="4CD25A2A">
      <w:pPr>
        <w:keepNext w:val="0"/>
        <w:keepLines w:val="0"/>
        <w:pageBreakBefore w:val="0"/>
        <w:kinsoku/>
        <w:wordWrap/>
        <w:overflowPunct/>
        <w:topLinePunct w:val="0"/>
        <w:autoSpaceDE/>
        <w:autoSpaceDN/>
        <w:bidi w:val="0"/>
        <w:spacing w:line="360" w:lineRule="auto"/>
        <w:ind w:firstLine="480" w:firstLineChars="200"/>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2.</w:t>
      </w:r>
      <w:r>
        <w:rPr>
          <w:rFonts w:hint="default" w:ascii="Times New Roman" w:hAnsi="Times New Roman" w:cs="Times New Roman"/>
          <w:sz w:val="24"/>
          <w:szCs w:val="24"/>
          <w:highlight w:val="none"/>
        </w:rPr>
        <w:t>报价人具备建设主管部门颁发的工程设计资质（1）或（2）</w:t>
      </w:r>
      <w:r>
        <w:rPr>
          <w:rFonts w:hint="default" w:ascii="Times New Roman" w:hAnsi="Times New Roman" w:cs="Times New Roman"/>
          <w:sz w:val="24"/>
          <w:szCs w:val="24"/>
          <w:highlight w:val="none"/>
          <w:lang w:val="en-US" w:eastAsia="zh-CN"/>
        </w:rPr>
        <w:t>或（3）</w:t>
      </w:r>
      <w:r>
        <w:rPr>
          <w:rFonts w:hint="default" w:ascii="Times New Roman" w:hAnsi="Times New Roman" w:cs="Times New Roman"/>
          <w:sz w:val="24"/>
          <w:szCs w:val="24"/>
          <w:highlight w:val="none"/>
        </w:rPr>
        <w:t>：（1）工程设计综合甲级资质；（2）具备市政行业设计乙级（或以上）资质</w:t>
      </w:r>
      <w:r>
        <w:rPr>
          <w:rFonts w:hint="default" w:ascii="Times New Roman" w:hAnsi="Times New Roman" w:cs="Times New Roman"/>
          <w:sz w:val="24"/>
          <w:szCs w:val="24"/>
          <w:highlight w:val="none"/>
          <w:lang w:eastAsia="zh-CN"/>
        </w:rPr>
        <w:t>；（</w:t>
      </w:r>
      <w:r>
        <w:rPr>
          <w:rFonts w:hint="default" w:ascii="Times New Roman" w:hAnsi="Times New Roman" w:cs="Times New Roman"/>
          <w:sz w:val="24"/>
          <w:szCs w:val="24"/>
          <w:highlight w:val="none"/>
          <w:lang w:val="en-US" w:eastAsia="zh-CN"/>
        </w:rPr>
        <w:t>3</w:t>
      </w:r>
      <w:r>
        <w:rPr>
          <w:rFonts w:hint="default" w:ascii="Times New Roman" w:hAnsi="Times New Roman" w:cs="Times New Roman"/>
          <w:sz w:val="24"/>
          <w:szCs w:val="24"/>
          <w:highlight w:val="none"/>
          <w:lang w:eastAsia="zh-CN"/>
        </w:rPr>
        <w:t>）</w:t>
      </w:r>
      <w:r>
        <w:rPr>
          <w:rFonts w:hint="default" w:ascii="Times New Roman" w:hAnsi="Times New Roman" w:cs="Times New Roman"/>
          <w:sz w:val="24"/>
          <w:szCs w:val="24"/>
          <w:highlight w:val="none"/>
        </w:rPr>
        <w:t>同时具有市政行业（给水工程）专业丙级（或以上）资质及市政行业（道路工程）专业丙级（或以上）资质。</w:t>
      </w:r>
    </w:p>
    <w:p w14:paraId="3288DD89">
      <w:pPr>
        <w:keepNext w:val="0"/>
        <w:keepLines w:val="0"/>
        <w:pageBreakBefore w:val="0"/>
        <w:widowControl w:val="0"/>
        <w:kinsoku/>
        <w:wordWrap/>
        <w:overflowPunct/>
        <w:topLinePunct w:val="0"/>
        <w:autoSpaceDE/>
        <w:autoSpaceDN/>
        <w:bidi w:val="0"/>
        <w:spacing w:line="360" w:lineRule="auto"/>
        <w:ind w:firstLine="480" w:firstLineChars="200"/>
        <w:jc w:val="both"/>
        <w:rPr>
          <w:rFonts w:hint="default" w:ascii="Times New Roman" w:hAnsi="Times New Roman" w:cs="Times New Roman"/>
          <w:color w:val="auto"/>
          <w:sz w:val="24"/>
          <w:szCs w:val="24"/>
          <w:highlight w:val="none"/>
        </w:rPr>
      </w:pPr>
      <w:r>
        <w:rPr>
          <w:rFonts w:hint="default" w:ascii="Times New Roman" w:hAnsi="Times New Roman" w:eastAsia="宋体" w:cs="Times New Roman"/>
          <w:color w:val="auto"/>
          <w:kern w:val="2"/>
          <w:sz w:val="24"/>
          <w:szCs w:val="24"/>
          <w:highlight w:val="none"/>
          <w:lang w:val="en-US" w:eastAsia="zh-CN" w:bidi="ar-SA"/>
        </w:rPr>
        <w:t>3.</w:t>
      </w:r>
      <w:r>
        <w:rPr>
          <w:rFonts w:hint="default" w:ascii="Times New Roman" w:hAnsi="Times New Roman" w:cs="Times New Roman"/>
          <w:sz w:val="24"/>
          <w:szCs w:val="24"/>
          <w:highlight w:val="none"/>
        </w:rPr>
        <w:t>报价人具备建设主管部门颁发的市政公用工程施工总承包三级或以上资质，同时具备《安全生产许可证》，证书需在有效期内。</w:t>
      </w:r>
    </w:p>
    <w:p w14:paraId="1804F666">
      <w:pPr>
        <w:keepNext w:val="0"/>
        <w:keepLines w:val="0"/>
        <w:pageBreakBefore w:val="0"/>
        <w:widowControl w:val="0"/>
        <w:kinsoku/>
        <w:wordWrap/>
        <w:overflowPunct/>
        <w:topLinePunct w:val="0"/>
        <w:autoSpaceDE/>
        <w:autoSpaceDN/>
        <w:bidi w:val="0"/>
        <w:spacing w:line="360" w:lineRule="auto"/>
        <w:ind w:firstLine="480" w:firstLineChars="200"/>
        <w:jc w:val="both"/>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4.</w:t>
      </w:r>
      <w:r>
        <w:rPr>
          <w:rFonts w:hint="default" w:ascii="Times New Roman" w:hAnsi="Times New Roman" w:cs="Times New Roman"/>
          <w:sz w:val="24"/>
          <w:szCs w:val="24"/>
          <w:highlight w:val="none"/>
        </w:rPr>
        <w:t>项目负责人（若为联合体报价，由施工方提供）：报价人拟委派的项目负责人具备在报价单位注册的市政公用工程专业二级或以上注册建造师执业资格，同时具备安全生产考核合格证（B类）（需提供有效期内的证书复印件或建筑施工企业管理人员安全生产考核信息系统安全生产管理人员证书信息的打印页）。</w:t>
      </w:r>
    </w:p>
    <w:p w14:paraId="395CAFCE">
      <w:pPr>
        <w:keepNext w:val="0"/>
        <w:keepLines w:val="0"/>
        <w:pageBreakBefore w:val="0"/>
        <w:widowControl w:val="0"/>
        <w:kinsoku/>
        <w:wordWrap/>
        <w:overflowPunct/>
        <w:topLinePunct w:val="0"/>
        <w:autoSpaceDE/>
        <w:autoSpaceDN/>
        <w:bidi w:val="0"/>
        <w:spacing w:line="360" w:lineRule="auto"/>
        <w:ind w:firstLine="480" w:firstLineChars="200"/>
        <w:jc w:val="both"/>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5.</w:t>
      </w:r>
      <w:r>
        <w:rPr>
          <w:rFonts w:hint="default" w:ascii="Times New Roman" w:hAnsi="Times New Roman" w:cs="Times New Roman"/>
          <w:sz w:val="24"/>
          <w:szCs w:val="24"/>
          <w:highlight w:val="none"/>
        </w:rPr>
        <w:t>设计负责人（若为联合体报价，由设计方提供）：报价人拟委派的设计负责人具备市政公用工程相关专业中级工程师或以上职称。</w:t>
      </w:r>
    </w:p>
    <w:p w14:paraId="7F5D3140">
      <w:pPr>
        <w:keepNext w:val="0"/>
        <w:keepLines w:val="0"/>
        <w:pageBreakBefore w:val="0"/>
        <w:widowControl w:val="0"/>
        <w:kinsoku/>
        <w:wordWrap/>
        <w:overflowPunct/>
        <w:topLinePunct w:val="0"/>
        <w:autoSpaceDE/>
        <w:autoSpaceDN/>
        <w:bidi w:val="0"/>
        <w:spacing w:line="360" w:lineRule="auto"/>
        <w:ind w:firstLine="480" w:firstLineChars="200"/>
        <w:jc w:val="both"/>
        <w:rPr>
          <w:rFonts w:hint="default" w:ascii="Times New Roman" w:hAnsi="Times New Roman" w:eastAsia="宋体" w:cs="Times New Roman"/>
          <w:color w:val="auto"/>
          <w:kern w:val="0"/>
          <w:sz w:val="24"/>
          <w:szCs w:val="24"/>
          <w:highlight w:val="none"/>
          <w:shd w:val="clear" w:color="auto" w:fill="FFFFFF"/>
        </w:rPr>
      </w:pPr>
      <w:r>
        <w:rPr>
          <w:rFonts w:hint="default" w:ascii="Times New Roman" w:hAnsi="Times New Roman" w:eastAsia="宋体" w:cs="Times New Roman"/>
          <w:color w:val="auto"/>
          <w:kern w:val="0"/>
          <w:sz w:val="24"/>
          <w:szCs w:val="24"/>
          <w:highlight w:val="none"/>
          <w:shd w:val="clear" w:color="auto" w:fill="FFFFFF"/>
        </w:rPr>
        <w:t>6.</w:t>
      </w:r>
      <w:r>
        <w:rPr>
          <w:rFonts w:hint="default" w:ascii="Times New Roman" w:hAnsi="Times New Roman" w:cs="Times New Roman"/>
          <w:sz w:val="24"/>
          <w:szCs w:val="24"/>
          <w:highlight w:val="none"/>
        </w:rPr>
        <w:t>专职安全员（若为联合体报价，由施工方提供）：报价人拟委派的专职安全人员须具有在有效期内的安全考核合格证书（C类），或能够提供建筑施工企业管理人员安全生产考核信息系统安全生产管理人员证书信息的打印页。</w:t>
      </w:r>
    </w:p>
    <w:p w14:paraId="27669ADC">
      <w:pPr>
        <w:keepNext w:val="0"/>
        <w:keepLines w:val="0"/>
        <w:pageBreakBefore w:val="0"/>
        <w:widowControl w:val="0"/>
        <w:kinsoku/>
        <w:wordWrap/>
        <w:overflowPunct/>
        <w:topLinePunct w:val="0"/>
        <w:autoSpaceDE/>
        <w:autoSpaceDN/>
        <w:bidi w:val="0"/>
        <w:spacing w:line="360" w:lineRule="auto"/>
        <w:ind w:firstLine="480" w:firstLineChars="200"/>
        <w:jc w:val="both"/>
        <w:rPr>
          <w:rFonts w:hint="default" w:ascii="Times New Roman" w:hAnsi="Times New Roman" w:eastAsia="宋体" w:cs="Times New Roman"/>
          <w:b w:val="0"/>
          <w:bCs w:val="0"/>
          <w:color w:val="auto"/>
          <w:sz w:val="24"/>
          <w:szCs w:val="24"/>
          <w:highlight w:val="none"/>
          <w:lang w:eastAsia="zh-CN"/>
        </w:rPr>
      </w:pPr>
      <w:r>
        <w:rPr>
          <w:rFonts w:hint="default" w:ascii="Times New Roman" w:hAnsi="Times New Roman" w:eastAsia="宋体" w:cs="Times New Roman"/>
          <w:color w:val="auto"/>
          <w:sz w:val="24"/>
          <w:szCs w:val="24"/>
          <w:highlight w:val="none"/>
        </w:rPr>
        <w:t>注：</w:t>
      </w:r>
      <w:r>
        <w:rPr>
          <w:rFonts w:hint="default" w:ascii="Times New Roman" w:hAnsi="Times New Roman" w:eastAsia="宋体" w:cs="Times New Roman"/>
          <w:color w:val="auto"/>
          <w:kern w:val="0"/>
          <w:sz w:val="24"/>
          <w:szCs w:val="24"/>
          <w:highlight w:val="none"/>
          <w:shd w:val="clear" w:color="auto" w:fill="FFFFFF"/>
        </w:rPr>
        <w:t>①</w:t>
      </w:r>
      <w:r>
        <w:rPr>
          <w:rFonts w:hint="default" w:ascii="Times New Roman" w:hAnsi="Times New Roman" w:eastAsia="宋体" w:cs="Times New Roman"/>
          <w:color w:val="auto"/>
          <w:sz w:val="24"/>
          <w:szCs w:val="24"/>
          <w:highlight w:val="none"/>
          <w:lang w:val="en-US" w:eastAsia="zh-CN"/>
        </w:rPr>
        <w:t>企业资质证书有效期按《住房和城乡建设部办公厅关于做好建筑业“证照分离”改革衔接有关工作的通知》（建办市〔2021〕30号）、《住房和城乡建设部办公厅关于建设工程企业资质有关事宜的通知》（建办市函〔2022〕361号）和《广东省住房和城乡建设厅关于建设工程企业资质有关事宜的通知》（粤建许函〔2022〕846号）、《住房城乡建设部建筑市场监管司关于建设工程企业资质延续有关事项的通知》（建司局函市〔2023〕116号）及《广东省住房和城乡建设厅关于建设工程企业资质延续有关事项的通知》（粤建许函〔2023〕820号）执行</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b/>
          <w:bCs/>
          <w:color w:val="auto"/>
          <w:sz w:val="24"/>
          <w:szCs w:val="24"/>
          <w:highlight w:val="none"/>
        </w:rPr>
        <w:t>地方各级住房和城乡建设主管部门核发的建设工程企业资质证书延续有关政策按各省级住房和城乡建设主管部门</w:t>
      </w:r>
      <w:r>
        <w:rPr>
          <w:rFonts w:hint="default" w:ascii="Times New Roman" w:hAnsi="Times New Roman" w:eastAsia="宋体" w:cs="Times New Roman"/>
          <w:b/>
          <w:bCs/>
          <w:color w:val="auto"/>
          <w:sz w:val="24"/>
          <w:szCs w:val="24"/>
          <w:highlight w:val="none"/>
          <w:lang w:val="en-US" w:eastAsia="zh-CN"/>
        </w:rPr>
        <w:t>最新</w:t>
      </w:r>
      <w:r>
        <w:rPr>
          <w:rFonts w:hint="default" w:ascii="Times New Roman" w:hAnsi="Times New Roman" w:eastAsia="宋体" w:cs="Times New Roman"/>
          <w:b/>
          <w:bCs/>
          <w:color w:val="auto"/>
          <w:sz w:val="24"/>
          <w:szCs w:val="24"/>
          <w:highlight w:val="none"/>
        </w:rPr>
        <w:t>规定执行</w:t>
      </w:r>
      <w:r>
        <w:rPr>
          <w:rFonts w:hint="default" w:ascii="Times New Roman" w:hAnsi="Times New Roman" w:eastAsia="宋体" w:cs="Times New Roman"/>
          <w:b/>
          <w:bCs/>
          <w:color w:val="auto"/>
          <w:sz w:val="24"/>
          <w:szCs w:val="24"/>
          <w:highlight w:val="none"/>
          <w:lang w:eastAsia="zh-CN"/>
        </w:rPr>
        <w:t>。</w:t>
      </w:r>
      <w:r>
        <w:rPr>
          <w:rFonts w:hint="default" w:ascii="Times New Roman" w:hAnsi="Times New Roman" w:eastAsia="宋体" w:cs="Times New Roman"/>
          <w:b w:val="0"/>
          <w:bCs w:val="0"/>
          <w:color w:val="auto"/>
          <w:sz w:val="24"/>
          <w:szCs w:val="24"/>
          <w:highlight w:val="none"/>
          <w:lang w:eastAsia="zh-CN"/>
        </w:rPr>
        <w:t>②根据广东省住建厅《关于明确二级建造师注册执业有关问题的通知》（粤建市函〔2023〕469号），二级建造师应在考试取得执业资格的省、自治区、直辖市申请注册，二级注册建造师可随注册企业在全国范围内执业。</w:t>
      </w:r>
      <w:r>
        <w:rPr>
          <w:rFonts w:hint="default" w:ascii="Times New Roman" w:hAnsi="Times New Roman" w:eastAsia="宋体" w:cs="Times New Roman"/>
          <w:b/>
          <w:bCs/>
          <w:color w:val="auto"/>
          <w:sz w:val="24"/>
          <w:szCs w:val="24"/>
          <w:highlight w:val="none"/>
          <w:lang w:eastAsia="zh-CN"/>
        </w:rPr>
        <w:t>项目负责人在任职期间不得担任专职安全员，项目专职安全员在任职期间也不得担任项目负责人</w:t>
      </w:r>
      <w:r>
        <w:rPr>
          <w:rFonts w:hint="default" w:ascii="Times New Roman" w:hAnsi="Times New Roman" w:eastAsia="宋体" w:cs="Times New Roman"/>
          <w:b/>
          <w:bCs/>
          <w:color w:val="auto"/>
          <w:kern w:val="0"/>
          <w:sz w:val="24"/>
          <w:szCs w:val="24"/>
          <w:highlight w:val="none"/>
          <w:shd w:val="clear" w:color="auto" w:fill="FFFFFF"/>
          <w:lang w:val="en-US" w:eastAsia="zh-CN" w:bidi="ar-SA"/>
        </w:rPr>
        <w:t>，项目负责人和专职安全员不为同一人。</w:t>
      </w:r>
    </w:p>
    <w:p w14:paraId="34A4A425">
      <w:pPr>
        <w:keepNext w:val="0"/>
        <w:keepLines w:val="0"/>
        <w:pageBreakBefore w:val="0"/>
        <w:kinsoku/>
        <w:wordWrap/>
        <w:overflowPunct/>
        <w:topLinePunct w:val="0"/>
        <w:autoSpaceDE/>
        <w:autoSpaceDN/>
        <w:bidi w:val="0"/>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val="en-US" w:eastAsia="zh-CN"/>
        </w:rPr>
        <w:t>7</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b/>
          <w:bCs/>
          <w:color w:val="auto"/>
          <w:sz w:val="24"/>
          <w:szCs w:val="24"/>
          <w:highlight w:val="none"/>
        </w:rPr>
        <w:t>报价人</w:t>
      </w:r>
      <w:r>
        <w:rPr>
          <w:rFonts w:hint="default" w:ascii="Times New Roman" w:hAnsi="Times New Roman" w:eastAsia="宋体" w:cs="Times New Roman"/>
          <w:color w:val="auto"/>
          <w:sz w:val="24"/>
          <w:szCs w:val="24"/>
          <w:highlight w:val="none"/>
        </w:rPr>
        <w:t>及其</w:t>
      </w:r>
      <w:r>
        <w:rPr>
          <w:rFonts w:hint="default" w:ascii="Times New Roman" w:hAnsi="Times New Roman" w:eastAsia="宋体" w:cs="Times New Roman"/>
          <w:b/>
          <w:bCs/>
          <w:color w:val="auto"/>
          <w:sz w:val="24"/>
          <w:szCs w:val="24"/>
          <w:highlight w:val="none"/>
        </w:rPr>
        <w:t>法定代表人（或单位负责人）</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b/>
          <w:bCs/>
          <w:color w:val="auto"/>
          <w:sz w:val="24"/>
          <w:szCs w:val="24"/>
          <w:highlight w:val="none"/>
        </w:rPr>
        <w:t>拟派项目团队成员</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b/>
          <w:bCs/>
          <w:color w:val="auto"/>
          <w:sz w:val="24"/>
          <w:szCs w:val="24"/>
          <w:highlight w:val="none"/>
        </w:rPr>
        <w:t>含项目</w:t>
      </w:r>
      <w:r>
        <w:rPr>
          <w:rFonts w:hint="default" w:ascii="Times New Roman" w:hAnsi="Times New Roman" w:cs="Times New Roman"/>
          <w:b/>
          <w:bCs/>
          <w:color w:val="auto"/>
          <w:sz w:val="24"/>
          <w:szCs w:val="24"/>
          <w:highlight w:val="none"/>
          <w:lang w:val="en-US" w:eastAsia="zh-CN"/>
        </w:rPr>
        <w:t>负责人</w:t>
      </w:r>
      <w:r>
        <w:rPr>
          <w:rFonts w:hint="default" w:ascii="Times New Roman" w:hAnsi="Times New Roman" w:eastAsia="宋体" w:cs="Times New Roman"/>
          <w:b/>
          <w:bCs/>
          <w:color w:val="auto"/>
          <w:sz w:val="24"/>
          <w:szCs w:val="24"/>
          <w:highlight w:val="none"/>
        </w:rPr>
        <w:t>、</w:t>
      </w:r>
      <w:r>
        <w:rPr>
          <w:rFonts w:hint="default" w:ascii="Times New Roman" w:hAnsi="Times New Roman" w:cs="Times New Roman"/>
          <w:b/>
          <w:bCs/>
          <w:color w:val="auto"/>
          <w:sz w:val="24"/>
          <w:szCs w:val="24"/>
          <w:highlight w:val="none"/>
          <w:lang w:val="en-US" w:eastAsia="zh-CN"/>
        </w:rPr>
        <w:t>设计负责人、专职安全员</w:t>
      </w:r>
      <w:r>
        <w:rPr>
          <w:rFonts w:hint="default" w:ascii="Times New Roman" w:hAnsi="Times New Roman" w:eastAsia="宋体" w:cs="Times New Roman"/>
          <w:b/>
          <w:bCs/>
          <w:color w:val="auto"/>
          <w:sz w:val="24"/>
          <w:szCs w:val="24"/>
          <w:highlight w:val="none"/>
        </w:rPr>
        <w:t>及其他专业技术人员</w:t>
      </w:r>
      <w:r>
        <w:rPr>
          <w:rFonts w:hint="default" w:ascii="Times New Roman" w:hAnsi="Times New Roman" w:eastAsia="宋体" w:cs="Times New Roman"/>
          <w:color w:val="auto"/>
          <w:sz w:val="24"/>
          <w:szCs w:val="24"/>
          <w:highlight w:val="none"/>
        </w:rPr>
        <w:t>）未被列入“信用广州”网站（https://credit.gz.gov.cn）“严重失信主体名单”和“行业领域重点关注名单”</w:t>
      </w:r>
      <w:r>
        <w:rPr>
          <w:rFonts w:hint="default" w:ascii="Times New Roman" w:hAnsi="Times New Roman" w:eastAsia="宋体" w:cs="Times New Roman"/>
          <w:b w:val="0"/>
          <w:bCs w:val="0"/>
          <w:color w:val="auto"/>
          <w:sz w:val="24"/>
          <w:szCs w:val="24"/>
          <w:highlight w:val="none"/>
          <w:lang w:val="en-US" w:eastAsia="zh-CN"/>
        </w:rPr>
        <w:t>（报价人须提供“信用广州”&lt;https://credit.gz.gov.cn〉的查询结果截图）。注：如相关人员查询到同姓名他人有记录的，需另行提供本人在“信用广州”下载的完整版“广州市个人公共信用信息报告”作为证明材料</w:t>
      </w:r>
      <w:r>
        <w:rPr>
          <w:rFonts w:hint="default" w:ascii="Times New Roman" w:hAnsi="Times New Roman" w:eastAsia="宋体" w:cs="Times New Roman"/>
          <w:color w:val="auto"/>
          <w:sz w:val="24"/>
          <w:szCs w:val="24"/>
          <w:highlight w:val="none"/>
        </w:rPr>
        <w:t>。</w:t>
      </w:r>
    </w:p>
    <w:p w14:paraId="7810A4E3">
      <w:pPr>
        <w:keepNext w:val="0"/>
        <w:keepLines w:val="0"/>
        <w:pageBreakBefore w:val="0"/>
        <w:kinsoku/>
        <w:wordWrap/>
        <w:overflowPunct/>
        <w:topLinePunct w:val="0"/>
        <w:autoSpaceDE/>
        <w:autoSpaceDN/>
        <w:bidi w:val="0"/>
        <w:spacing w:line="360" w:lineRule="auto"/>
        <w:ind w:firstLine="480" w:firstLineChars="200"/>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auto"/>
          <w:sz w:val="24"/>
          <w:szCs w:val="24"/>
          <w:highlight w:val="none"/>
          <w:lang w:val="en-US" w:eastAsia="zh-CN"/>
        </w:rPr>
        <w:t>8</w:t>
      </w:r>
      <w:r>
        <w:rPr>
          <w:rFonts w:hint="default" w:ascii="Times New Roman" w:hAnsi="Times New Roman" w:eastAsia="宋体" w:cs="Times New Roman"/>
          <w:color w:val="auto"/>
          <w:sz w:val="24"/>
          <w:szCs w:val="24"/>
          <w:highlight w:val="none"/>
        </w:rPr>
        <w:t>.本次询比</w:t>
      </w:r>
      <w:r>
        <w:rPr>
          <w:rFonts w:hint="default" w:ascii="Times New Roman" w:hAnsi="Times New Roman" w:eastAsia="宋体" w:cs="Times New Roman"/>
          <w:b/>
          <w:bCs/>
          <w:color w:val="auto"/>
          <w:sz w:val="24"/>
          <w:szCs w:val="24"/>
          <w:highlight w:val="none"/>
        </w:rPr>
        <w:t>接受联合体报价</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lang w:eastAsia="zh-CN"/>
        </w:rPr>
        <w:t>联合体报价的，</w:t>
      </w:r>
      <w:r>
        <w:rPr>
          <w:rFonts w:hint="default" w:ascii="Times New Roman" w:hAnsi="Times New Roman" w:eastAsia="宋体" w:cs="Times New Roman"/>
          <w:color w:val="auto"/>
          <w:sz w:val="24"/>
          <w:szCs w:val="24"/>
          <w:highlight w:val="none"/>
        </w:rPr>
        <w:t>联合体组成单位不得超过2家</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1家施工单位</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1家设计单位</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lang w:eastAsia="zh-CN"/>
        </w:rPr>
        <w:t>应以承担施工任务的</w:t>
      </w:r>
      <w:r>
        <w:rPr>
          <w:rFonts w:hint="default" w:ascii="Times New Roman" w:hAnsi="Times New Roman" w:eastAsia="宋体" w:cs="Times New Roman"/>
          <w:color w:val="auto"/>
          <w:sz w:val="24"/>
          <w:szCs w:val="24"/>
          <w:highlight w:val="none"/>
          <w:lang w:val="en-US" w:eastAsia="zh-CN"/>
        </w:rPr>
        <w:t>单位</w:t>
      </w:r>
      <w:r>
        <w:rPr>
          <w:rFonts w:hint="default" w:ascii="Times New Roman" w:hAnsi="Times New Roman" w:eastAsia="宋体" w:cs="Times New Roman"/>
          <w:color w:val="auto"/>
          <w:sz w:val="24"/>
          <w:szCs w:val="24"/>
          <w:highlight w:val="none"/>
          <w:lang w:eastAsia="zh-CN"/>
        </w:rPr>
        <w:t>为主办方（牵头单位），</w:t>
      </w:r>
      <w:r>
        <w:rPr>
          <w:rFonts w:hint="default" w:ascii="Times New Roman" w:hAnsi="Times New Roman" w:eastAsia="宋体" w:cs="Times New Roman"/>
          <w:color w:val="auto"/>
          <w:sz w:val="24"/>
          <w:szCs w:val="24"/>
          <w:highlight w:val="none"/>
        </w:rPr>
        <w:t>并按询比文件要求签订联合体共同报价协议书。联合体共同报价协议书应明确约定各方拟承担的工作和责任。</w:t>
      </w:r>
    </w:p>
    <w:p w14:paraId="48A9508D">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
          <w:bCs/>
          <w:caps w:val="0"/>
          <w:color w:val="000000" w:themeColor="text1"/>
          <w:sz w:val="24"/>
          <w:highlight w:val="none"/>
          <w14:textFill>
            <w14:solidFill>
              <w14:schemeClr w14:val="tx1"/>
            </w14:solidFill>
          </w14:textFill>
        </w:rPr>
      </w:pPr>
      <w:r>
        <w:rPr>
          <w:rFonts w:hint="default" w:ascii="Times New Roman" w:hAnsi="Times New Roman" w:eastAsia="宋体" w:cs="Times New Roman"/>
          <w:b/>
          <w:bCs/>
          <w:caps w:val="0"/>
          <w:color w:val="000000" w:themeColor="text1"/>
          <w:sz w:val="24"/>
          <w:highlight w:val="none"/>
          <w:lang w:val="en-US" w:eastAsia="zh-CN"/>
          <w14:textFill>
            <w14:solidFill>
              <w14:schemeClr w14:val="tx1"/>
            </w14:solidFill>
          </w14:textFill>
        </w:rPr>
        <w:t>四</w:t>
      </w:r>
      <w:r>
        <w:rPr>
          <w:rFonts w:hint="default" w:ascii="Times New Roman" w:hAnsi="Times New Roman" w:eastAsia="宋体" w:cs="Times New Roman"/>
          <w:b/>
          <w:bCs/>
          <w:caps w:val="0"/>
          <w:color w:val="000000" w:themeColor="text1"/>
          <w:sz w:val="24"/>
          <w:highlight w:val="none"/>
          <w14:textFill>
            <w14:solidFill>
              <w14:schemeClr w14:val="tx1"/>
            </w14:solidFill>
          </w14:textFill>
        </w:rPr>
        <w:t>、报价及结算方式：</w:t>
      </w:r>
    </w:p>
    <w:p w14:paraId="17B1CA0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1.最高报价限价：人民币80674</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0.83</w:t>
      </w:r>
      <w:r>
        <w:rPr>
          <w:rFonts w:hint="default" w:ascii="Times New Roman" w:hAnsi="Times New Roman" w:eastAsia="宋体" w:cs="Times New Roman"/>
          <w:color w:val="000000" w:themeColor="text1"/>
          <w:sz w:val="24"/>
          <w:szCs w:val="24"/>
          <w:highlight w:val="none"/>
          <w14:textFill>
            <w14:solidFill>
              <w14:schemeClr w14:val="tx1"/>
            </w14:solidFill>
          </w14:textFill>
        </w:rPr>
        <w:t>元（大写捌拾万陆仟柒佰肆拾元</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捌</w:t>
      </w:r>
      <w:r>
        <w:rPr>
          <w:rFonts w:hint="default" w:ascii="Times New Roman" w:hAnsi="Times New Roman" w:eastAsia="宋体" w:cs="Times New Roman"/>
          <w:color w:val="000000" w:themeColor="text1"/>
          <w:sz w:val="24"/>
          <w:szCs w:val="24"/>
          <w:highlight w:val="none"/>
          <w14:textFill>
            <w14:solidFill>
              <w14:schemeClr w14:val="tx1"/>
            </w14:solidFill>
          </w14:textFill>
        </w:rPr>
        <w:t>角</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叁</w:t>
      </w:r>
      <w:r>
        <w:rPr>
          <w:rFonts w:hint="default" w:ascii="Times New Roman" w:hAnsi="Times New Roman" w:eastAsia="宋体" w:cs="Times New Roman"/>
          <w:color w:val="000000" w:themeColor="text1"/>
          <w:sz w:val="24"/>
          <w:szCs w:val="24"/>
          <w:highlight w:val="none"/>
          <w14:textFill>
            <w14:solidFill>
              <w14:schemeClr w14:val="tx1"/>
            </w14:solidFill>
          </w14:textFill>
        </w:rPr>
        <w:t>分）。其中管线迁改施工费77200</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0.79</w:t>
      </w:r>
      <w:r>
        <w:rPr>
          <w:rFonts w:hint="default" w:ascii="Times New Roman" w:hAnsi="Times New Roman" w:eastAsia="宋体" w:cs="Times New Roman"/>
          <w:color w:val="000000" w:themeColor="text1"/>
          <w:sz w:val="24"/>
          <w:szCs w:val="24"/>
          <w:highlight w:val="none"/>
          <w14:textFill>
            <w14:solidFill>
              <w14:schemeClr w14:val="tx1"/>
            </w14:solidFill>
          </w14:textFill>
        </w:rPr>
        <w:t>元，管线迁改设计费34740.</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04</w:t>
      </w:r>
      <w:r>
        <w:rPr>
          <w:rFonts w:hint="default" w:ascii="Times New Roman" w:hAnsi="Times New Roman" w:eastAsia="宋体" w:cs="Times New Roman"/>
          <w:color w:val="000000" w:themeColor="text1"/>
          <w:sz w:val="24"/>
          <w:szCs w:val="24"/>
          <w:highlight w:val="none"/>
          <w14:textFill>
            <w14:solidFill>
              <w14:schemeClr w14:val="tx1"/>
            </w14:solidFill>
          </w14:textFill>
        </w:rPr>
        <w:t>元。</w:t>
      </w:r>
    </w:p>
    <w:p w14:paraId="29FA4DB9">
      <w:pPr>
        <w:pStyle w:val="25"/>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default" w:ascii="Times New Roman" w:hAnsi="Times New Roman" w:eastAsia="宋体" w:cs="Times New Roman"/>
          <w:caps w:val="0"/>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2.报价要求：报价金额是固定价且是唯一的，未超过本项目最高报价限价，有效报价下浮率为</w:t>
      </w:r>
      <w:r>
        <w:rPr>
          <w:rFonts w:hint="default" w:ascii="Times New Roman" w:hAnsi="Times New Roman" w:eastAsia="宋体" w:cs="Times New Roman"/>
          <w:b/>
          <w:bCs/>
          <w:color w:val="000000" w:themeColor="text1"/>
          <w:sz w:val="24"/>
          <w:szCs w:val="24"/>
          <w:highlight w:val="none"/>
          <w14:textFill>
            <w14:solidFill>
              <w14:schemeClr w14:val="tx1"/>
            </w14:solidFill>
          </w14:textFill>
        </w:rPr>
        <w:t>0%-5%</w:t>
      </w:r>
      <w:r>
        <w:rPr>
          <w:rFonts w:hint="default" w:ascii="Times New Roman" w:hAnsi="Times New Roman" w:eastAsia="宋体" w:cs="Times New Roman"/>
          <w:caps w:val="0"/>
          <w:color w:val="000000" w:themeColor="text1"/>
          <w:highlight w:val="none"/>
          <w14:textFill>
            <w14:solidFill>
              <w14:schemeClr w14:val="tx1"/>
            </w14:solidFill>
          </w14:textFill>
        </w:rPr>
        <w:t>。</w:t>
      </w:r>
    </w:p>
    <w:p w14:paraId="4DDBF1B2">
      <w:pPr>
        <w:pStyle w:val="2"/>
        <w:spacing w:line="360" w:lineRule="auto"/>
        <w:ind w:firstLine="482" w:firstLineChars="200"/>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b/>
          <w:bCs/>
          <w:color w:val="000000" w:themeColor="text1"/>
          <w:sz w:val="24"/>
          <w:szCs w:val="24"/>
          <w:highlight w:val="none"/>
          <w14:textFill>
            <w14:solidFill>
              <w14:schemeClr w14:val="tx1"/>
            </w14:solidFill>
          </w14:textFill>
        </w:rPr>
        <w:t>结算方式具体以合同约定为准。</w:t>
      </w:r>
    </w:p>
    <w:p w14:paraId="6B394D9D">
      <w:pPr>
        <w:spacing w:line="360" w:lineRule="auto"/>
        <w:textAlignment w:val="top"/>
        <w:rPr>
          <w:rFonts w:hint="default" w:ascii="Times New Roman" w:hAnsi="Times New Roman" w:eastAsia="宋体" w:cs="Times New Roman"/>
          <w:b/>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bCs/>
          <w:color w:val="000000" w:themeColor="text1"/>
          <w:sz w:val="24"/>
          <w:szCs w:val="24"/>
          <w:highlight w:val="none"/>
          <w14:textFill>
            <w14:solidFill>
              <w14:schemeClr w14:val="tx1"/>
            </w14:solidFill>
          </w14:textFill>
        </w:rPr>
        <w:t>五、</w:t>
      </w:r>
      <w:r>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t>询比报酬及委托书</w:t>
      </w:r>
      <w:r>
        <w:rPr>
          <w:rFonts w:hint="default" w:ascii="Times New Roman" w:hAnsi="Times New Roman" w:eastAsia="宋体" w:cs="Times New Roman"/>
          <w:b/>
          <w:bCs/>
          <w:color w:val="000000" w:themeColor="text1"/>
          <w:sz w:val="24"/>
          <w:szCs w:val="24"/>
          <w:highlight w:val="none"/>
          <w14:textFill>
            <w14:solidFill>
              <w14:schemeClr w14:val="tx1"/>
            </w14:solidFill>
          </w14:textFill>
        </w:rPr>
        <w:t>的交付</w:t>
      </w:r>
    </w:p>
    <w:p w14:paraId="3E83E90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Cs/>
          <w:caps w:val="0"/>
          <w:strike/>
          <w:dstrike w:val="0"/>
          <w:color w:val="000000" w:themeColor="text1"/>
          <w:sz w:val="24"/>
          <w:szCs w:val="20"/>
          <w:highlight w:val="none"/>
          <w:lang w:eastAsia="zh-CN"/>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本次的询比项目的</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询比报酬人民币1650元（大写：壹仟陆佰伍拾元整）由中选单位在收取委托书时一次性支付给询比代理服务机构。</w:t>
      </w:r>
    </w:p>
    <w:p w14:paraId="2D31B6E9">
      <w:pPr>
        <w:pStyle w:val="2"/>
        <w:spacing w:line="360" w:lineRule="auto"/>
        <w:rPr>
          <w:rFonts w:hint="default" w:ascii="Times New Roman" w:hAnsi="Times New Roman" w:eastAsia="宋体" w:cs="Times New Roman"/>
          <w:b/>
          <w:bCs/>
          <w:caps w:val="0"/>
          <w:color w:val="000000" w:themeColor="text1"/>
          <w:sz w:val="24"/>
          <w:highlight w:val="none"/>
          <w14:textFill>
            <w14:solidFill>
              <w14:schemeClr w14:val="tx1"/>
            </w14:solidFill>
          </w14:textFill>
        </w:rPr>
      </w:pPr>
      <w:r>
        <w:rPr>
          <w:rFonts w:hint="default" w:ascii="Times New Roman" w:hAnsi="Times New Roman" w:eastAsia="宋体" w:cs="Times New Roman"/>
          <w:b/>
          <w:bCs/>
          <w:caps w:val="0"/>
          <w:color w:val="000000" w:themeColor="text1"/>
          <w:sz w:val="24"/>
          <w:highlight w:val="none"/>
          <w:lang w:val="en-US" w:eastAsia="zh-CN"/>
          <w14:textFill>
            <w14:solidFill>
              <w14:schemeClr w14:val="tx1"/>
            </w14:solidFill>
          </w14:textFill>
        </w:rPr>
        <w:t>六</w:t>
      </w:r>
      <w:r>
        <w:rPr>
          <w:rFonts w:hint="default" w:ascii="Times New Roman" w:hAnsi="Times New Roman" w:eastAsia="宋体" w:cs="Times New Roman"/>
          <w:b/>
          <w:bCs/>
          <w:caps w:val="0"/>
          <w:color w:val="000000" w:themeColor="text1"/>
          <w:sz w:val="24"/>
          <w:highlight w:val="none"/>
          <w14:textFill>
            <w14:solidFill>
              <w14:schemeClr w14:val="tx1"/>
            </w14:solidFill>
          </w14:textFill>
        </w:rPr>
        <w:t>、询比文件的获取和公告时间</w:t>
      </w:r>
    </w:p>
    <w:p w14:paraId="4C5930D3">
      <w:pPr>
        <w:widowControl/>
        <w:spacing w:line="360" w:lineRule="auto"/>
        <w:ind w:firstLine="480" w:firstLineChars="200"/>
        <w:rPr>
          <w:rFonts w:hint="eastAsia" w:ascii="宋体" w:hAnsi="宋体" w:eastAsia="宋体" w:cs="宋体"/>
          <w:caps w:val="0"/>
          <w:sz w:val="24"/>
          <w:szCs w:val="24"/>
          <w:highlight w:val="none"/>
        </w:rPr>
      </w:pPr>
      <w:r>
        <w:rPr>
          <w:rFonts w:hint="eastAsia" w:ascii="宋体" w:hAnsi="宋体" w:eastAsia="宋体" w:cs="宋体"/>
          <w:caps w:val="0"/>
          <w:sz w:val="24"/>
          <w:szCs w:val="24"/>
          <w:highlight w:val="none"/>
        </w:rPr>
        <w:t>1.凡有意参加报价者，请于</w:t>
      </w:r>
      <w:r>
        <w:rPr>
          <w:rFonts w:hint="eastAsia" w:ascii="宋体" w:hAnsi="宋体" w:eastAsia="宋体" w:cs="宋体"/>
          <w:caps w:val="0"/>
          <w:sz w:val="24"/>
          <w:szCs w:val="24"/>
          <w:highlight w:val="none"/>
          <w:lang w:eastAsia="zh-CN"/>
        </w:rPr>
        <w:t>2026年</w:t>
      </w:r>
      <w:r>
        <w:rPr>
          <w:rFonts w:hint="eastAsia" w:ascii="宋体" w:hAnsi="宋体" w:eastAsia="宋体" w:cs="宋体"/>
          <w:caps w:val="0"/>
          <w:sz w:val="24"/>
          <w:szCs w:val="24"/>
          <w:highlight w:val="none"/>
          <w:u w:val="single"/>
          <w:lang w:val="en-US" w:eastAsia="zh-CN"/>
        </w:rPr>
        <w:t>4</w:t>
      </w:r>
      <w:r>
        <w:rPr>
          <w:rFonts w:hint="eastAsia" w:ascii="宋体" w:hAnsi="宋体" w:eastAsia="宋体" w:cs="宋体"/>
          <w:caps w:val="0"/>
          <w:sz w:val="24"/>
          <w:szCs w:val="24"/>
          <w:highlight w:val="none"/>
        </w:rPr>
        <w:t>月</w:t>
      </w:r>
      <w:r>
        <w:rPr>
          <w:rFonts w:hint="eastAsia" w:ascii="宋体" w:hAnsi="宋体" w:eastAsia="宋体" w:cs="宋体"/>
          <w:caps w:val="0"/>
          <w:sz w:val="24"/>
          <w:szCs w:val="24"/>
          <w:highlight w:val="none"/>
          <w:u w:val="single"/>
          <w:lang w:val="en-US" w:eastAsia="zh-CN"/>
        </w:rPr>
        <w:t>15</w:t>
      </w:r>
      <w:r>
        <w:rPr>
          <w:rFonts w:hint="eastAsia" w:ascii="宋体" w:hAnsi="宋体" w:eastAsia="宋体" w:cs="宋体"/>
          <w:caps w:val="0"/>
          <w:sz w:val="24"/>
          <w:szCs w:val="24"/>
          <w:highlight w:val="none"/>
        </w:rPr>
        <w:t>日至</w:t>
      </w:r>
      <w:r>
        <w:rPr>
          <w:rFonts w:hint="eastAsia" w:ascii="宋体" w:hAnsi="宋体" w:eastAsia="宋体" w:cs="宋体"/>
          <w:caps w:val="0"/>
          <w:sz w:val="24"/>
          <w:szCs w:val="24"/>
          <w:highlight w:val="none"/>
          <w:lang w:eastAsia="zh-CN"/>
        </w:rPr>
        <w:t>2026年</w:t>
      </w:r>
      <w:r>
        <w:rPr>
          <w:rFonts w:hint="eastAsia" w:ascii="宋体" w:hAnsi="宋体" w:eastAsia="宋体" w:cs="宋体"/>
          <w:caps w:val="0"/>
          <w:sz w:val="24"/>
          <w:szCs w:val="24"/>
          <w:highlight w:val="none"/>
          <w:u w:val="single"/>
          <w:lang w:val="en-US" w:eastAsia="zh-CN"/>
        </w:rPr>
        <w:t>4</w:t>
      </w:r>
      <w:r>
        <w:rPr>
          <w:rFonts w:hint="eastAsia" w:ascii="宋体" w:hAnsi="宋体" w:eastAsia="宋体" w:cs="宋体"/>
          <w:caps w:val="0"/>
          <w:sz w:val="24"/>
          <w:szCs w:val="24"/>
          <w:highlight w:val="none"/>
        </w:rPr>
        <w:t>月</w:t>
      </w:r>
      <w:r>
        <w:rPr>
          <w:rFonts w:hint="eastAsia" w:ascii="宋体" w:hAnsi="宋体" w:eastAsia="宋体" w:cs="宋体"/>
          <w:caps w:val="0"/>
          <w:sz w:val="24"/>
          <w:szCs w:val="24"/>
          <w:highlight w:val="none"/>
          <w:u w:val="single"/>
          <w:lang w:val="en-US" w:eastAsia="zh-CN"/>
        </w:rPr>
        <w:t>19</w:t>
      </w:r>
      <w:r>
        <w:rPr>
          <w:rFonts w:hint="eastAsia" w:ascii="宋体" w:hAnsi="宋体" w:eastAsia="宋体" w:cs="宋体"/>
          <w:caps w:val="0"/>
          <w:sz w:val="24"/>
          <w:szCs w:val="24"/>
          <w:highlight w:val="none"/>
        </w:rPr>
        <w:t>日，登录广州市荔湾区人民政府网站下载询比文件。</w:t>
      </w:r>
    </w:p>
    <w:p w14:paraId="1B408170">
      <w:pPr>
        <w:widowControl/>
        <w:spacing w:line="360" w:lineRule="auto"/>
        <w:ind w:firstLine="480" w:firstLineChars="200"/>
        <w:rPr>
          <w:rFonts w:hint="eastAsia" w:ascii="宋体" w:hAnsi="宋体" w:eastAsia="宋体" w:cs="宋体"/>
          <w:caps w:val="0"/>
          <w:sz w:val="24"/>
          <w:szCs w:val="24"/>
          <w:highlight w:val="none"/>
        </w:rPr>
      </w:pPr>
      <w:r>
        <w:rPr>
          <w:rFonts w:hint="eastAsia" w:ascii="宋体" w:hAnsi="宋体" w:eastAsia="宋体" w:cs="宋体"/>
          <w:caps w:val="0"/>
          <w:sz w:val="24"/>
          <w:szCs w:val="24"/>
          <w:highlight w:val="none"/>
        </w:rPr>
        <w:t>2.询比公告发布时间</w:t>
      </w:r>
    </w:p>
    <w:p w14:paraId="6E5AC059">
      <w:pPr>
        <w:widowControl/>
        <w:spacing w:line="360" w:lineRule="auto"/>
        <w:ind w:firstLine="480" w:firstLineChars="200"/>
        <w:rPr>
          <w:rFonts w:hint="eastAsia" w:ascii="宋体" w:hAnsi="宋体" w:eastAsia="宋体" w:cs="宋体"/>
          <w:caps w:val="0"/>
          <w:sz w:val="24"/>
          <w:szCs w:val="24"/>
          <w:highlight w:val="none"/>
        </w:rPr>
      </w:pPr>
      <w:r>
        <w:rPr>
          <w:rFonts w:hint="eastAsia" w:ascii="宋体" w:hAnsi="宋体" w:eastAsia="宋体" w:cs="宋体"/>
          <w:caps w:val="0"/>
          <w:sz w:val="24"/>
          <w:szCs w:val="24"/>
          <w:highlight w:val="none"/>
        </w:rPr>
        <w:t>发布询比公告开始日期（含本日）为：</w:t>
      </w:r>
      <w:r>
        <w:rPr>
          <w:rFonts w:hint="eastAsia" w:ascii="宋体" w:hAnsi="宋体" w:eastAsia="宋体" w:cs="宋体"/>
          <w:caps w:val="0"/>
          <w:sz w:val="24"/>
          <w:szCs w:val="24"/>
          <w:highlight w:val="none"/>
          <w:lang w:eastAsia="zh-CN"/>
        </w:rPr>
        <w:t>2026年</w:t>
      </w:r>
      <w:r>
        <w:rPr>
          <w:rFonts w:hint="eastAsia" w:ascii="宋体" w:hAnsi="宋体" w:eastAsia="宋体" w:cs="宋体"/>
          <w:caps w:val="0"/>
          <w:sz w:val="24"/>
          <w:szCs w:val="24"/>
          <w:highlight w:val="none"/>
          <w:u w:val="single"/>
          <w:lang w:val="en-US" w:eastAsia="zh-CN"/>
        </w:rPr>
        <w:t>4</w:t>
      </w:r>
      <w:r>
        <w:rPr>
          <w:rFonts w:hint="eastAsia" w:ascii="宋体" w:hAnsi="宋体" w:eastAsia="宋体" w:cs="宋体"/>
          <w:caps w:val="0"/>
          <w:sz w:val="24"/>
          <w:szCs w:val="24"/>
          <w:highlight w:val="none"/>
        </w:rPr>
        <w:t>月</w:t>
      </w:r>
      <w:r>
        <w:rPr>
          <w:rFonts w:hint="eastAsia" w:ascii="宋体" w:hAnsi="宋体" w:eastAsia="宋体" w:cs="宋体"/>
          <w:caps w:val="0"/>
          <w:sz w:val="24"/>
          <w:szCs w:val="24"/>
          <w:highlight w:val="none"/>
          <w:u w:val="single"/>
          <w:lang w:val="en-US" w:eastAsia="zh-CN"/>
        </w:rPr>
        <w:t>15</w:t>
      </w:r>
      <w:r>
        <w:rPr>
          <w:rFonts w:hint="eastAsia" w:ascii="宋体" w:hAnsi="宋体" w:eastAsia="宋体" w:cs="宋体"/>
          <w:caps w:val="0"/>
          <w:sz w:val="24"/>
          <w:szCs w:val="24"/>
          <w:highlight w:val="none"/>
        </w:rPr>
        <w:t>日；</w:t>
      </w:r>
    </w:p>
    <w:p w14:paraId="115AD030">
      <w:pPr>
        <w:widowControl/>
        <w:spacing w:line="360" w:lineRule="auto"/>
        <w:ind w:firstLine="480" w:firstLineChars="200"/>
        <w:rPr>
          <w:rFonts w:hint="eastAsia" w:ascii="宋体" w:hAnsi="宋体" w:eastAsia="宋体" w:cs="宋体"/>
          <w:caps w:val="0"/>
          <w:sz w:val="24"/>
          <w:szCs w:val="24"/>
          <w:highlight w:val="none"/>
        </w:rPr>
      </w:pPr>
      <w:r>
        <w:rPr>
          <w:rFonts w:hint="eastAsia" w:ascii="宋体" w:hAnsi="宋体" w:eastAsia="宋体" w:cs="宋体"/>
          <w:caps w:val="0"/>
          <w:sz w:val="24"/>
          <w:szCs w:val="24"/>
          <w:highlight w:val="none"/>
        </w:rPr>
        <w:t>发布询比公告截止日期（含本日）为：</w:t>
      </w:r>
      <w:r>
        <w:rPr>
          <w:rFonts w:hint="eastAsia" w:ascii="宋体" w:hAnsi="宋体" w:eastAsia="宋体" w:cs="宋体"/>
          <w:caps w:val="0"/>
          <w:sz w:val="24"/>
          <w:szCs w:val="24"/>
          <w:highlight w:val="none"/>
          <w:lang w:eastAsia="zh-CN"/>
        </w:rPr>
        <w:t>2026年</w:t>
      </w:r>
      <w:r>
        <w:rPr>
          <w:rFonts w:hint="eastAsia" w:ascii="宋体" w:hAnsi="宋体" w:eastAsia="宋体" w:cs="宋体"/>
          <w:caps w:val="0"/>
          <w:sz w:val="24"/>
          <w:szCs w:val="24"/>
          <w:highlight w:val="none"/>
          <w:u w:val="single"/>
          <w:lang w:val="en-US" w:eastAsia="zh-CN"/>
        </w:rPr>
        <w:t>4</w:t>
      </w:r>
      <w:r>
        <w:rPr>
          <w:rFonts w:hint="eastAsia" w:ascii="宋体" w:hAnsi="宋体" w:eastAsia="宋体" w:cs="宋体"/>
          <w:caps w:val="0"/>
          <w:sz w:val="24"/>
          <w:szCs w:val="24"/>
          <w:highlight w:val="none"/>
        </w:rPr>
        <w:t>月</w:t>
      </w:r>
      <w:r>
        <w:rPr>
          <w:rFonts w:hint="eastAsia" w:ascii="宋体" w:hAnsi="宋体" w:eastAsia="宋体" w:cs="宋体"/>
          <w:caps w:val="0"/>
          <w:sz w:val="24"/>
          <w:szCs w:val="24"/>
          <w:highlight w:val="none"/>
          <w:u w:val="single"/>
          <w:lang w:val="en-US" w:eastAsia="zh-CN"/>
        </w:rPr>
        <w:t>19</w:t>
      </w:r>
      <w:r>
        <w:rPr>
          <w:rFonts w:hint="eastAsia" w:ascii="宋体" w:hAnsi="宋体" w:eastAsia="宋体" w:cs="宋体"/>
          <w:caps w:val="0"/>
          <w:sz w:val="24"/>
          <w:szCs w:val="24"/>
          <w:highlight w:val="none"/>
        </w:rPr>
        <w:t>日。</w:t>
      </w:r>
    </w:p>
    <w:p w14:paraId="16F96829">
      <w:pPr>
        <w:adjustRightInd w:val="0"/>
        <w:snapToGrid w:val="0"/>
        <w:spacing w:line="360" w:lineRule="auto"/>
        <w:rPr>
          <w:rFonts w:hint="eastAsia" w:ascii="宋体" w:hAnsi="宋体" w:eastAsia="宋体" w:cs="宋体"/>
          <w:b/>
          <w:bCs/>
          <w:caps w:val="0"/>
          <w:sz w:val="24"/>
          <w:szCs w:val="24"/>
          <w:highlight w:val="none"/>
        </w:rPr>
      </w:pPr>
      <w:r>
        <w:rPr>
          <w:rFonts w:hint="eastAsia" w:ascii="宋体" w:hAnsi="宋体" w:eastAsia="宋体" w:cs="宋体"/>
          <w:b/>
          <w:bCs/>
          <w:caps w:val="0"/>
          <w:sz w:val="24"/>
          <w:szCs w:val="24"/>
          <w:highlight w:val="none"/>
          <w:lang w:val="en-US" w:eastAsia="zh-CN"/>
        </w:rPr>
        <w:t>七</w:t>
      </w:r>
      <w:r>
        <w:rPr>
          <w:rFonts w:hint="eastAsia" w:ascii="宋体" w:hAnsi="宋体" w:eastAsia="宋体" w:cs="宋体"/>
          <w:b/>
          <w:bCs/>
          <w:caps w:val="0"/>
          <w:sz w:val="24"/>
          <w:szCs w:val="24"/>
          <w:highlight w:val="none"/>
        </w:rPr>
        <w:t>、报价文件的递交时间和递交地点：</w:t>
      </w:r>
    </w:p>
    <w:p w14:paraId="77B6BEA1">
      <w:pPr>
        <w:spacing w:line="360" w:lineRule="auto"/>
        <w:ind w:firstLine="480" w:firstLineChars="200"/>
        <w:textAlignment w:val="top"/>
        <w:rPr>
          <w:rFonts w:hint="eastAsia" w:ascii="宋体" w:hAnsi="宋体" w:eastAsia="宋体" w:cs="宋体"/>
          <w:caps w:val="0"/>
          <w:color w:val="000000"/>
          <w:sz w:val="24"/>
          <w:szCs w:val="24"/>
          <w:highlight w:val="none"/>
        </w:rPr>
      </w:pPr>
      <w:r>
        <w:rPr>
          <w:rFonts w:hint="eastAsia" w:ascii="宋体" w:hAnsi="宋体" w:eastAsia="宋体" w:cs="宋体"/>
          <w:caps w:val="0"/>
          <w:color w:val="000000"/>
          <w:sz w:val="24"/>
          <w:szCs w:val="24"/>
          <w:highlight w:val="none"/>
          <w:lang w:val="en-US" w:eastAsia="zh-CN"/>
        </w:rPr>
        <w:t>1.</w:t>
      </w:r>
      <w:r>
        <w:rPr>
          <w:rFonts w:hint="eastAsia" w:ascii="宋体" w:hAnsi="宋体" w:eastAsia="宋体" w:cs="宋体"/>
          <w:caps w:val="0"/>
          <w:color w:val="000000"/>
          <w:sz w:val="24"/>
          <w:szCs w:val="24"/>
          <w:highlight w:val="none"/>
        </w:rPr>
        <w:t>由报价意向人的法定代表人或授权代表</w:t>
      </w:r>
      <w:r>
        <w:rPr>
          <w:rFonts w:hint="eastAsia" w:ascii="宋体" w:hAnsi="宋体" w:eastAsia="宋体" w:cs="宋体"/>
          <w:b/>
          <w:bCs/>
          <w:caps w:val="0"/>
          <w:color w:val="000000"/>
          <w:sz w:val="24"/>
          <w:szCs w:val="24"/>
          <w:highlight w:val="none"/>
        </w:rPr>
        <w:t>手持法定代表人证明书、授权委托书</w:t>
      </w:r>
      <w:r>
        <w:rPr>
          <w:rFonts w:hint="eastAsia" w:ascii="宋体" w:hAnsi="宋体" w:eastAsia="宋体" w:cs="宋体"/>
          <w:b/>
          <w:bCs/>
          <w:caps w:val="0"/>
          <w:color w:val="000000"/>
          <w:sz w:val="24"/>
          <w:szCs w:val="24"/>
          <w:highlight w:val="none"/>
          <w:lang w:eastAsia="zh-CN"/>
        </w:rPr>
        <w:t>（</w:t>
      </w:r>
      <w:r>
        <w:rPr>
          <w:rFonts w:hint="eastAsia" w:ascii="宋体" w:hAnsi="宋体" w:eastAsia="宋体" w:cs="宋体"/>
          <w:b/>
          <w:bCs/>
          <w:caps w:val="0"/>
          <w:color w:val="000000"/>
          <w:sz w:val="24"/>
          <w:szCs w:val="24"/>
          <w:highlight w:val="none"/>
          <w:lang w:val="en-US" w:eastAsia="zh-CN"/>
        </w:rPr>
        <w:t>如有）、联合体共同报价协议书（如有）</w:t>
      </w:r>
      <w:r>
        <w:rPr>
          <w:rFonts w:hint="eastAsia" w:ascii="宋体" w:hAnsi="宋体" w:eastAsia="宋体" w:cs="宋体"/>
          <w:b/>
          <w:bCs/>
          <w:caps w:val="0"/>
          <w:color w:val="000000"/>
          <w:sz w:val="24"/>
          <w:szCs w:val="24"/>
          <w:highlight w:val="none"/>
        </w:rPr>
        <w:t>及身份证原件</w:t>
      </w:r>
      <w:r>
        <w:rPr>
          <w:rFonts w:hint="eastAsia" w:ascii="宋体" w:hAnsi="宋体" w:eastAsia="宋体" w:cs="宋体"/>
          <w:caps w:val="0"/>
          <w:color w:val="000000"/>
          <w:sz w:val="24"/>
          <w:szCs w:val="24"/>
          <w:highlight w:val="none"/>
        </w:rPr>
        <w:t>在</w:t>
      </w:r>
      <w:r>
        <w:rPr>
          <w:rFonts w:hint="eastAsia" w:ascii="宋体" w:hAnsi="宋体" w:eastAsia="宋体" w:cs="宋体"/>
          <w:caps w:val="0"/>
          <w:color w:val="000000"/>
          <w:sz w:val="24"/>
          <w:szCs w:val="24"/>
          <w:highlight w:val="none"/>
          <w:u w:val="single"/>
          <w:lang w:eastAsia="zh-CN"/>
        </w:rPr>
        <w:t>2026</w:t>
      </w:r>
      <w:r>
        <w:rPr>
          <w:rFonts w:hint="eastAsia" w:ascii="宋体" w:hAnsi="宋体" w:eastAsia="宋体" w:cs="宋体"/>
          <w:caps w:val="0"/>
          <w:color w:val="000000"/>
          <w:sz w:val="24"/>
          <w:szCs w:val="24"/>
          <w:highlight w:val="none"/>
        </w:rPr>
        <w:t>年</w:t>
      </w:r>
      <w:r>
        <w:rPr>
          <w:rFonts w:hint="eastAsia" w:ascii="宋体" w:hAnsi="宋体" w:eastAsia="宋体" w:cs="宋体"/>
          <w:caps w:val="0"/>
          <w:color w:val="000000"/>
          <w:sz w:val="24"/>
          <w:szCs w:val="24"/>
          <w:highlight w:val="none"/>
          <w:u w:val="single"/>
          <w:lang w:val="en-US" w:eastAsia="zh-CN"/>
        </w:rPr>
        <w:t>4</w:t>
      </w:r>
      <w:r>
        <w:rPr>
          <w:rFonts w:hint="eastAsia" w:ascii="宋体" w:hAnsi="宋体" w:eastAsia="宋体" w:cs="宋体"/>
          <w:caps w:val="0"/>
          <w:color w:val="000000"/>
          <w:sz w:val="24"/>
          <w:szCs w:val="24"/>
          <w:highlight w:val="none"/>
        </w:rPr>
        <w:t>月</w:t>
      </w:r>
      <w:r>
        <w:rPr>
          <w:rFonts w:hint="eastAsia" w:ascii="宋体" w:hAnsi="宋体" w:eastAsia="宋体" w:cs="宋体"/>
          <w:caps w:val="0"/>
          <w:color w:val="000000"/>
          <w:sz w:val="24"/>
          <w:szCs w:val="24"/>
          <w:highlight w:val="none"/>
          <w:u w:val="single"/>
          <w:lang w:val="en-US" w:eastAsia="zh-CN"/>
        </w:rPr>
        <w:t>20</w:t>
      </w:r>
      <w:r>
        <w:rPr>
          <w:rFonts w:hint="eastAsia" w:ascii="宋体" w:hAnsi="宋体" w:eastAsia="宋体" w:cs="宋体"/>
          <w:caps w:val="0"/>
          <w:color w:val="000000"/>
          <w:sz w:val="24"/>
          <w:szCs w:val="24"/>
          <w:highlight w:val="none"/>
        </w:rPr>
        <w:t>日</w:t>
      </w:r>
      <w:r>
        <w:rPr>
          <w:rFonts w:hint="eastAsia" w:ascii="宋体" w:hAnsi="宋体" w:eastAsia="宋体" w:cs="宋体"/>
          <w:caps w:val="0"/>
          <w:color w:val="000000"/>
          <w:kern w:val="0"/>
          <w:sz w:val="24"/>
          <w:highlight w:val="none"/>
        </w:rPr>
        <w:t>上午</w:t>
      </w:r>
      <w:r>
        <w:rPr>
          <w:rFonts w:hint="eastAsia" w:ascii="宋体" w:hAnsi="宋体" w:eastAsia="宋体" w:cs="宋体"/>
          <w:caps w:val="0"/>
          <w:color w:val="000000"/>
          <w:kern w:val="0"/>
          <w:sz w:val="24"/>
          <w:highlight w:val="none"/>
          <w:u w:val="single"/>
        </w:rPr>
        <w:t xml:space="preserve"> 9:30—11:30 </w:t>
      </w:r>
      <w:r>
        <w:rPr>
          <w:rFonts w:hint="eastAsia" w:ascii="宋体" w:hAnsi="宋体" w:eastAsia="宋体" w:cs="宋体"/>
          <w:caps w:val="0"/>
          <w:color w:val="000000"/>
          <w:sz w:val="24"/>
          <w:szCs w:val="24"/>
          <w:highlight w:val="none"/>
        </w:rPr>
        <w:t>递交至</w:t>
      </w:r>
      <w:r>
        <w:rPr>
          <w:rFonts w:hint="eastAsia" w:ascii="宋体" w:hAnsi="宋体" w:eastAsia="宋体" w:cs="宋体"/>
          <w:caps w:val="0"/>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lang w:val="en-US" w:eastAsia="zh-CN"/>
        </w:rPr>
        <w:t>广州市荔湾区信义路21号701办公室</w:t>
      </w:r>
      <w:r>
        <w:rPr>
          <w:rFonts w:hint="eastAsia" w:ascii="宋体" w:hAnsi="宋体" w:eastAsia="宋体" w:cs="宋体"/>
          <w:caps w:val="0"/>
          <w:color w:val="000000"/>
          <w:sz w:val="24"/>
          <w:szCs w:val="24"/>
          <w:highlight w:val="none"/>
          <w:u w:val="single"/>
          <w:lang w:val="en-US" w:eastAsia="zh-CN"/>
        </w:rPr>
        <w:t xml:space="preserve"> </w:t>
      </w:r>
      <w:r>
        <w:rPr>
          <w:rFonts w:hint="eastAsia" w:ascii="宋体" w:hAnsi="宋体" w:eastAsia="宋体" w:cs="宋体"/>
          <w:caps w:val="0"/>
          <w:color w:val="000000"/>
          <w:sz w:val="24"/>
          <w:szCs w:val="24"/>
          <w:highlight w:val="none"/>
        </w:rPr>
        <w:t>，逾期恕不受理。</w:t>
      </w:r>
    </w:p>
    <w:p w14:paraId="3A09E595">
      <w:pPr>
        <w:adjustRightInd w:val="0"/>
        <w:snapToGrid w:val="0"/>
        <w:spacing w:line="360" w:lineRule="auto"/>
        <w:rPr>
          <w:rFonts w:hint="default" w:ascii="Times New Roman" w:hAnsi="Times New Roman" w:eastAsia="宋体" w:cs="Times New Roman"/>
          <w:b/>
          <w:bCs/>
          <w:caps w:val="0"/>
          <w:color w:val="000000" w:themeColor="text1"/>
          <w:sz w:val="24"/>
          <w:highlight w:val="none"/>
          <w14:textFill>
            <w14:solidFill>
              <w14:schemeClr w14:val="tx1"/>
            </w14:solidFill>
          </w14:textFill>
        </w:rPr>
      </w:pPr>
      <w:r>
        <w:rPr>
          <w:rFonts w:hint="default" w:ascii="Times New Roman" w:hAnsi="Times New Roman" w:eastAsia="宋体" w:cs="Times New Roman"/>
          <w:b/>
          <w:bCs/>
          <w:caps w:val="0"/>
          <w:color w:val="000000" w:themeColor="text1"/>
          <w:sz w:val="24"/>
          <w:highlight w:val="none"/>
          <w:lang w:val="en-US" w:eastAsia="zh-CN"/>
          <w14:textFill>
            <w14:solidFill>
              <w14:schemeClr w14:val="tx1"/>
            </w14:solidFill>
          </w14:textFill>
        </w:rPr>
        <w:t>八</w:t>
      </w:r>
      <w:r>
        <w:rPr>
          <w:rFonts w:hint="default" w:ascii="Times New Roman" w:hAnsi="Times New Roman" w:eastAsia="宋体" w:cs="Times New Roman"/>
          <w:b/>
          <w:bCs/>
          <w:caps w:val="0"/>
          <w:color w:val="000000" w:themeColor="text1"/>
          <w:sz w:val="24"/>
          <w:highlight w:val="none"/>
          <w14:textFill>
            <w14:solidFill>
              <w14:schemeClr w14:val="tx1"/>
            </w14:solidFill>
          </w14:textFill>
        </w:rPr>
        <w:t>、询比人不承担报价人参加本次报价活动所发生的任何费用。询比人因故取消或中止询比活动，报价人无条件服从，因报价活动产生的费用报价人自行负责。</w:t>
      </w:r>
    </w:p>
    <w:p w14:paraId="38D8B6A6">
      <w:pPr>
        <w:spacing w:line="360" w:lineRule="auto"/>
        <w:rPr>
          <w:rFonts w:hint="default" w:ascii="Times New Roman" w:hAnsi="Times New Roman" w:eastAsia="宋体" w:cs="Times New Roman"/>
          <w:b/>
          <w:bCs/>
          <w:caps w:val="0"/>
          <w:color w:val="000000" w:themeColor="text1"/>
          <w:sz w:val="24"/>
          <w:highlight w:val="none"/>
          <w14:textFill>
            <w14:solidFill>
              <w14:schemeClr w14:val="tx1"/>
            </w14:solidFill>
          </w14:textFill>
        </w:rPr>
      </w:pPr>
      <w:r>
        <w:rPr>
          <w:rFonts w:hint="default" w:ascii="Times New Roman" w:hAnsi="Times New Roman" w:eastAsia="宋体" w:cs="Times New Roman"/>
          <w:b/>
          <w:bCs/>
          <w:caps w:val="0"/>
          <w:color w:val="000000" w:themeColor="text1"/>
          <w:sz w:val="24"/>
          <w:highlight w:val="none"/>
          <w:lang w:val="en-US" w:eastAsia="zh-CN"/>
          <w14:textFill>
            <w14:solidFill>
              <w14:schemeClr w14:val="tx1"/>
            </w14:solidFill>
          </w14:textFill>
        </w:rPr>
        <w:t>九</w:t>
      </w:r>
      <w:r>
        <w:rPr>
          <w:rFonts w:hint="default" w:ascii="Times New Roman" w:hAnsi="Times New Roman" w:eastAsia="宋体" w:cs="Times New Roman"/>
          <w:b/>
          <w:bCs/>
          <w:caps w:val="0"/>
          <w:color w:val="000000" w:themeColor="text1"/>
          <w:sz w:val="24"/>
          <w:highlight w:val="none"/>
          <w14:textFill>
            <w14:solidFill>
              <w14:schemeClr w14:val="tx1"/>
            </w14:solidFill>
          </w14:textFill>
        </w:rPr>
        <w:t>、询比人将在广州市荔湾区人民政府网上发布</w:t>
      </w:r>
      <w:r>
        <w:rPr>
          <w:rFonts w:hint="default" w:ascii="Times New Roman" w:hAnsi="Times New Roman" w:eastAsia="宋体" w:cs="Times New Roman"/>
          <w:b/>
          <w:bCs/>
          <w:caps w:val="0"/>
          <w:color w:val="000000" w:themeColor="text1"/>
          <w:sz w:val="24"/>
          <w:highlight w:val="none"/>
          <w:lang w:val="en-US" w:eastAsia="zh-CN"/>
          <w14:textFill>
            <w14:solidFill>
              <w14:schemeClr w14:val="tx1"/>
            </w14:solidFill>
          </w14:textFill>
        </w:rPr>
        <w:t>询比结果公示</w:t>
      </w:r>
      <w:r>
        <w:rPr>
          <w:rFonts w:hint="default" w:ascii="Times New Roman" w:hAnsi="Times New Roman" w:eastAsia="宋体" w:cs="Times New Roman"/>
          <w:b/>
          <w:bCs/>
          <w:caps w:val="0"/>
          <w:color w:val="000000" w:themeColor="text1"/>
          <w:sz w:val="24"/>
          <w:highlight w:val="none"/>
          <w14:textFill>
            <w14:solidFill>
              <w14:schemeClr w14:val="tx1"/>
            </w14:solidFill>
          </w14:textFill>
        </w:rPr>
        <w:t>，</w:t>
      </w:r>
      <w:r>
        <w:rPr>
          <w:rFonts w:hint="default" w:ascii="Times New Roman" w:hAnsi="Times New Roman" w:eastAsia="宋体" w:cs="Times New Roman"/>
          <w:b/>
          <w:bCs/>
          <w:caps w:val="0"/>
          <w:color w:val="000000" w:themeColor="text1"/>
          <w:sz w:val="24"/>
          <w:highlight w:val="none"/>
          <w:lang w:val="en-US" w:eastAsia="zh-CN"/>
          <w14:textFill>
            <w14:solidFill>
              <w14:schemeClr w14:val="tx1"/>
            </w14:solidFill>
          </w14:textFill>
        </w:rPr>
        <w:t>时间不少于2个工作日</w:t>
      </w:r>
      <w:r>
        <w:rPr>
          <w:rFonts w:hint="default" w:ascii="Times New Roman" w:hAnsi="Times New Roman" w:eastAsia="宋体" w:cs="Times New Roman"/>
          <w:b/>
          <w:bCs/>
          <w:caps w:val="0"/>
          <w:color w:val="000000" w:themeColor="text1"/>
          <w:sz w:val="24"/>
          <w:highlight w:val="none"/>
          <w14:textFill>
            <w14:solidFill>
              <w14:schemeClr w14:val="tx1"/>
            </w14:solidFill>
          </w14:textFill>
        </w:rPr>
        <w:t>。</w:t>
      </w:r>
    </w:p>
    <w:p w14:paraId="0C12067E">
      <w:pPr>
        <w:spacing w:line="360" w:lineRule="auto"/>
        <w:rPr>
          <w:rFonts w:hint="default" w:ascii="Times New Roman" w:hAnsi="Times New Roman" w:eastAsia="宋体" w:cs="Times New Roman"/>
          <w:b/>
          <w:bCs/>
          <w:caps w:val="0"/>
          <w:color w:val="000000" w:themeColor="text1"/>
          <w:sz w:val="24"/>
          <w:highlight w:val="none"/>
          <w14:textFill>
            <w14:solidFill>
              <w14:schemeClr w14:val="tx1"/>
            </w14:solidFill>
          </w14:textFill>
        </w:rPr>
      </w:pPr>
      <w:r>
        <w:rPr>
          <w:rFonts w:hint="default" w:ascii="Times New Roman" w:hAnsi="Times New Roman" w:eastAsia="宋体" w:cs="Times New Roman"/>
          <w:b/>
          <w:bCs/>
          <w:caps w:val="0"/>
          <w:color w:val="000000" w:themeColor="text1"/>
          <w:sz w:val="24"/>
          <w:highlight w:val="none"/>
          <w14:textFill>
            <w14:solidFill>
              <w14:schemeClr w14:val="tx1"/>
            </w14:solidFill>
          </w14:textFill>
        </w:rPr>
        <w:t>十</w:t>
      </w:r>
      <w:r>
        <w:rPr>
          <w:rFonts w:hint="default" w:ascii="Times New Roman" w:hAnsi="Times New Roman" w:eastAsia="宋体" w:cs="Times New Roman"/>
          <w:b/>
          <w:bCs/>
          <w:caps w:val="0"/>
          <w:color w:val="000000" w:themeColor="text1"/>
          <w:sz w:val="24"/>
          <w:highlight w:val="none"/>
          <w:lang w:eastAsia="zh-CN"/>
          <w14:textFill>
            <w14:solidFill>
              <w14:schemeClr w14:val="tx1"/>
            </w14:solidFill>
          </w14:textFill>
        </w:rPr>
        <w:t>、广州市荔湾区建设工程项目代建中心</w:t>
      </w:r>
      <w:r>
        <w:rPr>
          <w:rFonts w:hint="default" w:ascii="Times New Roman" w:hAnsi="Times New Roman" w:eastAsia="宋体" w:cs="Times New Roman"/>
          <w:b/>
          <w:bCs/>
          <w:caps w:val="0"/>
          <w:color w:val="000000" w:themeColor="text1"/>
          <w:sz w:val="24"/>
          <w:highlight w:val="none"/>
          <w14:textFill>
            <w14:solidFill>
              <w14:schemeClr w14:val="tx1"/>
            </w14:solidFill>
          </w14:textFill>
        </w:rPr>
        <w:t>对公告及询比文件有最终解释权。</w:t>
      </w:r>
    </w:p>
    <w:p w14:paraId="7D2846C3">
      <w:pPr>
        <w:spacing w:line="360" w:lineRule="auto"/>
        <w:rPr>
          <w:rFonts w:hint="default" w:ascii="Times New Roman" w:hAnsi="Times New Roman" w:eastAsia="宋体" w:cs="Times New Roman"/>
          <w:b/>
          <w:bCs/>
          <w:caps w:val="0"/>
          <w:color w:val="000000" w:themeColor="text1"/>
          <w:sz w:val="24"/>
          <w:highlight w:val="none"/>
          <w14:textFill>
            <w14:solidFill>
              <w14:schemeClr w14:val="tx1"/>
            </w14:solidFill>
          </w14:textFill>
        </w:rPr>
      </w:pPr>
      <w:r>
        <w:rPr>
          <w:rFonts w:hint="default" w:ascii="Times New Roman" w:hAnsi="Times New Roman" w:eastAsia="宋体" w:cs="Times New Roman"/>
          <w:b/>
          <w:bCs/>
          <w:caps w:val="0"/>
          <w:color w:val="000000" w:themeColor="text1"/>
          <w:sz w:val="24"/>
          <w:highlight w:val="none"/>
          <w14:textFill>
            <w14:solidFill>
              <w14:schemeClr w14:val="tx1"/>
            </w14:solidFill>
          </w14:textFill>
        </w:rPr>
        <w:t>十</w:t>
      </w:r>
      <w:r>
        <w:rPr>
          <w:rFonts w:hint="default" w:ascii="Times New Roman" w:hAnsi="Times New Roman" w:eastAsia="宋体" w:cs="Times New Roman"/>
          <w:b/>
          <w:bCs/>
          <w:caps w:val="0"/>
          <w:color w:val="000000" w:themeColor="text1"/>
          <w:sz w:val="24"/>
          <w:highlight w:val="none"/>
          <w:lang w:val="en-US" w:eastAsia="zh-CN"/>
          <w14:textFill>
            <w14:solidFill>
              <w14:schemeClr w14:val="tx1"/>
            </w14:solidFill>
          </w14:textFill>
        </w:rPr>
        <w:t>一</w:t>
      </w:r>
      <w:r>
        <w:rPr>
          <w:rFonts w:hint="default" w:ascii="Times New Roman" w:hAnsi="Times New Roman" w:eastAsia="宋体" w:cs="Times New Roman"/>
          <w:b/>
          <w:bCs/>
          <w:caps w:val="0"/>
          <w:color w:val="000000" w:themeColor="text1"/>
          <w:sz w:val="24"/>
          <w:highlight w:val="none"/>
          <w:lang w:eastAsia="zh-CN"/>
          <w14:textFill>
            <w14:solidFill>
              <w14:schemeClr w14:val="tx1"/>
            </w14:solidFill>
          </w14:textFill>
        </w:rPr>
        <w:t>、</w:t>
      </w:r>
      <w:r>
        <w:rPr>
          <w:rFonts w:hint="default" w:ascii="Times New Roman" w:hAnsi="Times New Roman" w:eastAsia="宋体" w:cs="Times New Roman"/>
          <w:b/>
          <w:bCs/>
          <w:caps w:val="0"/>
          <w:color w:val="000000" w:themeColor="text1"/>
          <w:sz w:val="24"/>
          <w:highlight w:val="none"/>
          <w14:textFill>
            <w14:solidFill>
              <w14:schemeClr w14:val="tx1"/>
            </w14:solidFill>
          </w14:textFill>
        </w:rPr>
        <w:t>联系方式：</w:t>
      </w:r>
    </w:p>
    <w:p w14:paraId="09E2374B">
      <w:pPr>
        <w:spacing w:line="360" w:lineRule="auto"/>
        <w:ind w:firstLine="480" w:firstLineChars="200"/>
        <w:jc w:val="left"/>
        <w:textAlignment w:val="top"/>
        <w:rPr>
          <w:rFonts w:hint="default" w:ascii="Times New Roman" w:hAnsi="Times New Roman" w:eastAsia="宋体" w:cs="Times New Roman"/>
          <w:caps w:val="0"/>
          <w:color w:val="000000" w:themeColor="text1"/>
          <w:kern w:val="0"/>
          <w:sz w:val="24"/>
          <w:highlight w:val="none"/>
          <w:lang w:eastAsia="zh-CN"/>
          <w14:textFill>
            <w14:solidFill>
              <w14:schemeClr w14:val="tx1"/>
            </w14:solidFill>
          </w14:textFill>
        </w:rPr>
      </w:pPr>
      <w:r>
        <w:rPr>
          <w:rFonts w:hint="default" w:ascii="Times New Roman" w:hAnsi="Times New Roman" w:eastAsia="宋体" w:cs="Times New Roman"/>
          <w:caps w:val="0"/>
          <w:color w:val="000000" w:themeColor="text1"/>
          <w:kern w:val="0"/>
          <w:sz w:val="24"/>
          <w:highlight w:val="none"/>
          <w14:textFill>
            <w14:solidFill>
              <w14:schemeClr w14:val="tx1"/>
            </w14:solidFill>
          </w14:textFill>
        </w:rPr>
        <w:t>询比单位：</w:t>
      </w:r>
      <w:r>
        <w:rPr>
          <w:rFonts w:hint="default" w:ascii="Times New Roman" w:hAnsi="Times New Roman" w:eastAsia="宋体" w:cs="Times New Roman"/>
          <w:caps w:val="0"/>
          <w:color w:val="000000" w:themeColor="text1"/>
          <w:kern w:val="0"/>
          <w:sz w:val="24"/>
          <w:highlight w:val="none"/>
          <w:u w:val="single"/>
          <w:lang w:eastAsia="zh-CN"/>
          <w14:textFill>
            <w14:solidFill>
              <w14:schemeClr w14:val="tx1"/>
            </w14:solidFill>
          </w14:textFill>
        </w:rPr>
        <w:t>广州市荔湾区建设工程项目代建中心</w:t>
      </w:r>
    </w:p>
    <w:p w14:paraId="5764FCBF">
      <w:pPr>
        <w:spacing w:line="360" w:lineRule="auto"/>
        <w:ind w:firstLine="480" w:firstLineChars="200"/>
        <w:jc w:val="left"/>
        <w:textAlignment w:val="top"/>
        <w:rPr>
          <w:rFonts w:hint="default" w:ascii="Times New Roman" w:hAnsi="Times New Roman" w:eastAsia="宋体" w:cs="Times New Roman"/>
          <w:caps w:val="0"/>
          <w:color w:val="000000" w:themeColor="text1"/>
          <w:kern w:val="0"/>
          <w:sz w:val="24"/>
          <w:highlight w:val="none"/>
          <w:u w:val="single"/>
          <w:lang w:val="en-US" w:eastAsia="zh-CN"/>
          <w14:textFill>
            <w14:solidFill>
              <w14:schemeClr w14:val="tx1"/>
            </w14:solidFill>
          </w14:textFill>
        </w:rPr>
      </w:pPr>
      <w:r>
        <w:rPr>
          <w:rFonts w:hint="default" w:ascii="Times New Roman" w:hAnsi="Times New Roman" w:eastAsia="宋体" w:cs="Times New Roman"/>
          <w:caps w:val="0"/>
          <w:color w:val="000000" w:themeColor="text1"/>
          <w:kern w:val="0"/>
          <w:sz w:val="24"/>
          <w:highlight w:val="none"/>
          <w14:textFill>
            <w14:solidFill>
              <w14:schemeClr w14:val="tx1"/>
            </w14:solidFill>
          </w14:textFill>
        </w:rPr>
        <w:t>联系人：</w:t>
      </w:r>
      <w:r>
        <w:rPr>
          <w:rFonts w:hint="default" w:ascii="Times New Roman" w:hAnsi="Times New Roman" w:eastAsia="宋体" w:cs="Times New Roman"/>
          <w:caps w:val="0"/>
          <w:color w:val="000000" w:themeColor="text1"/>
          <w:kern w:val="0"/>
          <w:sz w:val="24"/>
          <w:highlight w:val="none"/>
          <w:lang w:val="en-US" w:eastAsia="zh-CN"/>
          <w14:textFill>
            <w14:solidFill>
              <w14:schemeClr w14:val="tx1"/>
            </w14:solidFill>
          </w14:textFill>
        </w:rPr>
        <w:t xml:space="preserve"> </w:t>
      </w:r>
      <w:r>
        <w:rPr>
          <w:rFonts w:hint="default" w:ascii="Times New Roman" w:hAnsi="Times New Roman" w:eastAsia="宋体" w:cs="Times New Roman"/>
          <w:caps w:val="0"/>
          <w:color w:val="000000" w:themeColor="text1"/>
          <w:kern w:val="0"/>
          <w:sz w:val="24"/>
          <w:highlight w:val="none"/>
          <w:u w:val="single"/>
          <w:lang w:val="en-US" w:eastAsia="zh-CN"/>
          <w14:textFill>
            <w14:solidFill>
              <w14:schemeClr w14:val="tx1"/>
            </w14:solidFill>
          </w14:textFill>
        </w:rPr>
        <w:t>梁子亮</w:t>
      </w:r>
    </w:p>
    <w:p w14:paraId="5B03B181">
      <w:pPr>
        <w:spacing w:line="360" w:lineRule="auto"/>
        <w:ind w:firstLine="480" w:firstLineChars="200"/>
        <w:jc w:val="left"/>
        <w:textAlignment w:val="top"/>
        <w:rPr>
          <w:rFonts w:hint="default" w:ascii="Times New Roman" w:hAnsi="Times New Roman" w:eastAsia="宋体" w:cs="Times New Roman"/>
          <w:caps w:val="0"/>
          <w:color w:val="000000" w:themeColor="text1"/>
          <w:kern w:val="0"/>
          <w:sz w:val="24"/>
          <w:highlight w:val="none"/>
          <w:u w:val="single"/>
          <w:lang w:val="en-US" w:eastAsia="zh-CN"/>
          <w14:textFill>
            <w14:solidFill>
              <w14:schemeClr w14:val="tx1"/>
            </w14:solidFill>
          </w14:textFill>
        </w:rPr>
      </w:pPr>
      <w:r>
        <w:rPr>
          <w:rFonts w:hint="default" w:ascii="Times New Roman" w:hAnsi="Times New Roman" w:eastAsia="宋体" w:cs="Times New Roman"/>
          <w:caps w:val="0"/>
          <w:color w:val="000000" w:themeColor="text1"/>
          <w:kern w:val="0"/>
          <w:sz w:val="24"/>
          <w:highlight w:val="none"/>
          <w14:textFill>
            <w14:solidFill>
              <w14:schemeClr w14:val="tx1"/>
            </w14:solidFill>
          </w14:textFill>
        </w:rPr>
        <w:t>联系电话：</w:t>
      </w:r>
      <w:r>
        <w:rPr>
          <w:rFonts w:hint="default" w:ascii="Times New Roman" w:hAnsi="Times New Roman" w:eastAsia="宋体" w:cs="Times New Roman"/>
          <w:caps w:val="0"/>
          <w:color w:val="000000" w:themeColor="text1"/>
          <w:kern w:val="0"/>
          <w:sz w:val="24"/>
          <w:highlight w:val="none"/>
          <w:u w:val="single"/>
          <w:lang w:val="en-US" w:eastAsia="zh-CN"/>
          <w14:textFill>
            <w14:solidFill>
              <w14:schemeClr w14:val="tx1"/>
            </w14:solidFill>
          </w14:textFill>
        </w:rPr>
        <w:t>020-81546885</w:t>
      </w:r>
    </w:p>
    <w:p w14:paraId="0C306208">
      <w:pPr>
        <w:pStyle w:val="11"/>
        <w:rPr>
          <w:rFonts w:hint="default" w:ascii="Times New Roman" w:hAnsi="Times New Roman" w:cs="Times New Roman"/>
          <w:color w:val="000000" w:themeColor="text1"/>
          <w:highlight w:val="none"/>
          <w14:textFill>
            <w14:solidFill>
              <w14:schemeClr w14:val="tx1"/>
            </w14:solidFill>
          </w14:textFill>
        </w:rPr>
      </w:pPr>
    </w:p>
    <w:p w14:paraId="1B64A421">
      <w:pPr>
        <w:spacing w:line="360" w:lineRule="auto"/>
        <w:ind w:firstLine="480" w:firstLineChars="200"/>
        <w:jc w:val="left"/>
        <w:textAlignment w:val="top"/>
        <w:rPr>
          <w:rFonts w:hint="default" w:ascii="Times New Roman" w:hAnsi="Times New Roman" w:eastAsia="宋体" w:cs="Times New Roman"/>
          <w:caps w:val="0"/>
          <w:color w:val="000000" w:themeColor="text1"/>
          <w:kern w:val="0"/>
          <w:sz w:val="24"/>
          <w:highlight w:val="none"/>
          <w:u w:val="single"/>
          <w:lang w:val="en-US" w:eastAsia="zh-CN"/>
          <w14:textFill>
            <w14:solidFill>
              <w14:schemeClr w14:val="tx1"/>
            </w14:solidFill>
          </w14:textFill>
        </w:rPr>
      </w:pPr>
      <w:r>
        <w:rPr>
          <w:rFonts w:hint="default" w:ascii="Times New Roman" w:hAnsi="Times New Roman" w:eastAsia="宋体" w:cs="Times New Roman"/>
          <w:caps w:val="0"/>
          <w:color w:val="000000" w:themeColor="text1"/>
          <w:kern w:val="0"/>
          <w:sz w:val="24"/>
          <w:highlight w:val="none"/>
          <w14:textFill>
            <w14:solidFill>
              <w14:schemeClr w14:val="tx1"/>
            </w14:solidFill>
          </w14:textFill>
        </w:rPr>
        <w:t>询比代理单位：</w:t>
      </w:r>
      <w:r>
        <w:rPr>
          <w:rFonts w:hint="default" w:ascii="Times New Roman" w:hAnsi="Times New Roman" w:eastAsia="宋体" w:cs="Times New Roman"/>
          <w:color w:val="000000" w:themeColor="text1"/>
          <w:sz w:val="24"/>
          <w:szCs w:val="24"/>
          <w:highlight w:val="none"/>
          <w:u w:val="single"/>
          <w:lang w:eastAsia="zh-CN"/>
          <w14:textFill>
            <w14:solidFill>
              <w14:schemeClr w14:val="tx1"/>
            </w14:solidFill>
          </w14:textFill>
        </w:rPr>
        <w:t>广东冠诚工程管理有限公司</w:t>
      </w:r>
    </w:p>
    <w:p w14:paraId="53E16F2B">
      <w:pPr>
        <w:spacing w:line="360" w:lineRule="auto"/>
        <w:ind w:firstLine="480" w:firstLineChars="200"/>
        <w:jc w:val="left"/>
        <w:textAlignment w:val="top"/>
        <w:rPr>
          <w:rFonts w:hint="default" w:ascii="Times New Roman" w:hAnsi="Times New Roman" w:eastAsia="宋体" w:cs="Times New Roman"/>
          <w:caps w:val="0"/>
          <w:color w:val="000000" w:themeColor="text1"/>
          <w:kern w:val="0"/>
          <w:sz w:val="24"/>
          <w:highlight w:val="none"/>
          <w:u w:val="single"/>
          <w:lang w:val="en-US" w:eastAsia="zh-CN"/>
          <w14:textFill>
            <w14:solidFill>
              <w14:schemeClr w14:val="tx1"/>
            </w14:solidFill>
          </w14:textFill>
        </w:rPr>
      </w:pPr>
      <w:r>
        <w:rPr>
          <w:rFonts w:hint="default" w:ascii="Times New Roman" w:hAnsi="Times New Roman" w:eastAsia="宋体" w:cs="Times New Roman"/>
          <w:caps w:val="0"/>
          <w:color w:val="000000" w:themeColor="text1"/>
          <w:kern w:val="0"/>
          <w:sz w:val="24"/>
          <w:highlight w:val="none"/>
          <w14:textFill>
            <w14:solidFill>
              <w14:schemeClr w14:val="tx1"/>
            </w14:solidFill>
          </w14:textFill>
        </w:rPr>
        <w:t>联   系   人：</w:t>
      </w:r>
      <w:r>
        <w:rPr>
          <w:rFonts w:hint="default" w:ascii="Times New Roman" w:hAnsi="Times New Roman" w:eastAsia="宋体" w:cs="Times New Roman"/>
          <w:caps w:val="0"/>
          <w:color w:val="000000" w:themeColor="text1"/>
          <w:kern w:val="0"/>
          <w:sz w:val="24"/>
          <w:highlight w:val="none"/>
          <w:u w:val="single"/>
          <w:lang w:val="en-US" w:eastAsia="zh-CN"/>
          <w14:textFill>
            <w14:solidFill>
              <w14:schemeClr w14:val="tx1"/>
            </w14:solidFill>
          </w14:textFill>
        </w:rPr>
        <w:t>陈小姐</w:t>
      </w:r>
    </w:p>
    <w:p w14:paraId="0D5407C4">
      <w:pPr>
        <w:spacing w:line="360" w:lineRule="auto"/>
        <w:ind w:firstLine="480" w:firstLineChars="200"/>
        <w:jc w:val="left"/>
        <w:textAlignment w:val="top"/>
        <w:rPr>
          <w:rFonts w:hint="default" w:ascii="Times New Roman" w:hAnsi="Times New Roman" w:eastAsia="宋体" w:cs="Times New Roman"/>
          <w:b/>
          <w:bCs/>
          <w:caps w:val="0"/>
          <w:color w:val="000000" w:themeColor="text1"/>
          <w:sz w:val="24"/>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kern w:val="0"/>
          <w:sz w:val="24"/>
          <w:highlight w:val="none"/>
          <w14:textFill>
            <w14:solidFill>
              <w14:schemeClr w14:val="tx1"/>
            </w14:solidFill>
          </w14:textFill>
        </w:rPr>
        <w:t>联  系 电 话：</w:t>
      </w:r>
      <w:r>
        <w:rPr>
          <w:rFonts w:hint="default" w:ascii="Times New Roman" w:hAnsi="Times New Roman" w:eastAsia="宋体" w:cs="Times New Roman"/>
          <w:caps w:val="0"/>
          <w:color w:val="000000" w:themeColor="text1"/>
          <w:kern w:val="0"/>
          <w:sz w:val="24"/>
          <w:highlight w:val="none"/>
          <w:u w:val="single"/>
          <w:lang w:val="en-US" w:eastAsia="zh-CN"/>
          <w14:textFill>
            <w14:solidFill>
              <w14:schemeClr w14:val="tx1"/>
            </w14:solidFill>
          </w14:textFill>
        </w:rPr>
        <w:t xml:space="preserve"> 020-82559099 </w:t>
      </w:r>
      <w:r>
        <w:rPr>
          <w:rFonts w:hint="default" w:ascii="Times New Roman" w:hAnsi="Times New Roman" w:eastAsia="宋体" w:cs="Times New Roman"/>
          <w:caps w:val="0"/>
          <w:color w:val="000000" w:themeColor="text1"/>
          <w:kern w:val="0"/>
          <w:sz w:val="24"/>
          <w:highlight w:val="none"/>
          <w:u w:val="single"/>
          <w14:textFill>
            <w14:solidFill>
              <w14:schemeClr w14:val="tx1"/>
            </w14:solidFill>
          </w14:textFill>
        </w:rPr>
        <w:t xml:space="preserve"> </w:t>
      </w:r>
      <w:r>
        <w:rPr>
          <w:rFonts w:hint="default" w:ascii="Times New Roman" w:hAnsi="Times New Roman" w:eastAsia="宋体" w:cs="Times New Roman"/>
          <w:caps w:val="0"/>
          <w:color w:val="000000" w:themeColor="text1"/>
          <w:kern w:val="0"/>
          <w:sz w:val="24"/>
          <w:highlight w:val="none"/>
          <w:lang w:val="en-US" w:eastAsia="zh-CN"/>
          <w14:textFill>
            <w14:solidFill>
              <w14:schemeClr w14:val="tx1"/>
            </w14:solidFill>
          </w14:textFill>
        </w:rPr>
        <w:t xml:space="preserve">  </w:t>
      </w:r>
    </w:p>
    <w:p w14:paraId="763B0DFA">
      <w:pPr>
        <w:spacing w:line="360" w:lineRule="auto"/>
        <w:ind w:firstLine="480" w:firstLineChars="200"/>
        <w:jc w:val="right"/>
        <w:textAlignment w:val="top"/>
        <w:rPr>
          <w:rFonts w:hint="default" w:ascii="Times New Roman" w:hAnsi="Times New Roman" w:eastAsia="宋体" w:cs="Times New Roman"/>
          <w:caps w:val="0"/>
          <w:color w:val="000000" w:themeColor="text1"/>
          <w:sz w:val="24"/>
          <w:highlight w:val="none"/>
          <w:lang w:eastAsia="zh-CN"/>
          <w14:textFill>
            <w14:solidFill>
              <w14:schemeClr w14:val="tx1"/>
            </w14:solidFill>
          </w14:textFill>
        </w:rPr>
      </w:pPr>
    </w:p>
    <w:p w14:paraId="1A5C8DF7">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right"/>
        <w:textAlignment w:val="top"/>
        <w:rPr>
          <w:rFonts w:hint="default" w:ascii="Times New Roman" w:hAnsi="Times New Roman" w:eastAsia="宋体" w:cs="Times New Roman"/>
          <w:caps w:val="0"/>
          <w:color w:val="000000" w:themeColor="text1"/>
          <w:sz w:val="24"/>
          <w:highlight w:val="none"/>
          <w:lang w:eastAsia="zh-CN"/>
          <w14:textFill>
            <w14:solidFill>
              <w14:schemeClr w14:val="tx1"/>
            </w14:solidFill>
          </w14:textFill>
        </w:rPr>
      </w:pPr>
      <w:r>
        <w:rPr>
          <w:rFonts w:hint="default" w:ascii="Times New Roman" w:hAnsi="Times New Roman" w:eastAsia="宋体" w:cs="Times New Roman"/>
          <w:caps w:val="0"/>
          <w:color w:val="000000" w:themeColor="text1"/>
          <w:sz w:val="24"/>
          <w:highlight w:val="none"/>
          <w:lang w:eastAsia="zh-CN"/>
          <w14:textFill>
            <w14:solidFill>
              <w14:schemeClr w14:val="tx1"/>
            </w14:solidFill>
          </w14:textFill>
        </w:rPr>
        <w:t>广州市荔湾区建设工程项目代建中心</w:t>
      </w:r>
    </w:p>
    <w:p w14:paraId="0A5D3D7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center"/>
        <w:textAlignment w:val="top"/>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eastAsia" w:ascii="Times New Roman" w:hAnsi="Times New Roman" w:eastAsia="宋体" w:cs="Times New Roman"/>
          <w:caps w:val="0"/>
          <w:color w:val="000000" w:themeColor="text1"/>
          <w:sz w:val="24"/>
          <w:highlight w:val="none"/>
          <w:lang w:val="en-US" w:eastAsia="zh-CN"/>
          <w14:textFill>
            <w14:solidFill>
              <w14:schemeClr w14:val="tx1"/>
            </w14:solidFill>
          </w14:textFill>
        </w:rPr>
        <w:t xml:space="preserve">                                    </w:t>
      </w:r>
      <w:r>
        <w:rPr>
          <w:rFonts w:hint="default" w:ascii="Times New Roman" w:hAnsi="Times New Roman" w:eastAsia="宋体" w:cs="Times New Roman"/>
          <w:caps w:val="0"/>
          <w:color w:val="000000" w:themeColor="text1"/>
          <w:sz w:val="24"/>
          <w:highlight w:val="none"/>
          <w:lang w:eastAsia="zh-CN"/>
          <w14:textFill>
            <w14:solidFill>
              <w14:schemeClr w14:val="tx1"/>
            </w14:solidFill>
          </w14:textFill>
        </w:rPr>
        <w:t>2026年</w:t>
      </w:r>
      <w:r>
        <w:rPr>
          <w:rFonts w:hint="eastAsia" w:ascii="Times New Roman" w:hAnsi="Times New Roman" w:eastAsia="宋体" w:cs="Times New Roman"/>
          <w:caps w:val="0"/>
          <w:color w:val="000000" w:themeColor="text1"/>
          <w:sz w:val="24"/>
          <w:highlight w:val="none"/>
          <w:lang w:val="en-US" w:eastAsia="zh-CN"/>
          <w14:textFill>
            <w14:solidFill>
              <w14:schemeClr w14:val="tx1"/>
            </w14:solidFill>
          </w14:textFill>
        </w:rPr>
        <w:t>4</w:t>
      </w:r>
      <w:r>
        <w:rPr>
          <w:rFonts w:hint="default" w:ascii="Times New Roman" w:hAnsi="Times New Roman" w:eastAsia="宋体" w:cs="Times New Roman"/>
          <w:caps w:val="0"/>
          <w:color w:val="000000" w:themeColor="text1"/>
          <w:sz w:val="24"/>
          <w:highlight w:val="none"/>
          <w14:textFill>
            <w14:solidFill>
              <w14:schemeClr w14:val="tx1"/>
            </w14:solidFill>
          </w14:textFill>
        </w:rPr>
        <w:t>月</w:t>
      </w:r>
      <w:r>
        <w:rPr>
          <w:rFonts w:hint="eastAsia" w:ascii="Times New Roman" w:hAnsi="Times New Roman" w:eastAsia="宋体" w:cs="Times New Roman"/>
          <w:caps w:val="0"/>
          <w:color w:val="000000" w:themeColor="text1"/>
          <w:sz w:val="24"/>
          <w:highlight w:val="none"/>
          <w:lang w:val="en-US" w:eastAsia="zh-CN"/>
          <w14:textFill>
            <w14:solidFill>
              <w14:schemeClr w14:val="tx1"/>
            </w14:solidFill>
          </w14:textFill>
        </w:rPr>
        <w:t>15</w:t>
      </w:r>
      <w:r>
        <w:rPr>
          <w:rFonts w:hint="default" w:ascii="Times New Roman" w:hAnsi="Times New Roman" w:eastAsia="宋体" w:cs="Times New Roman"/>
          <w:caps w:val="0"/>
          <w:color w:val="000000" w:themeColor="text1"/>
          <w:sz w:val="24"/>
          <w:highlight w:val="none"/>
          <w14:textFill>
            <w14:solidFill>
              <w14:schemeClr w14:val="tx1"/>
            </w14:solidFill>
          </w14:textFill>
        </w:rPr>
        <w:t>日</w:t>
      </w:r>
    </w:p>
    <w:p w14:paraId="0914D218">
      <w:pPr>
        <w:pStyle w:val="15"/>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default" w:ascii="Times New Roman" w:hAnsi="Times New Roman" w:eastAsia="宋体" w:cs="Times New Roman"/>
          <w:b/>
          <w:bCs/>
          <w:caps w:val="0"/>
          <w:color w:val="000000" w:themeColor="text1"/>
          <w:sz w:val="24"/>
          <w:szCs w:val="24"/>
          <w:highlight w:val="none"/>
          <w14:textFill>
            <w14:solidFill>
              <w14:schemeClr w14:val="tx1"/>
            </w14:solidFill>
          </w14:textFill>
        </w:rPr>
      </w:pPr>
    </w:p>
    <w:p w14:paraId="66D92391">
      <w:pPr>
        <w:keepNext w:val="0"/>
        <w:keepLines w:val="0"/>
        <w:pageBreakBefore w:val="0"/>
        <w:widowControl w:val="0"/>
        <w:kinsoku/>
        <w:wordWrap/>
        <w:overflowPunct/>
        <w:topLinePunct w:val="0"/>
        <w:autoSpaceDE/>
        <w:autoSpaceDN/>
        <w:bidi w:val="0"/>
        <w:adjustRightInd/>
        <w:snapToGrid/>
        <w:spacing w:before="313" w:beforeLines="100" w:after="313" w:afterLines="100" w:line="360" w:lineRule="auto"/>
        <w:ind w:firstLine="562" w:firstLineChars="200"/>
        <w:jc w:val="center"/>
        <w:textAlignment w:val="top"/>
        <w:outlineLvl w:val="0"/>
        <w:rPr>
          <w:rFonts w:hint="default" w:ascii="Times New Roman" w:hAnsi="Times New Roman" w:eastAsia="宋体" w:cs="Times New Roman"/>
          <w:b/>
          <w:bCs/>
          <w:caps w:val="0"/>
          <w:color w:val="000000" w:themeColor="text1"/>
          <w:sz w:val="28"/>
          <w:szCs w:val="28"/>
          <w:highlight w:val="none"/>
          <w:shd w:val="clear" w:color="auto" w:fill="FFFFFF"/>
          <w14:textFill>
            <w14:solidFill>
              <w14:schemeClr w14:val="tx1"/>
            </w14:solidFill>
          </w14:textFill>
        </w:rPr>
      </w:pPr>
      <w:bookmarkStart w:id="14" w:name="_Toc61"/>
      <w:bookmarkStart w:id="15" w:name="_Toc22833"/>
      <w:bookmarkStart w:id="16" w:name="_Toc25978"/>
      <w:bookmarkStart w:id="17" w:name="_Toc27992"/>
      <w:bookmarkStart w:id="18" w:name="_Toc13939"/>
    </w:p>
    <w:p w14:paraId="742C6221">
      <w:pPr>
        <w:keepNext w:val="0"/>
        <w:keepLines w:val="0"/>
        <w:pageBreakBefore w:val="0"/>
        <w:widowControl w:val="0"/>
        <w:kinsoku/>
        <w:wordWrap/>
        <w:overflowPunct/>
        <w:topLinePunct w:val="0"/>
        <w:autoSpaceDE/>
        <w:autoSpaceDN/>
        <w:bidi w:val="0"/>
        <w:adjustRightInd/>
        <w:snapToGrid/>
        <w:spacing w:before="313" w:beforeLines="100" w:after="313" w:afterLines="100" w:line="360" w:lineRule="auto"/>
        <w:ind w:firstLine="562" w:firstLineChars="200"/>
        <w:jc w:val="center"/>
        <w:textAlignment w:val="top"/>
        <w:outlineLvl w:val="0"/>
        <w:rPr>
          <w:rFonts w:hint="default" w:ascii="Times New Roman" w:hAnsi="Times New Roman" w:eastAsia="宋体" w:cs="Times New Roman"/>
          <w:b/>
          <w:bCs/>
          <w:caps w:val="0"/>
          <w:color w:val="000000" w:themeColor="text1"/>
          <w:sz w:val="28"/>
          <w:szCs w:val="28"/>
          <w:highlight w:val="none"/>
          <w:shd w:val="clear" w:color="auto" w:fill="FFFFFF"/>
          <w14:textFill>
            <w14:solidFill>
              <w14:schemeClr w14:val="tx1"/>
            </w14:solidFill>
          </w14:textFill>
        </w:rPr>
      </w:pPr>
    </w:p>
    <w:p w14:paraId="373CBD54">
      <w:pPr>
        <w:keepNext w:val="0"/>
        <w:keepLines w:val="0"/>
        <w:pageBreakBefore w:val="0"/>
        <w:widowControl w:val="0"/>
        <w:kinsoku/>
        <w:wordWrap/>
        <w:overflowPunct/>
        <w:topLinePunct w:val="0"/>
        <w:autoSpaceDE/>
        <w:autoSpaceDN/>
        <w:bidi w:val="0"/>
        <w:adjustRightInd/>
        <w:snapToGrid/>
        <w:spacing w:before="313" w:beforeLines="100" w:after="313" w:afterLines="100" w:line="360" w:lineRule="auto"/>
        <w:ind w:firstLine="562" w:firstLineChars="200"/>
        <w:jc w:val="center"/>
        <w:textAlignment w:val="top"/>
        <w:outlineLvl w:val="0"/>
        <w:rPr>
          <w:rFonts w:hint="default" w:ascii="Times New Roman" w:hAnsi="Times New Roman" w:eastAsia="宋体" w:cs="Times New Roman"/>
          <w:b/>
          <w:bCs/>
          <w:caps w:val="0"/>
          <w:color w:val="000000" w:themeColor="text1"/>
          <w:sz w:val="28"/>
          <w:szCs w:val="28"/>
          <w:highlight w:val="none"/>
          <w:shd w:val="clear" w:color="auto" w:fill="FFFFFF"/>
          <w14:textFill>
            <w14:solidFill>
              <w14:schemeClr w14:val="tx1"/>
            </w14:solidFill>
          </w14:textFill>
        </w:rPr>
      </w:pPr>
    </w:p>
    <w:p w14:paraId="37EA6C09">
      <w:pPr>
        <w:keepNext w:val="0"/>
        <w:keepLines w:val="0"/>
        <w:pageBreakBefore w:val="0"/>
        <w:widowControl w:val="0"/>
        <w:kinsoku/>
        <w:wordWrap/>
        <w:overflowPunct/>
        <w:topLinePunct w:val="0"/>
        <w:autoSpaceDE/>
        <w:autoSpaceDN/>
        <w:bidi w:val="0"/>
        <w:adjustRightInd/>
        <w:snapToGrid/>
        <w:spacing w:before="313" w:beforeLines="100" w:after="313" w:afterLines="100" w:line="360" w:lineRule="auto"/>
        <w:ind w:firstLine="562" w:firstLineChars="200"/>
        <w:jc w:val="center"/>
        <w:textAlignment w:val="top"/>
        <w:outlineLvl w:val="0"/>
        <w:rPr>
          <w:rFonts w:hint="default" w:ascii="Times New Roman" w:hAnsi="Times New Roman" w:eastAsia="宋体" w:cs="Times New Roman"/>
          <w:b/>
          <w:bCs/>
          <w:caps w:val="0"/>
          <w:color w:val="000000" w:themeColor="text1"/>
          <w:sz w:val="28"/>
          <w:szCs w:val="28"/>
          <w:highlight w:val="none"/>
          <w:shd w:val="clear" w:color="auto" w:fill="FFFFFF"/>
          <w14:textFill>
            <w14:solidFill>
              <w14:schemeClr w14:val="tx1"/>
            </w14:solidFill>
          </w14:textFill>
        </w:rPr>
      </w:pPr>
    </w:p>
    <w:p w14:paraId="29B04DA8">
      <w:pPr>
        <w:rPr>
          <w:rFonts w:hint="default" w:ascii="Times New Roman" w:hAnsi="Times New Roman" w:eastAsia="宋体" w:cs="Times New Roman"/>
          <w:b/>
          <w:bCs/>
          <w:caps w:val="0"/>
          <w:color w:val="000000" w:themeColor="text1"/>
          <w:sz w:val="28"/>
          <w:szCs w:val="28"/>
          <w:highlight w:val="none"/>
          <w:shd w:val="clear" w:color="auto" w:fill="FFFFFF"/>
          <w14:textFill>
            <w14:solidFill>
              <w14:schemeClr w14:val="tx1"/>
            </w14:solidFill>
          </w14:textFill>
        </w:rPr>
      </w:pPr>
      <w:r>
        <w:rPr>
          <w:rFonts w:hint="default" w:ascii="Times New Roman" w:hAnsi="Times New Roman" w:eastAsia="宋体" w:cs="Times New Roman"/>
          <w:b/>
          <w:bCs/>
          <w:caps w:val="0"/>
          <w:color w:val="000000" w:themeColor="text1"/>
          <w:sz w:val="28"/>
          <w:szCs w:val="28"/>
          <w:highlight w:val="none"/>
          <w:shd w:val="clear" w:color="auto" w:fill="FFFFFF"/>
          <w14:textFill>
            <w14:solidFill>
              <w14:schemeClr w14:val="tx1"/>
            </w14:solidFill>
          </w14:textFill>
        </w:rPr>
        <w:br w:type="page"/>
      </w:r>
    </w:p>
    <w:p w14:paraId="434719EC">
      <w:pPr>
        <w:keepNext w:val="0"/>
        <w:keepLines w:val="0"/>
        <w:pageBreakBefore w:val="0"/>
        <w:widowControl w:val="0"/>
        <w:kinsoku/>
        <w:wordWrap/>
        <w:overflowPunct/>
        <w:topLinePunct w:val="0"/>
        <w:autoSpaceDE/>
        <w:autoSpaceDN/>
        <w:bidi w:val="0"/>
        <w:adjustRightInd/>
        <w:snapToGrid/>
        <w:spacing w:before="313" w:beforeLines="100" w:after="313" w:afterLines="100" w:line="360" w:lineRule="auto"/>
        <w:ind w:firstLine="562" w:firstLineChars="200"/>
        <w:jc w:val="center"/>
        <w:textAlignment w:val="top"/>
        <w:outlineLvl w:val="0"/>
        <w:rPr>
          <w:rFonts w:hint="default" w:ascii="Times New Roman" w:hAnsi="Times New Roman" w:eastAsia="宋体" w:cs="Times New Roman"/>
          <w:b/>
          <w:bCs/>
          <w:caps w:val="0"/>
          <w:color w:val="000000" w:themeColor="text1"/>
          <w:sz w:val="28"/>
          <w:szCs w:val="28"/>
          <w:highlight w:val="none"/>
          <w:shd w:val="clear" w:color="auto" w:fill="FFFFFF"/>
          <w14:textFill>
            <w14:solidFill>
              <w14:schemeClr w14:val="tx1"/>
            </w14:solidFill>
          </w14:textFill>
        </w:rPr>
      </w:pPr>
      <w:r>
        <w:rPr>
          <w:rFonts w:hint="default" w:ascii="Times New Roman" w:hAnsi="Times New Roman" w:eastAsia="宋体" w:cs="Times New Roman"/>
          <w:b/>
          <w:bCs/>
          <w:caps w:val="0"/>
          <w:color w:val="000000" w:themeColor="text1"/>
          <w:sz w:val="28"/>
          <w:szCs w:val="28"/>
          <w:highlight w:val="none"/>
          <w:shd w:val="clear" w:color="auto" w:fill="FFFFFF"/>
          <w14:textFill>
            <w14:solidFill>
              <w14:schemeClr w14:val="tx1"/>
            </w14:solidFill>
          </w14:textFill>
        </w:rPr>
        <w:t>第二章  评审办法</w:t>
      </w:r>
      <w:bookmarkEnd w:id="14"/>
      <w:bookmarkEnd w:id="15"/>
      <w:bookmarkEnd w:id="16"/>
      <w:bookmarkEnd w:id="17"/>
      <w:bookmarkEnd w:id="18"/>
    </w:p>
    <w:p w14:paraId="0FD20F46">
      <w:pPr>
        <w:pStyle w:val="15"/>
        <w:keepNext w:val="0"/>
        <w:keepLines w:val="0"/>
        <w:pageBreakBefore w:val="0"/>
        <w:widowControl w:val="0"/>
        <w:kinsoku/>
        <w:bidi w:val="0"/>
        <w:spacing w:line="360" w:lineRule="auto"/>
        <w:jc w:val="left"/>
        <w:rPr>
          <w:rFonts w:hint="default" w:ascii="Times New Roman" w:hAnsi="Times New Roman" w:eastAsia="宋体" w:cs="Times New Roman"/>
          <w:color w:val="000000" w:themeColor="text1"/>
          <w:sz w:val="24"/>
          <w:szCs w:val="24"/>
          <w:highlight w:val="none"/>
          <w14:textFill>
            <w14:solidFill>
              <w14:schemeClr w14:val="tx1"/>
            </w14:solidFill>
          </w14:textFill>
        </w:rPr>
      </w:pPr>
    </w:p>
    <w:p w14:paraId="7E5E5CAF">
      <w:pPr>
        <w:pStyle w:val="15"/>
        <w:keepNext w:val="0"/>
        <w:keepLines w:val="0"/>
        <w:pageBreakBefore w:val="0"/>
        <w:widowControl w:val="0"/>
        <w:kinsoku/>
        <w:wordWrap/>
        <w:overflowPunct/>
        <w:topLinePunct w:val="0"/>
        <w:autoSpaceDE/>
        <w:autoSpaceDN/>
        <w:bidi w:val="0"/>
        <w:spacing w:line="360" w:lineRule="auto"/>
        <w:jc w:val="left"/>
        <w:textAlignment w:val="auto"/>
        <w:rPr>
          <w:rFonts w:hint="default" w:ascii="Times New Roman" w:hAnsi="Times New Roman" w:eastAsia="宋体" w:cs="Times New Roman"/>
          <w:b/>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bCs/>
          <w:color w:val="000000" w:themeColor="text1"/>
          <w:sz w:val="24"/>
          <w:szCs w:val="24"/>
          <w:highlight w:val="none"/>
          <w14:textFill>
            <w14:solidFill>
              <w14:schemeClr w14:val="tx1"/>
            </w14:solidFill>
          </w14:textFill>
        </w:rPr>
        <w:t>一、评审办法</w:t>
      </w:r>
    </w:p>
    <w:p w14:paraId="1246C3BB">
      <w:pPr>
        <w:keepNext w:val="0"/>
        <w:keepLines w:val="0"/>
        <w:pageBreakBefore w:val="0"/>
        <w:widowControl w:val="0"/>
        <w:kinsoku/>
        <w:bidi w:val="0"/>
        <w:spacing w:line="360" w:lineRule="auto"/>
        <w:ind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1.本次评审采用综合评分法。询比人首先审查报价单位的资格性和符合性条件，通过资格性和符合性审查的报价单位的报价文件将进入下一环节的评分</w:t>
      </w:r>
      <w:r>
        <w:rPr>
          <w:rFonts w:hint="default" w:ascii="Times New Roman" w:hAnsi="Times New Roman" w:eastAsia="宋体" w:cs="Times New Roman"/>
          <w:color w:val="auto"/>
          <w:kern w:val="0"/>
          <w:sz w:val="24"/>
          <w:szCs w:val="24"/>
          <w:highlight w:val="none"/>
        </w:rPr>
        <w:t>（详见附件一：</w:t>
      </w:r>
      <w:r>
        <w:rPr>
          <w:rFonts w:hint="default" w:ascii="Times New Roman" w:hAnsi="Times New Roman" w:eastAsia="宋体" w:cs="Times New Roman"/>
          <w:color w:val="auto"/>
          <w:sz w:val="24"/>
          <w:szCs w:val="24"/>
          <w:highlight w:val="none"/>
        </w:rPr>
        <w:t>资格性和符合性审查表</w:t>
      </w:r>
      <w:r>
        <w:rPr>
          <w:rFonts w:hint="default" w:ascii="Times New Roman" w:hAnsi="Times New Roman" w:eastAsia="宋体" w:cs="Times New Roman"/>
          <w:color w:val="auto"/>
          <w:kern w:val="0"/>
          <w:sz w:val="24"/>
          <w:szCs w:val="24"/>
          <w:highlight w:val="none"/>
        </w:rPr>
        <w:t>）</w:t>
      </w:r>
      <w:r>
        <w:rPr>
          <w:rFonts w:hint="default" w:ascii="Times New Roman" w:hAnsi="Times New Roman" w:eastAsia="宋体" w:cs="Times New Roman"/>
          <w:color w:val="auto"/>
          <w:sz w:val="24"/>
          <w:szCs w:val="24"/>
          <w:highlight w:val="none"/>
        </w:rPr>
        <w:t>。</w:t>
      </w:r>
    </w:p>
    <w:p w14:paraId="6C070F77">
      <w:pPr>
        <w:pStyle w:val="15"/>
        <w:keepNext w:val="0"/>
        <w:keepLines w:val="0"/>
        <w:pageBreakBefore w:val="0"/>
        <w:widowControl w:val="0"/>
        <w:kinsoku/>
        <w:bidi w:val="0"/>
        <w:spacing w:line="360" w:lineRule="auto"/>
        <w:ind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2.询比人对满足询比文件实质性要求的报价文件，按照询比文件规定的评分标准进行打分，评审过程中如发现存在不满足询比文件实质性要求的报价文件不予评分。</w:t>
      </w:r>
    </w:p>
    <w:p w14:paraId="5244EA82">
      <w:pPr>
        <w:pStyle w:val="15"/>
        <w:keepNext w:val="0"/>
        <w:keepLines w:val="0"/>
        <w:pageBreakBefore w:val="0"/>
        <w:widowControl w:val="0"/>
        <w:kinsoku/>
        <w:bidi w:val="0"/>
        <w:spacing w:line="360" w:lineRule="auto"/>
        <w:ind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3.评分按照各报价人总得分从高到低排列先后次序。若两家或以上的报价人总得分相同时，则报价部分得分高的排前；若报价部分得分相同，则由报价文件提交顺序较早的排前（详见附件二：综合评分表）。</w:t>
      </w:r>
    </w:p>
    <w:p w14:paraId="017CCA75">
      <w:pPr>
        <w:keepNext w:val="0"/>
        <w:keepLines w:val="0"/>
        <w:pageBreakBefore w:val="0"/>
        <w:widowControl w:val="0"/>
        <w:tabs>
          <w:tab w:val="left" w:pos="5220"/>
        </w:tabs>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eastAsia="宋体" w:cs="Times New Roman"/>
          <w:caps w:val="0"/>
          <w:strike/>
          <w:dstrike w:val="0"/>
          <w:color w:val="000000" w:themeColor="text1"/>
          <w:kern w:val="0"/>
          <w:sz w:val="24"/>
          <w:highlight w:val="none"/>
          <w:lang w:eastAsia="zh-CN"/>
          <w14:textFill>
            <w14:solidFill>
              <w14:schemeClr w14:val="tx1"/>
            </w14:solidFill>
          </w14:textFill>
        </w:rPr>
        <w:sectPr>
          <w:footerReference r:id="rId7" w:type="default"/>
          <w:pgSz w:w="11906" w:h="16838"/>
          <w:pgMar w:top="1440" w:right="1417" w:bottom="1440" w:left="1417" w:header="851" w:footer="992" w:gutter="0"/>
          <w:pgNumType w:fmt="decimal"/>
          <w:cols w:space="425" w:num="1"/>
          <w:docGrid w:type="lines" w:linePitch="312" w:charSpace="0"/>
        </w:sectPr>
      </w:pPr>
      <w:r>
        <w:rPr>
          <w:rFonts w:hint="default" w:ascii="Times New Roman" w:hAnsi="Times New Roman" w:eastAsia="宋体" w:cs="Times New Roman"/>
          <w:color w:val="auto"/>
          <w:sz w:val="24"/>
          <w:szCs w:val="24"/>
          <w:highlight w:val="none"/>
        </w:rPr>
        <w:t>4.若本项目满足资格性和符合性审查合格条件的报价人不足3家或经评审有效的报价人不足</w:t>
      </w:r>
      <w:r>
        <w:rPr>
          <w:rFonts w:hint="default" w:ascii="Times New Roman" w:hAnsi="Times New Roman" w:eastAsia="宋体"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rPr>
        <w:t>家，则本次询比失败，询比人将视情况重新组织询比</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p>
    <w:p w14:paraId="5DB586D8">
      <w:pPr>
        <w:keepNext w:val="0"/>
        <w:keepLines w:val="0"/>
        <w:pageBreakBefore w:val="0"/>
        <w:widowControl w:val="0"/>
        <w:kinsoku/>
        <w:wordWrap/>
        <w:overflowPunct/>
        <w:topLinePunct w:val="0"/>
        <w:autoSpaceDE/>
        <w:autoSpaceDN/>
        <w:bidi w:val="0"/>
        <w:adjustRightInd/>
        <w:snapToGrid/>
        <w:spacing w:before="313" w:beforeLines="100" w:after="313" w:afterLines="100" w:line="360" w:lineRule="auto"/>
        <w:ind w:firstLine="562" w:firstLineChars="200"/>
        <w:jc w:val="center"/>
        <w:textAlignment w:val="top"/>
        <w:outlineLvl w:val="0"/>
        <w:rPr>
          <w:rFonts w:hint="default" w:ascii="Times New Roman" w:hAnsi="Times New Roman" w:eastAsia="宋体" w:cs="Times New Roman"/>
          <w:b/>
          <w:bCs/>
          <w:caps w:val="0"/>
          <w:color w:val="000000" w:themeColor="text1"/>
          <w:sz w:val="28"/>
          <w:szCs w:val="28"/>
          <w:highlight w:val="none"/>
          <w:shd w:val="clear" w:color="auto" w:fill="FFFFFF"/>
          <w14:textFill>
            <w14:solidFill>
              <w14:schemeClr w14:val="tx1"/>
            </w14:solidFill>
          </w14:textFill>
        </w:rPr>
      </w:pPr>
      <w:bookmarkStart w:id="19" w:name="_Toc15110"/>
      <w:bookmarkStart w:id="20" w:name="_Toc6846"/>
      <w:bookmarkStart w:id="21" w:name="_Toc3324"/>
      <w:bookmarkStart w:id="22" w:name="_Toc20781"/>
      <w:bookmarkStart w:id="23" w:name="_Toc16448"/>
      <w:r>
        <w:rPr>
          <w:rFonts w:hint="default" w:ascii="Times New Roman" w:hAnsi="Times New Roman" w:eastAsia="宋体" w:cs="Times New Roman"/>
          <w:b/>
          <w:bCs/>
          <w:caps w:val="0"/>
          <w:color w:val="000000" w:themeColor="text1"/>
          <w:sz w:val="28"/>
          <w:szCs w:val="28"/>
          <w:highlight w:val="none"/>
          <w:shd w:val="clear" w:color="auto" w:fill="FFFFFF"/>
          <w14:textFill>
            <w14:solidFill>
              <w14:schemeClr w14:val="tx1"/>
            </w14:solidFill>
          </w14:textFill>
        </w:rPr>
        <w:t>第三章  报价文件</w:t>
      </w:r>
      <w:bookmarkEnd w:id="19"/>
      <w:bookmarkEnd w:id="20"/>
      <w:bookmarkEnd w:id="21"/>
      <w:bookmarkEnd w:id="22"/>
      <w:bookmarkEnd w:id="23"/>
    </w:p>
    <w:p w14:paraId="1B99765E">
      <w:pPr>
        <w:keepNext w:val="0"/>
        <w:keepLines w:val="0"/>
        <w:pageBreakBefore w:val="0"/>
        <w:widowControl w:val="0"/>
        <w:kinsoku/>
        <w:bidi w:val="0"/>
        <w:spacing w:line="360" w:lineRule="auto"/>
        <w:ind w:firstLine="480" w:firstLineChars="200"/>
        <w:textAlignment w:val="top"/>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1.报价文件编制规范、签署合格、报价唯一固定、报价无重大漏项及重大不合理。</w:t>
      </w:r>
    </w:p>
    <w:p w14:paraId="61864BD0">
      <w:pPr>
        <w:keepNext w:val="0"/>
        <w:keepLines w:val="0"/>
        <w:pageBreakBefore w:val="0"/>
        <w:widowControl w:val="0"/>
        <w:kinsoku/>
        <w:bidi w:val="0"/>
        <w:spacing w:line="360" w:lineRule="auto"/>
        <w:ind w:firstLine="480" w:firstLineChars="200"/>
        <w:textAlignment w:val="top"/>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2.报价文件份数为</w:t>
      </w:r>
      <w:r>
        <w:rPr>
          <w:rFonts w:hint="default" w:ascii="Times New Roman" w:hAnsi="Times New Roman" w:eastAsia="宋体" w:cs="Times New Roman"/>
          <w:b/>
          <w:bCs/>
          <w:color w:val="auto"/>
          <w:sz w:val="24"/>
          <w:szCs w:val="24"/>
          <w:highlight w:val="none"/>
        </w:rPr>
        <w:t>一式</w:t>
      </w:r>
      <w:r>
        <w:rPr>
          <w:rFonts w:hint="default" w:ascii="Times New Roman" w:hAnsi="Times New Roman" w:eastAsia="宋体" w:cs="Times New Roman"/>
          <w:b/>
          <w:bCs/>
          <w:color w:val="auto"/>
          <w:sz w:val="24"/>
          <w:szCs w:val="24"/>
          <w:highlight w:val="none"/>
          <w:lang w:val="en-US" w:eastAsia="zh-CN"/>
        </w:rPr>
        <w:t>三</w:t>
      </w:r>
      <w:r>
        <w:rPr>
          <w:rFonts w:hint="default" w:ascii="Times New Roman" w:hAnsi="Times New Roman" w:eastAsia="宋体" w:cs="Times New Roman"/>
          <w:b/>
          <w:bCs/>
          <w:color w:val="auto"/>
          <w:sz w:val="24"/>
          <w:szCs w:val="24"/>
          <w:highlight w:val="none"/>
        </w:rPr>
        <w:t>份（原件正本</w:t>
      </w:r>
      <w:r>
        <w:rPr>
          <w:rFonts w:hint="default" w:ascii="Times New Roman" w:hAnsi="Times New Roman" w:eastAsia="宋体" w:cs="Times New Roman"/>
          <w:b/>
          <w:bCs/>
          <w:color w:val="auto"/>
          <w:sz w:val="24"/>
          <w:szCs w:val="24"/>
          <w:highlight w:val="none"/>
          <w:lang w:val="en-US" w:eastAsia="zh-CN"/>
        </w:rPr>
        <w:t>一份，副本两份）。</w:t>
      </w:r>
      <w:r>
        <w:rPr>
          <w:rFonts w:hint="default" w:ascii="Times New Roman" w:hAnsi="Times New Roman" w:eastAsia="宋体" w:cs="Times New Roman"/>
          <w:color w:val="auto"/>
          <w:sz w:val="24"/>
          <w:szCs w:val="24"/>
          <w:highlight w:val="none"/>
        </w:rPr>
        <w:t>报价文件须用不褪色的黑色墨水书写或打印，报价文件（纸质版）须加盖单位公章后扫描电子版拷贝至u盘，纸质版的报价文件应与u盘内的</w:t>
      </w:r>
      <w:r>
        <w:rPr>
          <w:rFonts w:hint="default" w:ascii="Times New Roman" w:hAnsi="Times New Roman" w:eastAsia="宋体" w:cs="Times New Roman"/>
          <w:color w:val="auto"/>
          <w:sz w:val="24"/>
          <w:szCs w:val="24"/>
          <w:highlight w:val="none"/>
          <w:lang w:val="en-US" w:eastAsia="zh-CN"/>
        </w:rPr>
        <w:t>电子</w:t>
      </w:r>
      <w:r>
        <w:rPr>
          <w:rFonts w:hint="default" w:ascii="Times New Roman" w:hAnsi="Times New Roman" w:eastAsia="宋体" w:cs="Times New Roman"/>
          <w:color w:val="auto"/>
          <w:sz w:val="24"/>
          <w:szCs w:val="24"/>
          <w:highlight w:val="none"/>
        </w:rPr>
        <w:t>文件内容一致，并装订成册与u盘装入同一个密封袋。</w:t>
      </w:r>
      <w:r>
        <w:rPr>
          <w:rFonts w:hint="default" w:ascii="Times New Roman" w:hAnsi="Times New Roman" w:eastAsia="宋体" w:cs="Times New Roman"/>
          <w:b/>
          <w:bCs/>
          <w:color w:val="auto"/>
          <w:kern w:val="0"/>
          <w:sz w:val="24"/>
          <w:szCs w:val="24"/>
          <w:highlight w:val="none"/>
        </w:rPr>
        <w:t>封口须以封条并加盖公章密封，否则报价文件当无效处理。</w:t>
      </w:r>
    </w:p>
    <w:p w14:paraId="3FB0961D">
      <w:pPr>
        <w:keepNext w:val="0"/>
        <w:keepLines w:val="0"/>
        <w:pageBreakBefore w:val="0"/>
        <w:widowControl w:val="0"/>
        <w:kinsoku/>
        <w:bidi w:val="0"/>
        <w:spacing w:line="360" w:lineRule="auto"/>
        <w:ind w:firstLine="480" w:firstLineChars="200"/>
        <w:textAlignment w:val="top"/>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3.报价文件密封在一个包封内，外包装材料不应留有可在包封后添加或抽取报价文件的空隙。</w:t>
      </w:r>
      <w:r>
        <w:rPr>
          <w:rFonts w:hint="default" w:ascii="Times New Roman" w:hAnsi="Times New Roman" w:eastAsia="宋体" w:cs="Times New Roman"/>
          <w:b/>
          <w:bCs/>
          <w:color w:val="auto"/>
          <w:sz w:val="24"/>
          <w:szCs w:val="24"/>
          <w:highlight w:val="none"/>
        </w:rPr>
        <w:t>外包封及报价文件封面</w:t>
      </w:r>
      <w:r>
        <w:rPr>
          <w:rFonts w:hint="default" w:ascii="Times New Roman" w:hAnsi="Times New Roman" w:eastAsia="宋体" w:cs="Times New Roman"/>
          <w:color w:val="auto"/>
          <w:sz w:val="24"/>
          <w:szCs w:val="24"/>
          <w:highlight w:val="none"/>
        </w:rPr>
        <w:t>应标注“正本</w:t>
      </w:r>
      <w:r>
        <w:rPr>
          <w:rFonts w:hint="default" w:ascii="Times New Roman" w:hAnsi="Times New Roman" w:eastAsia="宋体" w:cs="Times New Roman"/>
          <w:color w:val="auto"/>
          <w:sz w:val="24"/>
          <w:szCs w:val="24"/>
          <w:highlight w:val="none"/>
          <w:lang w:val="en-US" w:eastAsia="zh-CN"/>
        </w:rPr>
        <w:t>/副本</w:t>
      </w:r>
      <w:r>
        <w:rPr>
          <w:rFonts w:hint="default" w:ascii="Times New Roman" w:hAnsi="Times New Roman" w:eastAsia="宋体" w:cs="Times New Roman"/>
          <w:color w:val="auto"/>
          <w:sz w:val="24"/>
          <w:szCs w:val="24"/>
          <w:highlight w:val="none"/>
        </w:rPr>
        <w:t>”、“项目名称”、“报价文件”、“报价人”、“联系人”和“联系</w:t>
      </w:r>
      <w:r>
        <w:rPr>
          <w:rFonts w:hint="default" w:ascii="Times New Roman" w:hAnsi="Times New Roman" w:eastAsia="宋体" w:cs="Times New Roman"/>
          <w:color w:val="auto"/>
          <w:sz w:val="24"/>
          <w:szCs w:val="24"/>
          <w:highlight w:val="none"/>
          <w:lang w:val="en-US" w:eastAsia="zh-CN"/>
        </w:rPr>
        <w:t>电话</w:t>
      </w:r>
      <w:r>
        <w:rPr>
          <w:rFonts w:hint="default" w:ascii="Times New Roman" w:hAnsi="Times New Roman" w:eastAsia="宋体" w:cs="Times New Roman"/>
          <w:color w:val="auto"/>
          <w:sz w:val="24"/>
          <w:szCs w:val="24"/>
          <w:highlight w:val="none"/>
        </w:rPr>
        <w:t>”等字样。</w:t>
      </w:r>
    </w:p>
    <w:p w14:paraId="00D0B99E">
      <w:pPr>
        <w:spacing w:line="360" w:lineRule="auto"/>
        <w:ind w:firstLine="480" w:firstLineChars="200"/>
        <w:textAlignment w:val="top"/>
        <w:rPr>
          <w:rFonts w:hint="default" w:ascii="Times New Roman" w:hAnsi="Times New Roman" w:cs="Times New Roman"/>
          <w:b/>
          <w:bCs/>
          <w:color w:val="auto"/>
          <w:sz w:val="24"/>
          <w:szCs w:val="24"/>
          <w:highlight w:val="none"/>
          <w:u w:val="single"/>
        </w:rPr>
      </w:pPr>
      <w:r>
        <w:rPr>
          <w:rFonts w:hint="default" w:ascii="Times New Roman" w:hAnsi="Times New Roman" w:eastAsia="宋体" w:cs="Times New Roman"/>
          <w:color w:val="auto"/>
          <w:sz w:val="24"/>
          <w:szCs w:val="24"/>
          <w:highlight w:val="none"/>
        </w:rPr>
        <w:t>4.</w:t>
      </w:r>
      <w:r>
        <w:rPr>
          <w:rFonts w:hint="default" w:ascii="Times New Roman" w:hAnsi="Times New Roman" w:cs="Times New Roman"/>
          <w:b/>
          <w:bCs/>
          <w:color w:val="auto"/>
          <w:sz w:val="24"/>
          <w:szCs w:val="24"/>
          <w:highlight w:val="none"/>
          <w:u w:val="single"/>
        </w:rPr>
        <w:t>如联合体报价的，除联合体共同报价协议、报价表、报价人声明需联合体各方同时盖章、法定代表人证明书及法定代表人授权委托书（仅限于非法定代表人参加询比动时提供）需联合体各方独自签字盖章分别出具外，其余资料可由联合体主办方加盖公章即可。联合体报价的，“报价人”需填写所有联合体成员的单位全称。</w:t>
      </w:r>
    </w:p>
    <w:p w14:paraId="0EFF68AD">
      <w:pPr>
        <w:keepNext w:val="0"/>
        <w:keepLines w:val="0"/>
        <w:pageBreakBefore w:val="0"/>
        <w:widowControl/>
        <w:kinsoku/>
        <w:bidi w:val="0"/>
        <w:spacing w:line="360" w:lineRule="auto"/>
        <w:ind w:firstLine="482" w:firstLineChars="200"/>
        <w:textAlignment w:val="top"/>
        <w:rPr>
          <w:rFonts w:hint="default" w:ascii="Times New Roman" w:hAnsi="Times New Roman" w:eastAsia="宋体" w:cs="Times New Roman"/>
          <w:color w:val="auto"/>
          <w:sz w:val="24"/>
          <w:szCs w:val="24"/>
          <w:highlight w:val="none"/>
        </w:rPr>
      </w:pPr>
      <w:r>
        <w:rPr>
          <w:rFonts w:hint="default" w:ascii="Times New Roman" w:hAnsi="Times New Roman" w:cs="Times New Roman"/>
          <w:b/>
          <w:bCs/>
          <w:color w:val="auto"/>
          <w:sz w:val="24"/>
          <w:szCs w:val="24"/>
          <w:highlight w:val="none"/>
          <w:u w:val="single"/>
        </w:rPr>
        <w:t>联合体报价的，报价文件封面及其他内容及落款中的“报价人”应填写联合体各方的单位全称【格式表示为：(主)XXXX公司(成)XXXX公司】，可由联合体主办方签字或盖章即可。</w:t>
      </w:r>
    </w:p>
    <w:p w14:paraId="0406DB02">
      <w:pPr>
        <w:keepNext w:val="0"/>
        <w:keepLines w:val="0"/>
        <w:pageBreakBefore w:val="0"/>
        <w:widowControl w:val="0"/>
        <w:kinsoku/>
        <w:bidi w:val="0"/>
        <w:spacing w:line="360" w:lineRule="auto"/>
        <w:ind w:firstLine="480" w:firstLineChars="200"/>
        <w:textAlignment w:val="top"/>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rPr>
        <w:t>报价文件中的所有材料内容（复印件、截图证明等）</w:t>
      </w:r>
      <w:r>
        <w:rPr>
          <w:rFonts w:hint="default" w:ascii="Times New Roman" w:hAnsi="Times New Roman" w:eastAsia="宋体" w:cs="Times New Roman"/>
          <w:b/>
          <w:bCs/>
          <w:color w:val="auto"/>
          <w:sz w:val="24"/>
          <w:szCs w:val="24"/>
          <w:highlight w:val="none"/>
        </w:rPr>
        <w:t>须清晰可见，模糊不清晰的则当无效材料处理。</w:t>
      </w:r>
      <w:r>
        <w:rPr>
          <w:rFonts w:hint="default" w:ascii="Times New Roman" w:hAnsi="Times New Roman" w:eastAsia="宋体" w:cs="Times New Roman"/>
          <w:color w:val="auto"/>
          <w:sz w:val="24"/>
          <w:szCs w:val="24"/>
          <w:highlight w:val="none"/>
        </w:rPr>
        <w:t>报价文件</w:t>
      </w:r>
      <w:r>
        <w:rPr>
          <w:rFonts w:hint="default" w:ascii="Times New Roman" w:hAnsi="Times New Roman" w:eastAsia="宋体" w:cs="Times New Roman"/>
          <w:color w:val="auto"/>
          <w:sz w:val="24"/>
          <w:szCs w:val="24"/>
          <w:highlight w:val="none"/>
          <w:lang w:val="en-US" w:eastAsia="zh-CN"/>
        </w:rPr>
        <w:t>需</w:t>
      </w:r>
      <w:r>
        <w:rPr>
          <w:rFonts w:hint="default" w:ascii="Times New Roman" w:hAnsi="Times New Roman" w:eastAsia="宋体" w:cs="Times New Roman"/>
          <w:color w:val="auto"/>
          <w:sz w:val="24"/>
          <w:szCs w:val="24"/>
          <w:highlight w:val="none"/>
        </w:rPr>
        <w:t>附上材料目录（附页码）。</w:t>
      </w:r>
    </w:p>
    <w:p w14:paraId="013E83B1">
      <w:pPr>
        <w:keepNext w:val="0"/>
        <w:keepLines w:val="0"/>
        <w:pageBreakBefore w:val="0"/>
        <w:widowControl w:val="0"/>
        <w:kinsoku/>
        <w:bidi w:val="0"/>
        <w:spacing w:line="360" w:lineRule="auto"/>
        <w:textAlignment w:val="top"/>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二、完整的报价文件至少包括以下内容：</w:t>
      </w:r>
    </w:p>
    <w:p w14:paraId="2C6D4C22">
      <w:pPr>
        <w:keepNext w:val="0"/>
        <w:keepLines w:val="0"/>
        <w:pageBreakBefore w:val="0"/>
        <w:widowControl w:val="0"/>
        <w:kinsoku/>
        <w:bidi w:val="0"/>
        <w:spacing w:line="360" w:lineRule="auto"/>
        <w:ind w:firstLine="480" w:firstLineChars="200"/>
        <w:textAlignment w:val="top"/>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1.报价文件封面（原件，格式详见附件三）；</w:t>
      </w:r>
    </w:p>
    <w:p w14:paraId="6FF9EA10">
      <w:pPr>
        <w:keepNext w:val="0"/>
        <w:keepLines w:val="0"/>
        <w:pageBreakBefore w:val="0"/>
        <w:widowControl w:val="0"/>
        <w:kinsoku/>
        <w:bidi w:val="0"/>
        <w:spacing w:line="360" w:lineRule="auto"/>
        <w:ind w:firstLine="480" w:firstLineChars="200"/>
        <w:textAlignment w:val="top"/>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2.报价表（原件，格式详见附件四）；</w:t>
      </w:r>
    </w:p>
    <w:p w14:paraId="47DF3975">
      <w:pPr>
        <w:keepNext w:val="0"/>
        <w:keepLines w:val="0"/>
        <w:pageBreakBefore w:val="0"/>
        <w:widowControl w:val="0"/>
        <w:kinsoku/>
        <w:bidi w:val="0"/>
        <w:spacing w:line="360" w:lineRule="auto"/>
        <w:ind w:firstLine="480" w:firstLineChars="200"/>
        <w:textAlignment w:val="top"/>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3.企业营业执照或事业单位法人证书（复印件）、资质证书及报价人资格要求需要提供的其他文件（复印件，如有）；</w:t>
      </w:r>
    </w:p>
    <w:p w14:paraId="565C5078">
      <w:pPr>
        <w:keepNext w:val="0"/>
        <w:keepLines w:val="0"/>
        <w:pageBreakBefore w:val="0"/>
        <w:widowControl w:val="0"/>
        <w:kinsoku/>
        <w:bidi w:val="0"/>
        <w:spacing w:line="360" w:lineRule="auto"/>
        <w:ind w:firstLine="480" w:firstLineChars="200"/>
        <w:textAlignment w:val="top"/>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4.法定代表人证明书（原件，格式详见附件五-5.1）、法人授权委托书（原件，格式详见附件五-5.2，仅限于非法定代表人参加询比活动时提供）；</w:t>
      </w:r>
    </w:p>
    <w:p w14:paraId="7CCF5071">
      <w:pPr>
        <w:keepNext w:val="0"/>
        <w:keepLines w:val="0"/>
        <w:pageBreakBefore w:val="0"/>
        <w:widowControl w:val="0"/>
        <w:kinsoku/>
        <w:bidi w:val="0"/>
        <w:spacing w:line="360" w:lineRule="auto"/>
        <w:ind w:firstLine="480" w:firstLineChars="200"/>
        <w:textAlignment w:val="top"/>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5.业绩情况汇总表（原件，格式详见附件六），须附业绩证明材料（合同复印件或评分标准要求提供的其他证明文件复印件）；</w:t>
      </w:r>
    </w:p>
    <w:p w14:paraId="711FE2E0">
      <w:pPr>
        <w:keepNext w:val="0"/>
        <w:keepLines w:val="0"/>
        <w:pageBreakBefore w:val="0"/>
        <w:widowControl w:val="0"/>
        <w:kinsoku/>
        <w:bidi w:val="0"/>
        <w:spacing w:line="360" w:lineRule="auto"/>
        <w:ind w:firstLine="480" w:firstLineChars="200"/>
        <w:textAlignment w:val="top"/>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6.项目负责人及其他人员配备情况表（原件，格式详见附件七），须附项目负责人及其他人员相关证书及社保证明（复印件）；</w:t>
      </w:r>
    </w:p>
    <w:p w14:paraId="463F891F">
      <w:pPr>
        <w:keepNext w:val="0"/>
        <w:keepLines w:val="0"/>
        <w:pageBreakBefore w:val="0"/>
        <w:widowControl w:val="0"/>
        <w:kinsoku/>
        <w:bidi w:val="0"/>
        <w:spacing w:line="360" w:lineRule="auto"/>
        <w:ind w:firstLine="480" w:firstLineChars="200"/>
        <w:textAlignment w:val="top"/>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7.综合评分表上要求提供的其他材料（复印件）；</w:t>
      </w:r>
    </w:p>
    <w:p w14:paraId="31D8889E">
      <w:pPr>
        <w:keepNext w:val="0"/>
        <w:keepLines w:val="0"/>
        <w:pageBreakBefore w:val="0"/>
        <w:widowControl w:val="0"/>
        <w:kinsoku/>
        <w:bidi w:val="0"/>
        <w:spacing w:line="360" w:lineRule="auto"/>
        <w:ind w:firstLine="480" w:firstLineChars="200"/>
        <w:textAlignment w:val="top"/>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8.报价人声明（原件，详见附件</w:t>
      </w:r>
      <w:r>
        <w:rPr>
          <w:rFonts w:hint="default" w:ascii="Times New Roman" w:hAnsi="Times New Roman" w:eastAsia="宋体" w:cs="Times New Roman"/>
          <w:color w:val="auto"/>
          <w:sz w:val="24"/>
          <w:szCs w:val="24"/>
          <w:highlight w:val="none"/>
          <w:lang w:val="en-US" w:eastAsia="zh-CN"/>
        </w:rPr>
        <w:t>八</w:t>
      </w:r>
      <w:r>
        <w:rPr>
          <w:rFonts w:hint="default" w:ascii="Times New Roman" w:hAnsi="Times New Roman" w:eastAsia="宋体" w:cs="Times New Roman"/>
          <w:color w:val="auto"/>
          <w:sz w:val="24"/>
          <w:szCs w:val="24"/>
          <w:highlight w:val="none"/>
        </w:rPr>
        <w:t>）；</w:t>
      </w:r>
    </w:p>
    <w:p w14:paraId="5C96CFFF">
      <w:pPr>
        <w:keepNext w:val="0"/>
        <w:keepLines w:val="0"/>
        <w:pageBreakBefore w:val="0"/>
        <w:widowControl w:val="0"/>
        <w:kinsoku/>
        <w:bidi w:val="0"/>
        <w:spacing w:line="360" w:lineRule="auto"/>
        <w:ind w:firstLine="480" w:firstLineChars="200"/>
        <w:textAlignment w:val="top"/>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val="en-US" w:eastAsia="zh-CN"/>
        </w:rPr>
        <w:t>9.</w:t>
      </w:r>
      <w:r>
        <w:rPr>
          <w:rFonts w:hint="default" w:ascii="Times New Roman" w:hAnsi="Times New Roman" w:eastAsia="宋体" w:cs="Times New Roman"/>
          <w:color w:val="auto"/>
          <w:sz w:val="24"/>
          <w:szCs w:val="24"/>
          <w:highlight w:val="none"/>
        </w:rPr>
        <w:t>报价文件电子版（</w:t>
      </w:r>
      <w:r>
        <w:rPr>
          <w:rFonts w:hint="default" w:ascii="Times New Roman" w:hAnsi="Times New Roman" w:eastAsia="宋体" w:cs="Times New Roman"/>
          <w:b/>
          <w:bCs/>
          <w:color w:val="auto"/>
          <w:sz w:val="24"/>
          <w:szCs w:val="24"/>
          <w:highlight w:val="none"/>
        </w:rPr>
        <w:t>附u盘，报价文件电子版命名格式为“报价人单位名称+项目名称+报价文件”</w:t>
      </w:r>
      <w:r>
        <w:rPr>
          <w:rFonts w:hint="default" w:ascii="Times New Roman" w:hAnsi="Times New Roman" w:eastAsia="宋体" w:cs="Times New Roman"/>
          <w:color w:val="auto"/>
          <w:sz w:val="24"/>
          <w:szCs w:val="24"/>
          <w:highlight w:val="none"/>
        </w:rPr>
        <w:t>）；</w:t>
      </w:r>
    </w:p>
    <w:p w14:paraId="604B3B84">
      <w:pPr>
        <w:keepNext w:val="0"/>
        <w:keepLines w:val="0"/>
        <w:pageBreakBefore w:val="0"/>
        <w:widowControl w:val="0"/>
        <w:kinsoku/>
        <w:bidi w:val="0"/>
        <w:spacing w:line="360" w:lineRule="auto"/>
        <w:ind w:firstLine="480" w:firstLineChars="200"/>
        <w:textAlignment w:val="top"/>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val="en-US" w:eastAsia="zh-CN"/>
        </w:rPr>
        <w:t>10.</w:t>
      </w:r>
      <w:r>
        <w:rPr>
          <w:rFonts w:hint="default" w:ascii="Times New Roman" w:hAnsi="Times New Roman" w:eastAsia="宋体" w:cs="Times New Roman"/>
          <w:color w:val="auto"/>
          <w:sz w:val="24"/>
          <w:szCs w:val="24"/>
          <w:highlight w:val="none"/>
        </w:rPr>
        <w:t>其他报价人认为需要提供的资料。</w:t>
      </w:r>
    </w:p>
    <w:p w14:paraId="5E11DE6D">
      <w:pPr>
        <w:pStyle w:val="2"/>
        <w:keepNext w:val="0"/>
        <w:keepLines w:val="0"/>
        <w:pageBreakBefore w:val="0"/>
        <w:widowControl w:val="0"/>
        <w:kinsoku/>
        <w:bidi w:val="0"/>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以上复印件材料均需盖上单位公章。</w:t>
      </w:r>
    </w:p>
    <w:p w14:paraId="0310CAE4">
      <w:pPr>
        <w:keepNext w:val="0"/>
        <w:keepLines w:val="0"/>
        <w:pageBreakBefore w:val="0"/>
        <w:widowControl w:val="0"/>
        <w:kinsoku/>
        <w:bidi w:val="0"/>
        <w:spacing w:line="360" w:lineRule="auto"/>
        <w:textAlignment w:val="top"/>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附件：</w:t>
      </w:r>
    </w:p>
    <w:p w14:paraId="7A127F28">
      <w:pPr>
        <w:pStyle w:val="61"/>
        <w:keepNext w:val="0"/>
        <w:keepLines w:val="0"/>
        <w:pageBreakBefore w:val="0"/>
        <w:widowControl w:val="0"/>
        <w:kinsoku/>
        <w:bidi w:val="0"/>
        <w:adjustRightInd w:val="0"/>
        <w:snapToGrid w:val="0"/>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1.资格性和符合性审查表</w:t>
      </w:r>
    </w:p>
    <w:p w14:paraId="4ECA7441">
      <w:pPr>
        <w:pStyle w:val="61"/>
        <w:keepNext w:val="0"/>
        <w:keepLines w:val="0"/>
        <w:pageBreakBefore w:val="0"/>
        <w:widowControl w:val="0"/>
        <w:kinsoku/>
        <w:bidi w:val="0"/>
        <w:adjustRightInd w:val="0"/>
        <w:snapToGrid w:val="0"/>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2.综合评分表</w:t>
      </w:r>
    </w:p>
    <w:p w14:paraId="5A7364F7">
      <w:pPr>
        <w:pStyle w:val="61"/>
        <w:keepNext w:val="0"/>
        <w:keepLines w:val="0"/>
        <w:pageBreakBefore w:val="0"/>
        <w:widowControl w:val="0"/>
        <w:kinsoku/>
        <w:bidi w:val="0"/>
        <w:adjustRightInd w:val="0"/>
        <w:snapToGrid w:val="0"/>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3.报价文件封面</w:t>
      </w:r>
    </w:p>
    <w:p w14:paraId="4F83FDED">
      <w:pPr>
        <w:pStyle w:val="61"/>
        <w:keepNext w:val="0"/>
        <w:keepLines w:val="0"/>
        <w:pageBreakBefore w:val="0"/>
        <w:widowControl w:val="0"/>
        <w:kinsoku/>
        <w:bidi w:val="0"/>
        <w:adjustRightInd w:val="0"/>
        <w:snapToGrid w:val="0"/>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4.报价表</w:t>
      </w:r>
    </w:p>
    <w:p w14:paraId="4C455A71">
      <w:pPr>
        <w:pStyle w:val="61"/>
        <w:keepNext w:val="0"/>
        <w:keepLines w:val="0"/>
        <w:pageBreakBefore w:val="0"/>
        <w:widowControl w:val="0"/>
        <w:kinsoku/>
        <w:bidi w:val="0"/>
        <w:adjustRightInd w:val="0"/>
        <w:snapToGrid w:val="0"/>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5.法定代表人证明书、法人授权委托书</w:t>
      </w:r>
    </w:p>
    <w:p w14:paraId="17C9E031">
      <w:pPr>
        <w:pStyle w:val="61"/>
        <w:keepNext w:val="0"/>
        <w:keepLines w:val="0"/>
        <w:pageBreakBefore w:val="0"/>
        <w:widowControl w:val="0"/>
        <w:kinsoku/>
        <w:bidi w:val="0"/>
        <w:adjustRightInd w:val="0"/>
        <w:snapToGrid w:val="0"/>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6.业绩情况汇总表</w:t>
      </w:r>
    </w:p>
    <w:p w14:paraId="3CB8C79C">
      <w:pPr>
        <w:pStyle w:val="61"/>
        <w:keepNext w:val="0"/>
        <w:keepLines w:val="0"/>
        <w:pageBreakBefore w:val="0"/>
        <w:widowControl w:val="0"/>
        <w:kinsoku/>
        <w:bidi w:val="0"/>
        <w:adjustRightInd w:val="0"/>
        <w:snapToGrid w:val="0"/>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7.项目</w:t>
      </w:r>
      <w:r>
        <w:rPr>
          <w:rFonts w:hint="default" w:ascii="Times New Roman" w:hAnsi="Times New Roman" w:eastAsia="宋体" w:cs="Times New Roman"/>
          <w:color w:val="auto"/>
          <w:sz w:val="24"/>
          <w:szCs w:val="24"/>
          <w:highlight w:val="none"/>
          <w:lang w:val="en-US" w:eastAsia="zh-CN"/>
        </w:rPr>
        <w:t>负责人</w:t>
      </w:r>
      <w:r>
        <w:rPr>
          <w:rFonts w:hint="default" w:ascii="Times New Roman" w:hAnsi="Times New Roman" w:eastAsia="宋体" w:cs="Times New Roman"/>
          <w:color w:val="auto"/>
          <w:sz w:val="24"/>
          <w:szCs w:val="24"/>
          <w:highlight w:val="none"/>
        </w:rPr>
        <w:t>及其他人员配备情况表</w:t>
      </w:r>
    </w:p>
    <w:p w14:paraId="5E74A8C9">
      <w:pPr>
        <w:pStyle w:val="15"/>
        <w:adjustRightInd w:val="0"/>
        <w:snapToGrid w:val="0"/>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8.报价人声明</w:t>
      </w:r>
    </w:p>
    <w:p w14:paraId="7270CDA8">
      <w:pPr>
        <w:pStyle w:val="61"/>
        <w:adjustRightInd w:val="0"/>
        <w:snapToGrid w:val="0"/>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9.报价人关联企业情况声明</w:t>
      </w:r>
    </w:p>
    <w:p w14:paraId="67A167C0">
      <w:pPr>
        <w:widowControl w:val="0"/>
        <w:adjustRightInd w:val="0"/>
        <w:snapToGrid w:val="0"/>
        <w:spacing w:line="360" w:lineRule="auto"/>
        <w:ind w:firstLine="480" w:firstLineChars="200"/>
        <w:jc w:val="both"/>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cs="Times New Roman"/>
          <w:color w:val="auto"/>
          <w:sz w:val="24"/>
          <w:szCs w:val="24"/>
          <w:highlight w:val="none"/>
        </w:rPr>
        <w:t>10.联合体共同报价协议书（如有）</w:t>
      </w:r>
    </w:p>
    <w:p w14:paraId="77713CDF">
      <w:pP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br w:type="page"/>
      </w:r>
    </w:p>
    <w:p w14:paraId="70717530">
      <w:pPr>
        <w:pStyle w:val="2"/>
        <w:keepNext w:val="0"/>
        <w:keepLines w:val="0"/>
        <w:pageBreakBefore w:val="0"/>
        <w:widowControl w:val="0"/>
        <w:kinsoku/>
        <w:bidi w:val="0"/>
        <w:spacing w:line="360" w:lineRule="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附件一</w:t>
      </w:r>
    </w:p>
    <w:p w14:paraId="1A14E26D">
      <w:pPr>
        <w:pStyle w:val="15"/>
        <w:keepNext w:val="0"/>
        <w:keepLines w:val="0"/>
        <w:pageBreakBefore w:val="0"/>
        <w:widowControl w:val="0"/>
        <w:kinsoku/>
        <w:bidi w:val="0"/>
        <w:spacing w:line="360" w:lineRule="auto"/>
        <w:jc w:val="center"/>
        <w:rPr>
          <w:rFonts w:hint="default" w:ascii="Times New Roman" w:hAnsi="Times New Roman" w:eastAsia="宋体" w:cs="Times New Roman"/>
          <w:b/>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bCs/>
          <w:color w:val="000000" w:themeColor="text1"/>
          <w:sz w:val="28"/>
          <w:szCs w:val="28"/>
          <w:highlight w:val="none"/>
          <w14:textFill>
            <w14:solidFill>
              <w14:schemeClr w14:val="tx1"/>
            </w14:solidFill>
          </w14:textFill>
        </w:rPr>
        <w:t>资格性和符合性审查表</w:t>
      </w:r>
    </w:p>
    <w:p w14:paraId="64D0CED7">
      <w:pPr>
        <w:pStyle w:val="15"/>
        <w:spacing w:line="360" w:lineRule="auto"/>
        <w:rPr>
          <w:rFonts w:hint="default" w:ascii="Times New Roman" w:hAnsi="Times New Roman" w:eastAsia="宋体" w:cs="Times New Roman"/>
          <w:b/>
          <w:bCs/>
          <w:caps w:val="0"/>
          <w:color w:val="000000" w:themeColor="text1"/>
          <w:sz w:val="24"/>
          <w:szCs w:val="24"/>
          <w:highlight w:val="none"/>
          <w14:textFill>
            <w14:solidFill>
              <w14:schemeClr w14:val="tx1"/>
            </w14:solidFill>
          </w14:textFill>
        </w:rPr>
      </w:pPr>
      <w:r>
        <w:rPr>
          <w:rFonts w:hint="default" w:ascii="Times New Roman" w:hAnsi="Times New Roman" w:eastAsia="宋体" w:cs="Times New Roman"/>
          <w:caps w:val="0"/>
          <w:color w:val="000000" w:themeColor="text1"/>
          <w:sz w:val="24"/>
          <w:szCs w:val="24"/>
          <w:highlight w:val="none"/>
          <w:shd w:val="clear" w:color="auto" w:fill="FFFFFF"/>
          <w14:textFill>
            <w14:solidFill>
              <w14:schemeClr w14:val="tx1"/>
            </w14:solidFill>
          </w14:textFill>
        </w:rPr>
        <w:t>项目名称：</w:t>
      </w:r>
      <w:r>
        <w:rPr>
          <w:rFonts w:hint="default" w:ascii="Times New Roman" w:hAnsi="Times New Roman" w:eastAsia="宋体" w:cs="Times New Roman"/>
          <w:caps w:val="0"/>
          <w:color w:val="000000" w:themeColor="text1"/>
          <w:sz w:val="24"/>
          <w:szCs w:val="24"/>
          <w:highlight w:val="none"/>
          <w:u w:val="single"/>
          <w:shd w:val="clear" w:color="auto" w:fill="FFFFFF"/>
          <w:lang w:val="en-US" w:eastAsia="zh-CN"/>
          <w14:textFill>
            <w14:solidFill>
              <w14:schemeClr w14:val="tx1"/>
            </w14:solidFill>
          </w14:textFill>
        </w:rPr>
        <w:t xml:space="preserve">西湾和苑人行天桥管线迁改设计施工总承包 </w:t>
      </w:r>
    </w:p>
    <w:tbl>
      <w:tblPr>
        <w:tblStyle w:val="29"/>
        <w:tblW w:w="91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7"/>
        <w:gridCol w:w="5350"/>
        <w:gridCol w:w="1150"/>
        <w:gridCol w:w="1117"/>
        <w:gridCol w:w="817"/>
      </w:tblGrid>
      <w:tr w14:paraId="392151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727" w:type="dxa"/>
            <w:vAlign w:val="center"/>
          </w:tcPr>
          <w:p w14:paraId="15532D7F">
            <w:pPr>
              <w:pStyle w:val="15"/>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r>
              <w:rPr>
                <w:rFonts w:hint="default" w:ascii="Times New Roman" w:hAnsi="Times New Roman" w:eastAsia="宋体" w:cs="Times New Roman"/>
                <w:b/>
                <w:bCs/>
                <w:color w:val="000000" w:themeColor="text1"/>
                <w:sz w:val="24"/>
                <w:szCs w:val="24"/>
                <w:highlight w:val="none"/>
                <w14:textFill>
                  <w14:solidFill>
                    <w14:schemeClr w14:val="tx1"/>
                  </w14:solidFill>
                </w14:textFill>
              </w:rPr>
              <w:t>序号</w:t>
            </w:r>
          </w:p>
        </w:tc>
        <w:tc>
          <w:tcPr>
            <w:tcW w:w="5350" w:type="dxa"/>
            <w:vAlign w:val="center"/>
          </w:tcPr>
          <w:p w14:paraId="11A8C312">
            <w:pPr>
              <w:pStyle w:val="15"/>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r>
              <w:rPr>
                <w:rFonts w:hint="default" w:ascii="Times New Roman" w:hAnsi="Times New Roman" w:eastAsia="宋体" w:cs="Times New Roman"/>
                <w:b/>
                <w:bCs/>
                <w:color w:val="000000" w:themeColor="text1"/>
                <w:sz w:val="24"/>
                <w:szCs w:val="24"/>
                <w:highlight w:val="none"/>
                <w14:textFill>
                  <w14:solidFill>
                    <w14:schemeClr w14:val="tx1"/>
                  </w14:solidFill>
                </w14:textFill>
              </w:rPr>
              <w:t>审查内容</w:t>
            </w:r>
          </w:p>
        </w:tc>
        <w:tc>
          <w:tcPr>
            <w:tcW w:w="1150" w:type="dxa"/>
            <w:vAlign w:val="center"/>
          </w:tcPr>
          <w:p w14:paraId="62A57818">
            <w:pPr>
              <w:pStyle w:val="15"/>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r>
              <w:rPr>
                <w:rFonts w:hint="default" w:ascii="Times New Roman" w:hAnsi="Times New Roman" w:eastAsia="宋体" w:cs="Times New Roman"/>
                <w:b/>
                <w:bCs/>
                <w:color w:val="000000" w:themeColor="text1"/>
                <w:sz w:val="24"/>
                <w:szCs w:val="24"/>
                <w:highlight w:val="none"/>
                <w14:textFill>
                  <w14:solidFill>
                    <w14:schemeClr w14:val="tx1"/>
                  </w14:solidFill>
                </w14:textFill>
              </w:rPr>
              <w:t>报价人1</w:t>
            </w:r>
          </w:p>
        </w:tc>
        <w:tc>
          <w:tcPr>
            <w:tcW w:w="1117" w:type="dxa"/>
            <w:vAlign w:val="center"/>
          </w:tcPr>
          <w:p w14:paraId="5163F5DC">
            <w:pPr>
              <w:pStyle w:val="15"/>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r>
              <w:rPr>
                <w:rFonts w:hint="default" w:ascii="Times New Roman" w:hAnsi="Times New Roman" w:eastAsia="宋体" w:cs="Times New Roman"/>
                <w:b/>
                <w:bCs/>
                <w:color w:val="000000" w:themeColor="text1"/>
                <w:sz w:val="24"/>
                <w:szCs w:val="24"/>
                <w:highlight w:val="none"/>
                <w14:textFill>
                  <w14:solidFill>
                    <w14:schemeClr w14:val="tx1"/>
                  </w14:solidFill>
                </w14:textFill>
              </w:rPr>
              <w:t>报价人2</w:t>
            </w:r>
          </w:p>
        </w:tc>
        <w:tc>
          <w:tcPr>
            <w:tcW w:w="817" w:type="dxa"/>
            <w:vAlign w:val="center"/>
          </w:tcPr>
          <w:p w14:paraId="632E1939">
            <w:pPr>
              <w:pStyle w:val="15"/>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r>
              <w:rPr>
                <w:rFonts w:hint="default" w:ascii="Times New Roman" w:hAnsi="Times New Roman" w:eastAsia="宋体" w:cs="Times New Roman"/>
                <w:b/>
                <w:bCs/>
                <w:color w:val="000000" w:themeColor="text1"/>
                <w:sz w:val="24"/>
                <w:szCs w:val="24"/>
                <w:highlight w:val="none"/>
                <w14:textFill>
                  <w14:solidFill>
                    <w14:schemeClr w14:val="tx1"/>
                  </w14:solidFill>
                </w14:textFill>
              </w:rPr>
              <w:t>...</w:t>
            </w:r>
          </w:p>
        </w:tc>
      </w:tr>
      <w:tr w14:paraId="457937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6" w:hRule="atLeast"/>
        </w:trPr>
        <w:tc>
          <w:tcPr>
            <w:tcW w:w="727" w:type="dxa"/>
            <w:vAlign w:val="center"/>
          </w:tcPr>
          <w:p w14:paraId="42A01DC5">
            <w:pPr>
              <w:pStyle w:val="15"/>
              <w:spacing w:line="240" w:lineRule="auto"/>
              <w:jc w:val="center"/>
              <w:rPr>
                <w:rFonts w:hint="default" w:ascii="Times New Roman" w:hAnsi="Times New Roman" w:eastAsia="宋体" w:cs="Times New Roman"/>
                <w:caps w:val="0"/>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宋体" w:cs="Times New Roman"/>
                <w:caps w:val="0"/>
                <w:color w:val="000000" w:themeColor="text1"/>
                <w:sz w:val="24"/>
                <w:szCs w:val="24"/>
                <w:highlight w:val="none"/>
                <w14:textFill>
                  <w14:solidFill>
                    <w14:schemeClr w14:val="tx1"/>
                  </w14:solidFill>
                </w14:textFill>
              </w:rPr>
              <w:t>1</w:t>
            </w:r>
          </w:p>
        </w:tc>
        <w:tc>
          <w:tcPr>
            <w:tcW w:w="5350" w:type="dxa"/>
            <w:vAlign w:val="center"/>
          </w:tcPr>
          <w:p w14:paraId="24CBF2AB">
            <w:pPr>
              <w:jc w:val="left"/>
              <w:rPr>
                <w:rFonts w:hint="default" w:ascii="Times New Roman" w:hAnsi="Times New Roman" w:eastAsia="宋体" w:cs="Times New Roman"/>
                <w:caps w:val="0"/>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color w:val="auto"/>
                <w:sz w:val="24"/>
                <w:szCs w:val="24"/>
                <w:highlight w:val="none"/>
              </w:rPr>
              <w:t>报价人（如联合体报价，指联合体各方）具有独立法人资格，持有有效的市场监督（工商行政）管理部门核发的企业法人营业执照或各级登记管理机关颁发的事业单位法人证书，按国家法律经营。</w:t>
            </w:r>
          </w:p>
        </w:tc>
        <w:tc>
          <w:tcPr>
            <w:tcW w:w="1150" w:type="dxa"/>
          </w:tcPr>
          <w:p w14:paraId="4DF53564">
            <w:pPr>
              <w:pStyle w:val="15"/>
              <w:spacing w:line="360" w:lineRule="auto"/>
              <w:jc w:val="center"/>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p>
        </w:tc>
        <w:tc>
          <w:tcPr>
            <w:tcW w:w="1117" w:type="dxa"/>
          </w:tcPr>
          <w:p w14:paraId="0B86D849">
            <w:pPr>
              <w:pStyle w:val="15"/>
              <w:spacing w:line="360" w:lineRule="auto"/>
              <w:jc w:val="center"/>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p>
        </w:tc>
        <w:tc>
          <w:tcPr>
            <w:tcW w:w="817" w:type="dxa"/>
          </w:tcPr>
          <w:p w14:paraId="2716B334">
            <w:pPr>
              <w:pStyle w:val="15"/>
              <w:spacing w:line="360" w:lineRule="auto"/>
              <w:jc w:val="center"/>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p>
        </w:tc>
      </w:tr>
      <w:tr w14:paraId="1542A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9" w:hRule="atLeast"/>
        </w:trPr>
        <w:tc>
          <w:tcPr>
            <w:tcW w:w="727" w:type="dxa"/>
            <w:vAlign w:val="center"/>
          </w:tcPr>
          <w:p w14:paraId="7ADE176F">
            <w:pPr>
              <w:pStyle w:val="15"/>
              <w:jc w:val="center"/>
              <w:rPr>
                <w:rFonts w:hint="default" w:ascii="Times New Roman" w:hAnsi="Times New Roman" w:eastAsia="宋体" w:cs="Times New Roman"/>
                <w:caps w:val="0"/>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2</w:t>
            </w:r>
          </w:p>
        </w:tc>
        <w:tc>
          <w:tcPr>
            <w:tcW w:w="5350" w:type="dxa"/>
            <w:vAlign w:val="center"/>
          </w:tcPr>
          <w:p w14:paraId="421B3B71">
            <w:pPr>
              <w:jc w:val="left"/>
              <w:rPr>
                <w:rFonts w:hint="default" w:ascii="Times New Roman" w:hAnsi="Times New Roman" w:eastAsia="宋体" w:cs="Times New Roman"/>
                <w:caps w:val="0"/>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sz w:val="24"/>
                <w:szCs w:val="24"/>
                <w:highlight w:val="none"/>
              </w:rPr>
              <w:t>报价人具备建设主管部门颁发的工程设计资质（1）或（2）</w:t>
            </w:r>
            <w:r>
              <w:rPr>
                <w:rFonts w:hint="default" w:ascii="Times New Roman" w:hAnsi="Times New Roman" w:cs="Times New Roman"/>
                <w:sz w:val="24"/>
                <w:szCs w:val="24"/>
                <w:highlight w:val="none"/>
                <w:lang w:val="en-US" w:eastAsia="zh-CN"/>
              </w:rPr>
              <w:t>或（3）</w:t>
            </w:r>
            <w:r>
              <w:rPr>
                <w:rFonts w:hint="default" w:ascii="Times New Roman" w:hAnsi="Times New Roman" w:cs="Times New Roman"/>
                <w:sz w:val="24"/>
                <w:szCs w:val="24"/>
                <w:highlight w:val="none"/>
              </w:rPr>
              <w:t>：（1）工程设计综合甲级资质；（2）具备市政行业设计乙级（或以上）资质</w:t>
            </w:r>
            <w:r>
              <w:rPr>
                <w:rFonts w:hint="default" w:ascii="Times New Roman" w:hAnsi="Times New Roman" w:cs="Times New Roman"/>
                <w:sz w:val="24"/>
                <w:szCs w:val="24"/>
                <w:highlight w:val="none"/>
                <w:lang w:eastAsia="zh-CN"/>
              </w:rPr>
              <w:t>；（</w:t>
            </w:r>
            <w:r>
              <w:rPr>
                <w:rFonts w:hint="default" w:ascii="Times New Roman" w:hAnsi="Times New Roman" w:cs="Times New Roman"/>
                <w:sz w:val="24"/>
                <w:szCs w:val="24"/>
                <w:highlight w:val="none"/>
                <w:lang w:val="en-US" w:eastAsia="zh-CN"/>
              </w:rPr>
              <w:t>3</w:t>
            </w:r>
            <w:r>
              <w:rPr>
                <w:rFonts w:hint="default" w:ascii="Times New Roman" w:hAnsi="Times New Roman" w:cs="Times New Roman"/>
                <w:sz w:val="24"/>
                <w:szCs w:val="24"/>
                <w:highlight w:val="none"/>
                <w:lang w:eastAsia="zh-CN"/>
              </w:rPr>
              <w:t>）</w:t>
            </w:r>
            <w:r>
              <w:rPr>
                <w:rFonts w:hint="default" w:ascii="Times New Roman" w:hAnsi="Times New Roman" w:cs="Times New Roman"/>
                <w:sz w:val="24"/>
                <w:szCs w:val="24"/>
                <w:highlight w:val="none"/>
              </w:rPr>
              <w:t>同时具有市政行业（给水工程）专业丙级（或以上）资质及市政行业（道路工程）专业丙级（或以上）资质。</w:t>
            </w:r>
          </w:p>
        </w:tc>
        <w:tc>
          <w:tcPr>
            <w:tcW w:w="1150" w:type="dxa"/>
          </w:tcPr>
          <w:p w14:paraId="706A19CB">
            <w:pPr>
              <w:pStyle w:val="15"/>
              <w:spacing w:line="360" w:lineRule="auto"/>
              <w:jc w:val="center"/>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p>
        </w:tc>
        <w:tc>
          <w:tcPr>
            <w:tcW w:w="1117" w:type="dxa"/>
          </w:tcPr>
          <w:p w14:paraId="2752E0DF">
            <w:pPr>
              <w:pStyle w:val="15"/>
              <w:spacing w:line="360" w:lineRule="auto"/>
              <w:jc w:val="center"/>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p>
        </w:tc>
        <w:tc>
          <w:tcPr>
            <w:tcW w:w="817" w:type="dxa"/>
          </w:tcPr>
          <w:p w14:paraId="69DC06D5">
            <w:pPr>
              <w:pStyle w:val="15"/>
              <w:spacing w:line="360" w:lineRule="auto"/>
              <w:jc w:val="center"/>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p>
        </w:tc>
      </w:tr>
      <w:tr w14:paraId="654198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2" w:hRule="atLeast"/>
        </w:trPr>
        <w:tc>
          <w:tcPr>
            <w:tcW w:w="727" w:type="dxa"/>
            <w:shd w:val="clear" w:color="auto" w:fill="auto"/>
            <w:vAlign w:val="center"/>
          </w:tcPr>
          <w:p w14:paraId="1F9C8AFA">
            <w:pPr>
              <w:pStyle w:val="15"/>
              <w:spacing w:line="240" w:lineRule="auto"/>
              <w:jc w:val="center"/>
              <w:rPr>
                <w:rFonts w:hint="default" w:ascii="Times New Roman" w:hAnsi="Times New Roman" w:eastAsia="宋体" w:cs="Times New Roman"/>
                <w:caps w:val="0"/>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宋体" w:cs="Times New Roman"/>
                <w:caps w:val="0"/>
                <w:color w:val="000000" w:themeColor="text1"/>
                <w:kern w:val="2"/>
                <w:sz w:val="24"/>
                <w:szCs w:val="24"/>
                <w:highlight w:val="none"/>
                <w:lang w:val="en-US" w:eastAsia="zh-CN" w:bidi="ar-SA"/>
                <w14:textFill>
                  <w14:solidFill>
                    <w14:schemeClr w14:val="tx1"/>
                  </w14:solidFill>
                </w14:textFill>
              </w:rPr>
              <w:t>3</w:t>
            </w:r>
          </w:p>
        </w:tc>
        <w:tc>
          <w:tcPr>
            <w:tcW w:w="5350" w:type="dxa"/>
            <w:vAlign w:val="center"/>
          </w:tcPr>
          <w:p w14:paraId="75B35E10">
            <w:pPr>
              <w:jc w:val="left"/>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cs="Times New Roman"/>
                <w:sz w:val="24"/>
                <w:szCs w:val="24"/>
                <w:highlight w:val="none"/>
              </w:rPr>
              <w:t>报价人具备建设主管部门颁发的市政公用工程施工总承包三级或以上资质，同时具备《安全生产许可证》，证书需在有效期内。</w:t>
            </w:r>
          </w:p>
        </w:tc>
        <w:tc>
          <w:tcPr>
            <w:tcW w:w="1150" w:type="dxa"/>
          </w:tcPr>
          <w:p w14:paraId="59C7E736">
            <w:pPr>
              <w:pStyle w:val="15"/>
              <w:spacing w:line="360" w:lineRule="auto"/>
              <w:jc w:val="center"/>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p>
        </w:tc>
        <w:tc>
          <w:tcPr>
            <w:tcW w:w="1117" w:type="dxa"/>
          </w:tcPr>
          <w:p w14:paraId="63F9C180">
            <w:pPr>
              <w:pStyle w:val="15"/>
              <w:spacing w:line="360" w:lineRule="auto"/>
              <w:jc w:val="center"/>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p>
        </w:tc>
        <w:tc>
          <w:tcPr>
            <w:tcW w:w="817" w:type="dxa"/>
          </w:tcPr>
          <w:p w14:paraId="08394C66">
            <w:pPr>
              <w:pStyle w:val="15"/>
              <w:spacing w:line="360" w:lineRule="auto"/>
              <w:jc w:val="center"/>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p>
        </w:tc>
      </w:tr>
      <w:tr w14:paraId="7AD835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27" w:type="dxa"/>
            <w:shd w:val="clear" w:color="auto" w:fill="auto"/>
            <w:vAlign w:val="center"/>
          </w:tcPr>
          <w:p w14:paraId="1E305087">
            <w:pPr>
              <w:pStyle w:val="15"/>
              <w:spacing w:line="240" w:lineRule="auto"/>
              <w:jc w:val="center"/>
              <w:rPr>
                <w:rFonts w:hint="default" w:ascii="Times New Roman" w:hAnsi="Times New Roman" w:eastAsia="宋体" w:cs="Times New Roman"/>
                <w:caps w:val="0"/>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宋体" w:cs="Times New Roman"/>
                <w:caps w:val="0"/>
                <w:color w:val="000000" w:themeColor="text1"/>
                <w:kern w:val="2"/>
                <w:sz w:val="24"/>
                <w:szCs w:val="24"/>
                <w:highlight w:val="none"/>
                <w:lang w:val="en-US" w:eastAsia="zh-CN" w:bidi="ar-SA"/>
                <w14:textFill>
                  <w14:solidFill>
                    <w14:schemeClr w14:val="tx1"/>
                  </w14:solidFill>
                </w14:textFill>
              </w:rPr>
              <w:t>4</w:t>
            </w:r>
          </w:p>
        </w:tc>
        <w:tc>
          <w:tcPr>
            <w:tcW w:w="5350" w:type="dxa"/>
            <w:vAlign w:val="center"/>
          </w:tcPr>
          <w:p w14:paraId="59BD75E1">
            <w:pPr>
              <w:jc w:val="left"/>
              <w:rPr>
                <w:rFonts w:hint="default" w:ascii="Times New Roman" w:hAnsi="Times New Roman" w:eastAsia="宋体" w:cs="Times New Roman"/>
                <w:caps w:val="0"/>
                <w:color w:val="000000" w:themeColor="text1"/>
                <w:sz w:val="24"/>
                <w:szCs w:val="24"/>
                <w:highlight w:val="none"/>
                <w:lang w:eastAsia="zh-CN"/>
                <w14:textFill>
                  <w14:solidFill>
                    <w14:schemeClr w14:val="tx1"/>
                  </w14:solidFill>
                </w14:textFill>
              </w:rPr>
            </w:pPr>
            <w:r>
              <w:rPr>
                <w:rFonts w:hint="default" w:ascii="Times New Roman" w:hAnsi="Times New Roman" w:cs="Times New Roman"/>
                <w:sz w:val="24"/>
                <w:szCs w:val="24"/>
                <w:highlight w:val="none"/>
              </w:rPr>
              <w:t>项目负责人（若为联合体报价，由施工方提供）：报价人拟委派的项目负责人具备在报价单位注册的市政公用工程专业二级或以上注册建造师执业资格，同时具备安全生产考核合格证（B类）（需提供有效期内的证书复印件或建筑施工企业管理人员安全生产考核信息系统安全生产管理人员证书信息的打印页）。</w:t>
            </w:r>
          </w:p>
        </w:tc>
        <w:tc>
          <w:tcPr>
            <w:tcW w:w="1150" w:type="dxa"/>
          </w:tcPr>
          <w:p w14:paraId="50C6F1A9">
            <w:pPr>
              <w:pStyle w:val="15"/>
              <w:spacing w:line="360" w:lineRule="auto"/>
              <w:jc w:val="center"/>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p>
        </w:tc>
        <w:tc>
          <w:tcPr>
            <w:tcW w:w="1117" w:type="dxa"/>
          </w:tcPr>
          <w:p w14:paraId="6D8CEFE1">
            <w:pPr>
              <w:pStyle w:val="15"/>
              <w:spacing w:line="360" w:lineRule="auto"/>
              <w:jc w:val="center"/>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p>
        </w:tc>
        <w:tc>
          <w:tcPr>
            <w:tcW w:w="817" w:type="dxa"/>
          </w:tcPr>
          <w:p w14:paraId="232862A5">
            <w:pPr>
              <w:pStyle w:val="15"/>
              <w:spacing w:line="360" w:lineRule="auto"/>
              <w:jc w:val="center"/>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p>
        </w:tc>
      </w:tr>
      <w:tr w14:paraId="7E95B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trPr>
        <w:tc>
          <w:tcPr>
            <w:tcW w:w="727" w:type="dxa"/>
            <w:shd w:val="clear" w:color="auto" w:fill="auto"/>
            <w:vAlign w:val="center"/>
          </w:tcPr>
          <w:p w14:paraId="5622AEDE">
            <w:pPr>
              <w:pStyle w:val="15"/>
              <w:spacing w:line="240" w:lineRule="auto"/>
              <w:jc w:val="center"/>
              <w:rPr>
                <w:rFonts w:hint="default" w:ascii="Times New Roman" w:hAnsi="Times New Roman" w:eastAsia="宋体" w:cs="Times New Roman"/>
                <w:caps w:val="0"/>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宋体" w:cs="Times New Roman"/>
                <w:caps w:val="0"/>
                <w:color w:val="000000" w:themeColor="text1"/>
                <w:kern w:val="2"/>
                <w:sz w:val="24"/>
                <w:szCs w:val="24"/>
                <w:highlight w:val="none"/>
                <w:lang w:val="en-US" w:eastAsia="zh-CN" w:bidi="ar-SA"/>
                <w14:textFill>
                  <w14:solidFill>
                    <w14:schemeClr w14:val="tx1"/>
                  </w14:solidFill>
                </w14:textFill>
              </w:rPr>
              <w:t>5</w:t>
            </w:r>
          </w:p>
        </w:tc>
        <w:tc>
          <w:tcPr>
            <w:tcW w:w="5350" w:type="dxa"/>
            <w:vAlign w:val="center"/>
          </w:tcPr>
          <w:p w14:paraId="06DA5E01">
            <w:pPr>
              <w:jc w:val="left"/>
              <w:rPr>
                <w:rFonts w:hint="default" w:ascii="Times New Roman" w:hAnsi="Times New Roman" w:eastAsia="宋体" w:cs="Times New Roman"/>
                <w:caps w:val="0"/>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cs="Times New Roman"/>
                <w:sz w:val="24"/>
                <w:szCs w:val="24"/>
                <w:highlight w:val="none"/>
              </w:rPr>
              <w:t>设计负责人（若为联合体报价，由设计方提供）：报价人拟委派的设计负责人具备市政公用工程相关专业中级工程师或以上职称。</w:t>
            </w:r>
          </w:p>
        </w:tc>
        <w:tc>
          <w:tcPr>
            <w:tcW w:w="1150" w:type="dxa"/>
          </w:tcPr>
          <w:p w14:paraId="572A9D46">
            <w:pPr>
              <w:pStyle w:val="15"/>
              <w:spacing w:line="360" w:lineRule="auto"/>
              <w:jc w:val="center"/>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p>
        </w:tc>
        <w:tc>
          <w:tcPr>
            <w:tcW w:w="1117" w:type="dxa"/>
          </w:tcPr>
          <w:p w14:paraId="193E7E0C">
            <w:pPr>
              <w:pStyle w:val="15"/>
              <w:spacing w:line="360" w:lineRule="auto"/>
              <w:jc w:val="center"/>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p>
        </w:tc>
        <w:tc>
          <w:tcPr>
            <w:tcW w:w="817" w:type="dxa"/>
          </w:tcPr>
          <w:p w14:paraId="099901D4">
            <w:pPr>
              <w:pStyle w:val="15"/>
              <w:spacing w:line="360" w:lineRule="auto"/>
              <w:jc w:val="center"/>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p>
        </w:tc>
      </w:tr>
      <w:tr w14:paraId="2EC77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727" w:type="dxa"/>
            <w:vAlign w:val="center"/>
          </w:tcPr>
          <w:p w14:paraId="0E77A690">
            <w:pPr>
              <w:pStyle w:val="15"/>
              <w:spacing w:line="240" w:lineRule="auto"/>
              <w:jc w:val="center"/>
              <w:rPr>
                <w:rFonts w:hint="default" w:ascii="Times New Roman" w:hAnsi="Times New Roman" w:eastAsia="宋体" w:cs="Times New Roman"/>
                <w:caps w:val="0"/>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宋体" w:cs="Times New Roman"/>
                <w:caps w:val="0"/>
                <w:color w:val="000000" w:themeColor="text1"/>
                <w:kern w:val="2"/>
                <w:sz w:val="24"/>
                <w:szCs w:val="24"/>
                <w:highlight w:val="none"/>
                <w:lang w:val="en-US" w:eastAsia="zh-CN" w:bidi="ar-SA"/>
                <w14:textFill>
                  <w14:solidFill>
                    <w14:schemeClr w14:val="tx1"/>
                  </w14:solidFill>
                </w14:textFill>
              </w:rPr>
              <w:t>6</w:t>
            </w:r>
          </w:p>
        </w:tc>
        <w:tc>
          <w:tcPr>
            <w:tcW w:w="5350" w:type="dxa"/>
            <w:vAlign w:val="center"/>
          </w:tcPr>
          <w:p w14:paraId="0AE82222">
            <w:pPr>
              <w:jc w:val="left"/>
              <w:rPr>
                <w:rFonts w:hint="default" w:ascii="Times New Roman" w:hAnsi="Times New Roman" w:eastAsia="宋体" w:cs="Times New Roman"/>
                <w:caps w:val="0"/>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cs="Times New Roman"/>
                <w:sz w:val="24"/>
                <w:szCs w:val="24"/>
                <w:highlight w:val="none"/>
              </w:rPr>
              <w:t>专职安全员（若为联合体报价，由施工方提供）：报价人拟委派的专职安全人员须具有在有效期内的安全考核合格证书（C类），或能够提供建筑施工企业管理人员安全生产考核信息系统安全生产管理人员证书信息的打印页。</w:t>
            </w:r>
          </w:p>
        </w:tc>
        <w:tc>
          <w:tcPr>
            <w:tcW w:w="1150" w:type="dxa"/>
          </w:tcPr>
          <w:p w14:paraId="68F7F044">
            <w:pPr>
              <w:pStyle w:val="15"/>
              <w:spacing w:line="360" w:lineRule="auto"/>
              <w:jc w:val="center"/>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p>
        </w:tc>
        <w:tc>
          <w:tcPr>
            <w:tcW w:w="1117" w:type="dxa"/>
          </w:tcPr>
          <w:p w14:paraId="10AA91B2">
            <w:pPr>
              <w:pStyle w:val="15"/>
              <w:spacing w:line="360" w:lineRule="auto"/>
              <w:jc w:val="center"/>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p>
        </w:tc>
        <w:tc>
          <w:tcPr>
            <w:tcW w:w="817" w:type="dxa"/>
          </w:tcPr>
          <w:p w14:paraId="325E436F">
            <w:pPr>
              <w:pStyle w:val="15"/>
              <w:spacing w:line="360" w:lineRule="auto"/>
              <w:jc w:val="center"/>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p>
        </w:tc>
      </w:tr>
      <w:tr w14:paraId="5569F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727" w:type="dxa"/>
            <w:vAlign w:val="center"/>
          </w:tcPr>
          <w:p w14:paraId="43062996">
            <w:pPr>
              <w:pStyle w:val="15"/>
              <w:spacing w:line="240" w:lineRule="auto"/>
              <w:jc w:val="center"/>
              <w:rPr>
                <w:rFonts w:hint="default" w:ascii="Times New Roman" w:hAnsi="Times New Roman" w:eastAsia="宋体" w:cs="Times New Roman"/>
                <w:caps w:val="0"/>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宋体" w:cs="Times New Roman"/>
                <w:caps w:val="0"/>
                <w:color w:val="000000" w:themeColor="text1"/>
                <w:kern w:val="2"/>
                <w:sz w:val="24"/>
                <w:szCs w:val="24"/>
                <w:highlight w:val="none"/>
                <w:lang w:val="en-US" w:eastAsia="zh-CN" w:bidi="ar-SA"/>
                <w14:textFill>
                  <w14:solidFill>
                    <w14:schemeClr w14:val="tx1"/>
                  </w14:solidFill>
                </w14:textFill>
              </w:rPr>
              <w:t>7</w:t>
            </w:r>
          </w:p>
        </w:tc>
        <w:tc>
          <w:tcPr>
            <w:tcW w:w="5350" w:type="dxa"/>
            <w:vAlign w:val="center"/>
          </w:tcPr>
          <w:p w14:paraId="685E9F4A">
            <w:pPr>
              <w:jc w:val="left"/>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auto"/>
                <w:sz w:val="24"/>
                <w:szCs w:val="24"/>
                <w:highlight w:val="none"/>
              </w:rPr>
              <w:t>报价人及其法定代表人（或单位负责人）、拟派项目团队成员（含项目负责人、设计负责人、专职安全员及其他专业技术人员）未被列入“信用广州”网站（https://credit.gz.gov.cn）“严重失信主体名单”和“行业领域重点关注名单”（报价人须提供“信用广州”&lt;https://credit.gz.gov.cn〉的查询结果截图）。注：如相关人员查询到同姓名他人有记录的，需另行提供本人在“信用广州”下载的完整版“广州市个人公共信用信息报告”作为证明材料。</w:t>
            </w:r>
          </w:p>
        </w:tc>
        <w:tc>
          <w:tcPr>
            <w:tcW w:w="1150" w:type="dxa"/>
          </w:tcPr>
          <w:p w14:paraId="3C2F84BA">
            <w:pPr>
              <w:pStyle w:val="15"/>
              <w:spacing w:line="360" w:lineRule="auto"/>
              <w:jc w:val="center"/>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p>
        </w:tc>
        <w:tc>
          <w:tcPr>
            <w:tcW w:w="1117" w:type="dxa"/>
          </w:tcPr>
          <w:p w14:paraId="0D1C2D3B">
            <w:pPr>
              <w:pStyle w:val="15"/>
              <w:spacing w:line="360" w:lineRule="auto"/>
              <w:jc w:val="center"/>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p>
        </w:tc>
        <w:tc>
          <w:tcPr>
            <w:tcW w:w="817" w:type="dxa"/>
          </w:tcPr>
          <w:p w14:paraId="46858AD3">
            <w:pPr>
              <w:pStyle w:val="15"/>
              <w:spacing w:line="360" w:lineRule="auto"/>
              <w:jc w:val="center"/>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p>
        </w:tc>
      </w:tr>
      <w:tr w14:paraId="764603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727" w:type="dxa"/>
            <w:vAlign w:val="center"/>
          </w:tcPr>
          <w:p w14:paraId="10E2EE3D">
            <w:pPr>
              <w:pStyle w:val="15"/>
              <w:spacing w:line="240" w:lineRule="auto"/>
              <w:jc w:val="center"/>
              <w:rPr>
                <w:rFonts w:hint="default" w:ascii="Times New Roman" w:hAnsi="Times New Roman" w:eastAsia="宋体" w:cs="Times New Roman"/>
                <w:caps w:val="0"/>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宋体" w:cs="Times New Roman"/>
                <w:caps w:val="0"/>
                <w:color w:val="000000" w:themeColor="text1"/>
                <w:kern w:val="2"/>
                <w:sz w:val="24"/>
                <w:szCs w:val="24"/>
                <w:highlight w:val="none"/>
                <w:lang w:val="en-US" w:eastAsia="zh-CN" w:bidi="ar-SA"/>
                <w14:textFill>
                  <w14:solidFill>
                    <w14:schemeClr w14:val="tx1"/>
                  </w14:solidFill>
                </w14:textFill>
              </w:rPr>
              <w:t>8</w:t>
            </w:r>
          </w:p>
        </w:tc>
        <w:tc>
          <w:tcPr>
            <w:tcW w:w="5350" w:type="dxa"/>
            <w:vAlign w:val="center"/>
          </w:tcPr>
          <w:p w14:paraId="1ABDAEF6">
            <w:pPr>
              <w:jc w:val="left"/>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cs="Times New Roman"/>
                <w:sz w:val="24"/>
                <w:szCs w:val="24"/>
                <w:highlight w:val="none"/>
              </w:rPr>
              <w:t>本次询比接受联合体报价：联合体报价的，联合体组成单位不得超过2家（1家施工单位、1家设计单位），应以承担施工任务的单位为主办方（牵头单位），并按询比文件要求签订联合体共同报价协议书。联合体共同报价协议书应明确约定各方拟承担的工作和责任。</w:t>
            </w:r>
          </w:p>
        </w:tc>
        <w:tc>
          <w:tcPr>
            <w:tcW w:w="1150" w:type="dxa"/>
          </w:tcPr>
          <w:p w14:paraId="2BDB2EDD">
            <w:pPr>
              <w:pStyle w:val="15"/>
              <w:spacing w:line="360" w:lineRule="auto"/>
              <w:jc w:val="center"/>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p>
        </w:tc>
        <w:tc>
          <w:tcPr>
            <w:tcW w:w="1117" w:type="dxa"/>
          </w:tcPr>
          <w:p w14:paraId="14A3FE2B">
            <w:pPr>
              <w:pStyle w:val="15"/>
              <w:spacing w:line="360" w:lineRule="auto"/>
              <w:jc w:val="center"/>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p>
        </w:tc>
        <w:tc>
          <w:tcPr>
            <w:tcW w:w="817" w:type="dxa"/>
          </w:tcPr>
          <w:p w14:paraId="7790C47E">
            <w:pPr>
              <w:pStyle w:val="15"/>
              <w:spacing w:line="360" w:lineRule="auto"/>
              <w:jc w:val="center"/>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p>
        </w:tc>
      </w:tr>
      <w:tr w14:paraId="7A3AE9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727" w:type="dxa"/>
            <w:vAlign w:val="center"/>
          </w:tcPr>
          <w:p w14:paraId="5837B376">
            <w:pPr>
              <w:pStyle w:val="15"/>
              <w:spacing w:line="240" w:lineRule="auto"/>
              <w:jc w:val="center"/>
              <w:rPr>
                <w:rFonts w:hint="default" w:ascii="Times New Roman" w:hAnsi="Times New Roman" w:eastAsia="宋体" w:cs="Times New Roman"/>
                <w:caps w:val="0"/>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宋体" w:cs="Times New Roman"/>
                <w:caps w:val="0"/>
                <w:color w:val="000000" w:themeColor="text1"/>
                <w:kern w:val="2"/>
                <w:sz w:val="24"/>
                <w:szCs w:val="24"/>
                <w:highlight w:val="none"/>
                <w:lang w:val="en-US" w:eastAsia="zh-CN" w:bidi="ar-SA"/>
                <w14:textFill>
                  <w14:solidFill>
                    <w14:schemeClr w14:val="tx1"/>
                  </w14:solidFill>
                </w14:textFill>
              </w:rPr>
              <w:t>9</w:t>
            </w:r>
          </w:p>
        </w:tc>
        <w:tc>
          <w:tcPr>
            <w:tcW w:w="5350" w:type="dxa"/>
            <w:vAlign w:val="center"/>
          </w:tcPr>
          <w:p w14:paraId="4FF3C316">
            <w:pPr>
              <w:jc w:val="left"/>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auto"/>
                <w:sz w:val="24"/>
                <w:szCs w:val="24"/>
                <w:highlight w:val="none"/>
              </w:rPr>
              <w:t>报价金额是固定价且是唯一的，未超过本项目最高报价限价，有效报价下浮率为</w:t>
            </w:r>
            <w:r>
              <w:rPr>
                <w:rFonts w:hint="default" w:ascii="Times New Roman" w:hAnsi="Times New Roman" w:cs="Times New Roman"/>
                <w:b/>
                <w:bCs/>
                <w:color w:val="auto"/>
                <w:sz w:val="24"/>
                <w:szCs w:val="24"/>
                <w:highlight w:val="none"/>
              </w:rPr>
              <w:t>0%-</w:t>
            </w:r>
            <w:r>
              <w:rPr>
                <w:rFonts w:hint="default" w:ascii="Times New Roman" w:hAnsi="Times New Roman" w:cs="Times New Roman"/>
                <w:b/>
                <w:bCs/>
                <w:color w:val="auto"/>
                <w:sz w:val="24"/>
                <w:szCs w:val="24"/>
                <w:highlight w:val="none"/>
                <w:lang w:val="en-US" w:eastAsia="zh-CN"/>
              </w:rPr>
              <w:t>5</w:t>
            </w:r>
            <w:r>
              <w:rPr>
                <w:rFonts w:hint="default" w:ascii="Times New Roman" w:hAnsi="Times New Roman" w:cs="Times New Roman"/>
                <w:b/>
                <w:bCs/>
                <w:color w:val="auto"/>
                <w:sz w:val="24"/>
                <w:szCs w:val="24"/>
                <w:highlight w:val="none"/>
              </w:rPr>
              <w:t>%</w:t>
            </w:r>
            <w:r>
              <w:rPr>
                <w:rFonts w:hint="default" w:ascii="Times New Roman" w:hAnsi="Times New Roman" w:cs="Times New Roman"/>
                <w:color w:val="auto"/>
                <w:sz w:val="24"/>
                <w:szCs w:val="24"/>
                <w:highlight w:val="none"/>
              </w:rPr>
              <w:t>。</w:t>
            </w:r>
          </w:p>
        </w:tc>
        <w:tc>
          <w:tcPr>
            <w:tcW w:w="1150" w:type="dxa"/>
          </w:tcPr>
          <w:p w14:paraId="34BC362C">
            <w:pPr>
              <w:pStyle w:val="15"/>
              <w:spacing w:line="360" w:lineRule="auto"/>
              <w:jc w:val="center"/>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p>
        </w:tc>
        <w:tc>
          <w:tcPr>
            <w:tcW w:w="1117" w:type="dxa"/>
          </w:tcPr>
          <w:p w14:paraId="7A496444">
            <w:pPr>
              <w:pStyle w:val="15"/>
              <w:spacing w:line="360" w:lineRule="auto"/>
              <w:jc w:val="center"/>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p>
        </w:tc>
        <w:tc>
          <w:tcPr>
            <w:tcW w:w="817" w:type="dxa"/>
          </w:tcPr>
          <w:p w14:paraId="0D788307">
            <w:pPr>
              <w:pStyle w:val="15"/>
              <w:spacing w:line="360" w:lineRule="auto"/>
              <w:jc w:val="center"/>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p>
        </w:tc>
      </w:tr>
      <w:tr w14:paraId="0EE06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727" w:type="dxa"/>
            <w:vAlign w:val="center"/>
          </w:tcPr>
          <w:p w14:paraId="5ECDBE90">
            <w:pPr>
              <w:pStyle w:val="15"/>
              <w:spacing w:line="240" w:lineRule="auto"/>
              <w:jc w:val="center"/>
              <w:rPr>
                <w:rFonts w:hint="default" w:ascii="Times New Roman" w:hAnsi="Times New Roman" w:eastAsia="宋体" w:cs="Times New Roman"/>
                <w:caps w:val="0"/>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宋体" w:cs="Times New Roman"/>
                <w:caps w:val="0"/>
                <w:color w:val="000000" w:themeColor="text1"/>
                <w:kern w:val="2"/>
                <w:sz w:val="24"/>
                <w:szCs w:val="24"/>
                <w:highlight w:val="none"/>
                <w:lang w:val="en-US" w:eastAsia="zh-CN" w:bidi="ar-SA"/>
                <w14:textFill>
                  <w14:solidFill>
                    <w14:schemeClr w14:val="tx1"/>
                  </w14:solidFill>
                </w14:textFill>
              </w:rPr>
              <w:t>10</w:t>
            </w:r>
          </w:p>
        </w:tc>
        <w:tc>
          <w:tcPr>
            <w:tcW w:w="5350" w:type="dxa"/>
            <w:vAlign w:val="center"/>
          </w:tcPr>
          <w:p w14:paraId="72937605">
            <w:pPr>
              <w:jc w:val="left"/>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auto"/>
                <w:sz w:val="24"/>
                <w:szCs w:val="24"/>
                <w:highlight w:val="none"/>
              </w:rPr>
              <w:t>报价文件内容完整，无重大错漏，并已按询比文件要求签署及盖章。</w:t>
            </w:r>
          </w:p>
        </w:tc>
        <w:tc>
          <w:tcPr>
            <w:tcW w:w="1150" w:type="dxa"/>
          </w:tcPr>
          <w:p w14:paraId="42104F9F">
            <w:pPr>
              <w:pStyle w:val="15"/>
              <w:spacing w:line="360" w:lineRule="auto"/>
              <w:jc w:val="center"/>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p>
        </w:tc>
        <w:tc>
          <w:tcPr>
            <w:tcW w:w="1117" w:type="dxa"/>
          </w:tcPr>
          <w:p w14:paraId="24132EC1">
            <w:pPr>
              <w:pStyle w:val="15"/>
              <w:spacing w:line="360" w:lineRule="auto"/>
              <w:jc w:val="center"/>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p>
        </w:tc>
        <w:tc>
          <w:tcPr>
            <w:tcW w:w="817" w:type="dxa"/>
          </w:tcPr>
          <w:p w14:paraId="597316A4">
            <w:pPr>
              <w:pStyle w:val="15"/>
              <w:spacing w:line="360" w:lineRule="auto"/>
              <w:jc w:val="center"/>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p>
        </w:tc>
      </w:tr>
      <w:tr w14:paraId="0D7299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77" w:type="dxa"/>
            <w:gridSpan w:val="2"/>
          </w:tcPr>
          <w:p w14:paraId="566AD5CE">
            <w:pPr>
              <w:pStyle w:val="15"/>
              <w:spacing w:line="360" w:lineRule="auto"/>
              <w:jc w:val="center"/>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r>
              <w:rPr>
                <w:rFonts w:hint="default" w:ascii="Times New Roman" w:hAnsi="Times New Roman" w:eastAsia="宋体" w:cs="Times New Roman"/>
                <w:caps w:val="0"/>
                <w:color w:val="000000" w:themeColor="text1"/>
                <w:sz w:val="24"/>
                <w:szCs w:val="24"/>
                <w:highlight w:val="none"/>
                <w14:textFill>
                  <w14:solidFill>
                    <w14:schemeClr w14:val="tx1"/>
                  </w14:solidFill>
                </w14:textFill>
              </w:rPr>
              <w:t>结论</w:t>
            </w:r>
          </w:p>
        </w:tc>
        <w:tc>
          <w:tcPr>
            <w:tcW w:w="1150" w:type="dxa"/>
          </w:tcPr>
          <w:p w14:paraId="5C9EA1EA">
            <w:pPr>
              <w:pStyle w:val="15"/>
              <w:spacing w:line="360" w:lineRule="auto"/>
              <w:jc w:val="center"/>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p>
        </w:tc>
        <w:tc>
          <w:tcPr>
            <w:tcW w:w="1117" w:type="dxa"/>
          </w:tcPr>
          <w:p w14:paraId="375927D9">
            <w:pPr>
              <w:pStyle w:val="15"/>
              <w:spacing w:line="360" w:lineRule="auto"/>
              <w:jc w:val="center"/>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p>
        </w:tc>
        <w:tc>
          <w:tcPr>
            <w:tcW w:w="817" w:type="dxa"/>
          </w:tcPr>
          <w:p w14:paraId="77E9CA1B">
            <w:pPr>
              <w:pStyle w:val="15"/>
              <w:spacing w:line="360" w:lineRule="auto"/>
              <w:jc w:val="center"/>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p>
        </w:tc>
      </w:tr>
    </w:tbl>
    <w:p w14:paraId="181C018B">
      <w:pPr>
        <w:pStyle w:val="15"/>
        <w:spacing w:line="240" w:lineRule="auto"/>
        <w:jc w:val="left"/>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r>
        <w:rPr>
          <w:rFonts w:hint="default" w:ascii="Times New Roman" w:hAnsi="Times New Roman" w:eastAsia="宋体" w:cs="Times New Roman"/>
          <w:caps w:val="0"/>
          <w:color w:val="000000" w:themeColor="text1"/>
          <w:sz w:val="24"/>
          <w:szCs w:val="24"/>
          <w:highlight w:val="none"/>
          <w14:textFill>
            <w14:solidFill>
              <w14:schemeClr w14:val="tx1"/>
            </w14:solidFill>
          </w14:textFill>
        </w:rPr>
        <w:t>注：1.每一项符合的打“√”，不符合的打“×”。</w:t>
      </w:r>
    </w:p>
    <w:p w14:paraId="19A35D63">
      <w:pPr>
        <w:pStyle w:val="15"/>
        <w:spacing w:line="240" w:lineRule="auto"/>
        <w:ind w:firstLine="480" w:firstLineChars="200"/>
        <w:jc w:val="left"/>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r>
        <w:rPr>
          <w:rFonts w:hint="default" w:ascii="Times New Roman" w:hAnsi="Times New Roman" w:eastAsia="宋体" w:cs="Times New Roman"/>
          <w:caps w:val="0"/>
          <w:color w:val="000000" w:themeColor="text1"/>
          <w:sz w:val="24"/>
          <w:szCs w:val="24"/>
          <w:highlight w:val="none"/>
          <w14:textFill>
            <w14:solidFill>
              <w14:schemeClr w14:val="tx1"/>
            </w14:solidFill>
          </w14:textFill>
        </w:rPr>
        <w:t>2.“结论”一栏填写“通过”或“不通过”；任何一项出现“×”的，结论为不通过；不通过的为无效报价。</w:t>
      </w:r>
    </w:p>
    <w:p w14:paraId="7C053A11">
      <w:pPr>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r>
        <w:rPr>
          <w:rFonts w:hint="default" w:ascii="Times New Roman" w:hAnsi="Times New Roman" w:eastAsia="宋体" w:cs="Times New Roman"/>
          <w:caps w:val="0"/>
          <w:color w:val="000000" w:themeColor="text1"/>
          <w:sz w:val="24"/>
          <w:szCs w:val="24"/>
          <w:highlight w:val="none"/>
          <w14:textFill>
            <w14:solidFill>
              <w14:schemeClr w14:val="tx1"/>
            </w14:solidFill>
          </w14:textFill>
        </w:rPr>
        <w:br w:type="page"/>
      </w:r>
    </w:p>
    <w:p w14:paraId="07ED3D12">
      <w:pPr>
        <w:pStyle w:val="15"/>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b/>
          <w:caps w:val="0"/>
          <w:color w:val="000000" w:themeColor="text1"/>
          <w:sz w:val="24"/>
          <w:szCs w:val="24"/>
          <w:highlight w:val="none"/>
          <w14:textFill>
            <w14:solidFill>
              <w14:schemeClr w14:val="tx1"/>
            </w14:solidFill>
          </w14:textFill>
        </w:rPr>
      </w:pPr>
      <w:r>
        <w:rPr>
          <w:rFonts w:hint="default" w:ascii="Times New Roman" w:hAnsi="Times New Roman" w:eastAsia="宋体" w:cs="Times New Roman"/>
          <w:caps w:val="0"/>
          <w:color w:val="000000" w:themeColor="text1"/>
          <w:sz w:val="24"/>
          <w:szCs w:val="24"/>
          <w:highlight w:val="none"/>
          <w14:textFill>
            <w14:solidFill>
              <w14:schemeClr w14:val="tx1"/>
            </w14:solidFill>
          </w14:textFill>
        </w:rPr>
        <w:t>附件二</w:t>
      </w:r>
    </w:p>
    <w:p w14:paraId="1C7ACE8A">
      <w:pPr>
        <w:pStyle w:val="15"/>
        <w:spacing w:line="360" w:lineRule="auto"/>
        <w:jc w:val="center"/>
        <w:rPr>
          <w:rFonts w:hint="default" w:ascii="Times New Roman" w:hAnsi="Times New Roman" w:eastAsia="宋体" w:cs="Times New Roman"/>
          <w:b/>
          <w:bCs/>
          <w:caps w:val="0"/>
          <w:color w:val="000000" w:themeColor="text1"/>
          <w:sz w:val="28"/>
          <w:szCs w:val="28"/>
          <w:highlight w:val="none"/>
          <w14:textFill>
            <w14:solidFill>
              <w14:schemeClr w14:val="tx1"/>
            </w14:solidFill>
          </w14:textFill>
        </w:rPr>
      </w:pPr>
      <w:r>
        <w:rPr>
          <w:rFonts w:hint="default" w:ascii="Times New Roman" w:hAnsi="Times New Roman" w:eastAsia="宋体" w:cs="Times New Roman"/>
          <w:b/>
          <w:bCs/>
          <w:caps w:val="0"/>
          <w:color w:val="000000" w:themeColor="text1"/>
          <w:sz w:val="28"/>
          <w:szCs w:val="28"/>
          <w:highlight w:val="none"/>
          <w14:textFill>
            <w14:solidFill>
              <w14:schemeClr w14:val="tx1"/>
            </w14:solidFill>
          </w14:textFill>
        </w:rPr>
        <w:t>综合评分表</w:t>
      </w:r>
    </w:p>
    <w:p w14:paraId="5FE5838D">
      <w:pPr>
        <w:spacing w:line="360" w:lineRule="auto"/>
        <w:rPr>
          <w:rFonts w:hint="default" w:ascii="Times New Roman" w:hAnsi="Times New Roman" w:eastAsia="宋体" w:cs="Times New Roman"/>
          <w:caps w:val="0"/>
          <w:color w:val="000000" w:themeColor="text1"/>
          <w:sz w:val="24"/>
          <w:szCs w:val="24"/>
          <w:highlight w:val="none"/>
          <w:u w:val="single"/>
          <w:lang w:eastAsia="zh-CN"/>
          <w14:textFill>
            <w14:solidFill>
              <w14:schemeClr w14:val="tx1"/>
            </w14:solidFill>
          </w14:textFill>
        </w:rPr>
      </w:pPr>
      <w:r>
        <w:rPr>
          <w:rFonts w:hint="default" w:ascii="Times New Roman" w:hAnsi="Times New Roman" w:eastAsia="宋体" w:cs="Times New Roman"/>
          <w:caps w:val="0"/>
          <w:color w:val="000000" w:themeColor="text1"/>
          <w:sz w:val="24"/>
          <w:szCs w:val="24"/>
          <w:highlight w:val="none"/>
          <w14:textFill>
            <w14:solidFill>
              <w14:schemeClr w14:val="tx1"/>
            </w14:solidFill>
          </w14:textFill>
        </w:rPr>
        <w:t>项目名称：</w:t>
      </w:r>
      <w:r>
        <w:rPr>
          <w:rFonts w:hint="default" w:ascii="Times New Roman" w:hAnsi="Times New Roman" w:eastAsia="宋体" w:cs="Times New Roman"/>
          <w:caps w:val="0"/>
          <w:color w:val="000000" w:themeColor="text1"/>
          <w:sz w:val="24"/>
          <w:szCs w:val="24"/>
          <w:highlight w:val="none"/>
          <w:u w:val="single"/>
          <w:shd w:val="clear" w:color="auto" w:fill="FFFFFF"/>
          <w:lang w:val="en-US" w:eastAsia="zh-CN"/>
          <w14:textFill>
            <w14:solidFill>
              <w14:schemeClr w14:val="tx1"/>
            </w14:solidFill>
          </w14:textFill>
        </w:rPr>
        <w:t xml:space="preserve">西湾和苑人行天桥管线迁改设计施工总承包 </w:t>
      </w:r>
    </w:p>
    <w:tbl>
      <w:tblPr>
        <w:tblStyle w:val="29"/>
        <w:tblW w:w="96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0"/>
        <w:gridCol w:w="1230"/>
        <w:gridCol w:w="750"/>
        <w:gridCol w:w="6870"/>
      </w:tblGrid>
      <w:tr w14:paraId="123BE1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750" w:type="dxa"/>
            <w:vAlign w:val="center"/>
          </w:tcPr>
          <w:p w14:paraId="7397621B">
            <w:pPr>
              <w:autoSpaceDE w:val="0"/>
              <w:autoSpaceDN w:val="0"/>
              <w:adjustRightInd w:val="0"/>
              <w:jc w:val="center"/>
              <w:rPr>
                <w:rFonts w:hint="default" w:ascii="Times New Roman" w:hAnsi="Times New Roman" w:cs="Times New Roman"/>
                <w:b/>
                <w:bCs/>
                <w:color w:val="auto"/>
                <w:sz w:val="24"/>
                <w:szCs w:val="24"/>
                <w:highlight w:val="none"/>
              </w:rPr>
            </w:pPr>
            <w:r>
              <w:rPr>
                <w:rFonts w:hint="default" w:ascii="Times New Roman" w:hAnsi="Times New Roman" w:cs="Times New Roman"/>
                <w:b/>
                <w:bCs/>
                <w:color w:val="auto"/>
                <w:sz w:val="24"/>
                <w:szCs w:val="24"/>
                <w:highlight w:val="none"/>
              </w:rPr>
              <w:t>序号</w:t>
            </w:r>
          </w:p>
        </w:tc>
        <w:tc>
          <w:tcPr>
            <w:tcW w:w="1230" w:type="dxa"/>
            <w:vAlign w:val="center"/>
          </w:tcPr>
          <w:p w14:paraId="118E119C">
            <w:pPr>
              <w:autoSpaceDE w:val="0"/>
              <w:autoSpaceDN w:val="0"/>
              <w:adjustRightInd w:val="0"/>
              <w:jc w:val="center"/>
              <w:rPr>
                <w:rFonts w:hint="default" w:ascii="Times New Roman" w:hAnsi="Times New Roman" w:cs="Times New Roman"/>
                <w:b/>
                <w:bCs/>
                <w:color w:val="auto"/>
                <w:sz w:val="24"/>
                <w:szCs w:val="24"/>
                <w:highlight w:val="none"/>
                <w:lang w:val="zh-CN"/>
              </w:rPr>
            </w:pPr>
            <w:r>
              <w:rPr>
                <w:rFonts w:hint="default" w:ascii="Times New Roman" w:hAnsi="Times New Roman" w:cs="Times New Roman"/>
                <w:b/>
                <w:bCs/>
                <w:color w:val="auto"/>
                <w:sz w:val="24"/>
                <w:szCs w:val="24"/>
                <w:highlight w:val="none"/>
              </w:rPr>
              <w:t>评分内容</w:t>
            </w:r>
          </w:p>
        </w:tc>
        <w:tc>
          <w:tcPr>
            <w:tcW w:w="750" w:type="dxa"/>
            <w:vAlign w:val="center"/>
          </w:tcPr>
          <w:p w14:paraId="2AF24E8A">
            <w:pPr>
              <w:autoSpaceDE w:val="0"/>
              <w:autoSpaceDN w:val="0"/>
              <w:adjustRightInd w:val="0"/>
              <w:jc w:val="center"/>
              <w:rPr>
                <w:rFonts w:hint="default" w:ascii="Times New Roman" w:hAnsi="Times New Roman" w:cs="Times New Roman"/>
                <w:b/>
                <w:bCs/>
                <w:color w:val="auto"/>
                <w:sz w:val="24"/>
                <w:szCs w:val="24"/>
                <w:highlight w:val="none"/>
              </w:rPr>
            </w:pPr>
            <w:r>
              <w:rPr>
                <w:rFonts w:hint="default" w:ascii="Times New Roman" w:hAnsi="Times New Roman" w:cs="Times New Roman"/>
                <w:b/>
                <w:bCs/>
                <w:color w:val="auto"/>
                <w:sz w:val="24"/>
                <w:szCs w:val="24"/>
                <w:highlight w:val="none"/>
                <w:lang w:val="zh-CN"/>
              </w:rPr>
              <w:t>分值</w:t>
            </w:r>
          </w:p>
        </w:tc>
        <w:tc>
          <w:tcPr>
            <w:tcW w:w="6870" w:type="dxa"/>
            <w:vAlign w:val="center"/>
          </w:tcPr>
          <w:p w14:paraId="0EDA59B1">
            <w:pPr>
              <w:autoSpaceDE w:val="0"/>
              <w:autoSpaceDN w:val="0"/>
              <w:adjustRightInd w:val="0"/>
              <w:jc w:val="center"/>
              <w:rPr>
                <w:rFonts w:hint="default" w:ascii="Times New Roman" w:hAnsi="Times New Roman" w:cs="Times New Roman"/>
                <w:b/>
                <w:bCs/>
                <w:color w:val="auto"/>
                <w:sz w:val="24"/>
                <w:szCs w:val="24"/>
                <w:highlight w:val="none"/>
              </w:rPr>
            </w:pPr>
            <w:r>
              <w:rPr>
                <w:rFonts w:hint="default" w:ascii="Times New Roman" w:hAnsi="Times New Roman" w:cs="Times New Roman"/>
                <w:b/>
                <w:bCs/>
                <w:color w:val="auto"/>
                <w:sz w:val="24"/>
                <w:szCs w:val="24"/>
                <w:highlight w:val="none"/>
              </w:rPr>
              <w:t>评分标准</w:t>
            </w:r>
          </w:p>
        </w:tc>
      </w:tr>
      <w:tr w14:paraId="7AFD62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50" w:type="dxa"/>
            <w:vAlign w:val="center"/>
          </w:tcPr>
          <w:p w14:paraId="28C08298">
            <w:pPr>
              <w:autoSpaceDE w:val="0"/>
              <w:autoSpaceDN w:val="0"/>
              <w:adjustRightInd w:val="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一</w:t>
            </w:r>
          </w:p>
        </w:tc>
        <w:tc>
          <w:tcPr>
            <w:tcW w:w="1230" w:type="dxa"/>
            <w:vAlign w:val="center"/>
          </w:tcPr>
          <w:p w14:paraId="34A9638A">
            <w:pPr>
              <w:autoSpaceDE w:val="0"/>
              <w:autoSpaceDN w:val="0"/>
              <w:adjustRightInd w:val="0"/>
              <w:snapToGrid w:val="0"/>
              <w:jc w:val="center"/>
              <w:rPr>
                <w:rFonts w:hint="default" w:ascii="Times New Roman" w:hAnsi="Times New Roman" w:cs="Times New Roman"/>
                <w:sz w:val="24"/>
                <w:szCs w:val="24"/>
                <w:highlight w:val="none"/>
                <w:lang w:val="zh-CN"/>
              </w:rPr>
            </w:pPr>
            <w:r>
              <w:rPr>
                <w:rFonts w:hint="default" w:ascii="Times New Roman" w:hAnsi="Times New Roman" w:cs="Times New Roman"/>
                <w:sz w:val="24"/>
                <w:szCs w:val="24"/>
                <w:highlight w:val="none"/>
                <w:lang w:val="zh-CN"/>
              </w:rPr>
              <w:t>企业类似</w:t>
            </w:r>
          </w:p>
          <w:p w14:paraId="73DF8540">
            <w:pPr>
              <w:autoSpaceDE w:val="0"/>
              <w:autoSpaceDN w:val="0"/>
              <w:adjustRightInd w:val="0"/>
              <w:snapToGrid w:val="0"/>
              <w:jc w:val="center"/>
              <w:rPr>
                <w:rFonts w:hint="default" w:ascii="Times New Roman" w:hAnsi="Times New Roman" w:cs="Times New Roman"/>
                <w:color w:val="auto"/>
                <w:sz w:val="24"/>
                <w:szCs w:val="24"/>
                <w:highlight w:val="none"/>
              </w:rPr>
            </w:pPr>
            <w:r>
              <w:rPr>
                <w:rFonts w:hint="default" w:ascii="Times New Roman" w:hAnsi="Times New Roman" w:cs="Times New Roman"/>
                <w:sz w:val="24"/>
                <w:szCs w:val="24"/>
                <w:highlight w:val="none"/>
              </w:rPr>
              <w:t>项目</w:t>
            </w:r>
            <w:r>
              <w:rPr>
                <w:rFonts w:hint="default" w:ascii="Times New Roman" w:hAnsi="Times New Roman" w:cs="Times New Roman"/>
                <w:sz w:val="24"/>
                <w:szCs w:val="24"/>
                <w:highlight w:val="none"/>
                <w:lang w:val="zh-CN"/>
              </w:rPr>
              <w:t>业绩</w:t>
            </w:r>
          </w:p>
        </w:tc>
        <w:tc>
          <w:tcPr>
            <w:tcW w:w="750" w:type="dxa"/>
            <w:vAlign w:val="center"/>
          </w:tcPr>
          <w:p w14:paraId="1B86AF8D">
            <w:pPr>
              <w:autoSpaceDE w:val="0"/>
              <w:autoSpaceDN w:val="0"/>
              <w:adjustRightIn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cs="Times New Roman"/>
                <w:sz w:val="24"/>
                <w:szCs w:val="24"/>
                <w:highlight w:val="none"/>
                <w:lang w:val="en-US" w:eastAsia="zh-CN"/>
              </w:rPr>
              <w:t>30</w:t>
            </w:r>
          </w:p>
        </w:tc>
        <w:tc>
          <w:tcPr>
            <w:tcW w:w="6870" w:type="dxa"/>
            <w:vAlign w:val="center"/>
          </w:tcPr>
          <w:p w14:paraId="2F18DBDF">
            <w:pPr>
              <w:widowControl/>
              <w:jc w:val="left"/>
              <w:textAlignment w:val="center"/>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1、202</w:t>
            </w:r>
            <w:r>
              <w:rPr>
                <w:rFonts w:hint="default" w:ascii="Times New Roman" w:hAnsi="Times New Roman" w:cs="Times New Roman"/>
                <w:sz w:val="24"/>
                <w:szCs w:val="24"/>
                <w:highlight w:val="none"/>
                <w:lang w:val="en-US" w:eastAsia="zh-CN"/>
              </w:rPr>
              <w:t>1</w:t>
            </w:r>
            <w:r>
              <w:rPr>
                <w:rFonts w:hint="default" w:ascii="Times New Roman" w:hAnsi="Times New Roman" w:cs="Times New Roman"/>
                <w:sz w:val="24"/>
                <w:szCs w:val="24"/>
                <w:highlight w:val="none"/>
              </w:rPr>
              <w:t>年1月1日至今，报价人完成质量合格的市政</w:t>
            </w:r>
            <w:r>
              <w:rPr>
                <w:rFonts w:hint="default" w:ascii="Times New Roman" w:hAnsi="Times New Roman" w:cs="Times New Roman"/>
                <w:sz w:val="24"/>
                <w:szCs w:val="24"/>
                <w:highlight w:val="none"/>
                <w:lang w:val="en-US" w:eastAsia="zh-CN"/>
              </w:rPr>
              <w:t>公用</w:t>
            </w:r>
            <w:r>
              <w:rPr>
                <w:rFonts w:hint="default" w:ascii="Times New Roman" w:hAnsi="Times New Roman" w:cs="Times New Roman"/>
                <w:sz w:val="24"/>
                <w:szCs w:val="24"/>
                <w:highlight w:val="none"/>
              </w:rPr>
              <w:t>工程施工</w:t>
            </w:r>
            <w:r>
              <w:rPr>
                <w:rFonts w:hint="default" w:ascii="Times New Roman" w:hAnsi="Times New Roman" w:cs="Times New Roman"/>
                <w:sz w:val="24"/>
                <w:szCs w:val="24"/>
                <w:highlight w:val="none"/>
                <w:lang w:val="zh-CN"/>
              </w:rPr>
              <w:t>（</w:t>
            </w:r>
            <w:r>
              <w:rPr>
                <w:rFonts w:hint="default" w:ascii="Times New Roman" w:hAnsi="Times New Roman" w:cs="Times New Roman"/>
                <w:sz w:val="24"/>
                <w:szCs w:val="24"/>
                <w:highlight w:val="none"/>
              </w:rPr>
              <w:t>建安工程</w:t>
            </w:r>
            <w:r>
              <w:rPr>
                <w:rFonts w:hint="default" w:ascii="Times New Roman" w:hAnsi="Times New Roman" w:cs="Times New Roman"/>
                <w:sz w:val="24"/>
                <w:szCs w:val="24"/>
                <w:highlight w:val="none"/>
                <w:lang w:val="zh-CN"/>
              </w:rPr>
              <w:t>费≥</w:t>
            </w:r>
            <w:r>
              <w:rPr>
                <w:rFonts w:hint="default" w:ascii="Times New Roman" w:hAnsi="Times New Roman" w:cs="Times New Roman"/>
                <w:sz w:val="24"/>
                <w:szCs w:val="24"/>
                <w:highlight w:val="none"/>
                <w:lang w:val="en-US" w:eastAsia="zh-CN"/>
              </w:rPr>
              <w:t>52</w:t>
            </w:r>
            <w:r>
              <w:rPr>
                <w:rFonts w:hint="default" w:ascii="Times New Roman" w:hAnsi="Times New Roman" w:cs="Times New Roman"/>
                <w:sz w:val="24"/>
                <w:szCs w:val="24"/>
                <w:highlight w:val="none"/>
                <w:lang w:val="zh-CN"/>
              </w:rPr>
              <w:t>万元）</w:t>
            </w:r>
            <w:r>
              <w:rPr>
                <w:rFonts w:hint="default" w:ascii="Times New Roman" w:hAnsi="Times New Roman" w:cs="Times New Roman"/>
                <w:sz w:val="24"/>
                <w:szCs w:val="24"/>
                <w:highlight w:val="none"/>
              </w:rPr>
              <w:t>，每个项目得3分，本小项最高得</w:t>
            </w:r>
            <w:r>
              <w:rPr>
                <w:rFonts w:hint="default" w:ascii="Times New Roman" w:hAnsi="Times New Roman" w:cs="Times New Roman"/>
                <w:sz w:val="24"/>
                <w:szCs w:val="24"/>
                <w:highlight w:val="none"/>
                <w:lang w:val="en-US" w:eastAsia="zh-CN"/>
              </w:rPr>
              <w:t>15</w:t>
            </w:r>
            <w:r>
              <w:rPr>
                <w:rFonts w:hint="default" w:ascii="Times New Roman" w:hAnsi="Times New Roman" w:cs="Times New Roman"/>
                <w:sz w:val="24"/>
                <w:szCs w:val="24"/>
                <w:highlight w:val="none"/>
              </w:rPr>
              <w:t>分。</w:t>
            </w:r>
          </w:p>
          <w:p w14:paraId="63867CAB">
            <w:pPr>
              <w:widowControl/>
              <w:jc w:val="left"/>
              <w:textAlignment w:val="center"/>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2、202</w:t>
            </w:r>
            <w:r>
              <w:rPr>
                <w:rFonts w:hint="default" w:ascii="Times New Roman" w:hAnsi="Times New Roman" w:cs="Times New Roman"/>
                <w:sz w:val="24"/>
                <w:szCs w:val="24"/>
                <w:highlight w:val="none"/>
                <w:lang w:val="en-US" w:eastAsia="zh-CN"/>
              </w:rPr>
              <w:t>1</w:t>
            </w:r>
            <w:r>
              <w:rPr>
                <w:rFonts w:hint="default" w:ascii="Times New Roman" w:hAnsi="Times New Roman" w:cs="Times New Roman"/>
                <w:sz w:val="24"/>
                <w:szCs w:val="24"/>
                <w:highlight w:val="none"/>
              </w:rPr>
              <w:t>年1月1日至今，报价人承接过市政</w:t>
            </w:r>
            <w:r>
              <w:rPr>
                <w:rFonts w:hint="default" w:ascii="Times New Roman" w:hAnsi="Times New Roman" w:cs="Times New Roman"/>
                <w:sz w:val="24"/>
                <w:szCs w:val="24"/>
                <w:highlight w:val="none"/>
                <w:lang w:val="en-US" w:eastAsia="zh-CN"/>
              </w:rPr>
              <w:t>公用</w:t>
            </w:r>
            <w:r>
              <w:rPr>
                <w:rFonts w:hint="default" w:ascii="Times New Roman" w:hAnsi="Times New Roman" w:cs="Times New Roman"/>
                <w:sz w:val="24"/>
                <w:szCs w:val="24"/>
                <w:highlight w:val="none"/>
              </w:rPr>
              <w:t>工程设计业绩，每个项目得</w:t>
            </w:r>
            <w:r>
              <w:rPr>
                <w:rFonts w:hint="default" w:ascii="Times New Roman" w:hAnsi="Times New Roman" w:cs="Times New Roman"/>
                <w:sz w:val="24"/>
                <w:szCs w:val="24"/>
                <w:highlight w:val="none"/>
                <w:lang w:val="en-US" w:eastAsia="zh-CN"/>
              </w:rPr>
              <w:t>3</w:t>
            </w:r>
            <w:r>
              <w:rPr>
                <w:rFonts w:hint="default" w:ascii="Times New Roman" w:hAnsi="Times New Roman" w:cs="Times New Roman"/>
                <w:sz w:val="24"/>
                <w:szCs w:val="24"/>
                <w:highlight w:val="none"/>
              </w:rPr>
              <w:t>分，本小项最高得</w:t>
            </w:r>
            <w:r>
              <w:rPr>
                <w:rFonts w:hint="default" w:ascii="Times New Roman" w:hAnsi="Times New Roman" w:cs="Times New Roman"/>
                <w:sz w:val="24"/>
                <w:szCs w:val="24"/>
                <w:highlight w:val="none"/>
                <w:lang w:val="en-US" w:eastAsia="zh-CN"/>
              </w:rPr>
              <w:t>15</w:t>
            </w:r>
            <w:r>
              <w:rPr>
                <w:rFonts w:hint="default" w:ascii="Times New Roman" w:hAnsi="Times New Roman" w:cs="Times New Roman"/>
                <w:sz w:val="24"/>
                <w:szCs w:val="24"/>
                <w:highlight w:val="none"/>
              </w:rPr>
              <w:t>分。</w:t>
            </w:r>
          </w:p>
          <w:p w14:paraId="7FC05611">
            <w:pPr>
              <w:widowControl/>
              <w:jc w:val="left"/>
              <w:textAlignment w:val="center"/>
              <w:rPr>
                <w:rFonts w:hint="default" w:ascii="Times New Roman" w:hAnsi="Times New Roman" w:cs="Times New Roman"/>
                <w:color w:val="auto"/>
                <w:highlight w:val="none"/>
                <w:lang w:val="zh-CN"/>
              </w:rPr>
            </w:pPr>
            <w:r>
              <w:rPr>
                <w:rFonts w:hint="default" w:ascii="Times New Roman" w:hAnsi="Times New Roman" w:cs="Times New Roman"/>
                <w:sz w:val="24"/>
                <w:szCs w:val="24"/>
                <w:highlight w:val="none"/>
              </w:rPr>
              <w:t>本项累计最高得</w:t>
            </w:r>
            <w:r>
              <w:rPr>
                <w:rFonts w:hint="default" w:ascii="Times New Roman" w:hAnsi="Times New Roman" w:cs="Times New Roman"/>
                <w:sz w:val="24"/>
                <w:szCs w:val="24"/>
                <w:highlight w:val="none"/>
                <w:lang w:val="en-US" w:eastAsia="zh-CN"/>
              </w:rPr>
              <w:t>30</w:t>
            </w:r>
            <w:r>
              <w:rPr>
                <w:rFonts w:hint="default" w:ascii="Times New Roman" w:hAnsi="Times New Roman" w:cs="Times New Roman"/>
                <w:sz w:val="24"/>
                <w:szCs w:val="24"/>
                <w:highlight w:val="none"/>
              </w:rPr>
              <w:t>分。</w:t>
            </w:r>
          </w:p>
        </w:tc>
      </w:tr>
      <w:tr w14:paraId="43FF4C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7" w:hRule="atLeast"/>
        </w:trPr>
        <w:tc>
          <w:tcPr>
            <w:tcW w:w="750" w:type="dxa"/>
            <w:vAlign w:val="center"/>
          </w:tcPr>
          <w:p w14:paraId="77AA3A81">
            <w:pPr>
              <w:autoSpaceDE w:val="0"/>
              <w:autoSpaceDN w:val="0"/>
              <w:adjustRightInd w:val="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二</w:t>
            </w:r>
          </w:p>
        </w:tc>
        <w:tc>
          <w:tcPr>
            <w:tcW w:w="1230" w:type="dxa"/>
            <w:vAlign w:val="center"/>
          </w:tcPr>
          <w:p w14:paraId="366F9EE2">
            <w:pPr>
              <w:autoSpaceDE w:val="0"/>
              <w:autoSpaceDN w:val="0"/>
              <w:adjustRightInd w:val="0"/>
              <w:snapToGrid w:val="0"/>
              <w:jc w:val="center"/>
              <w:rPr>
                <w:rFonts w:hint="default" w:ascii="Times New Roman" w:hAnsi="Times New Roman" w:cs="Times New Roman"/>
                <w:color w:val="auto"/>
                <w:sz w:val="24"/>
                <w:szCs w:val="24"/>
                <w:highlight w:val="none"/>
                <w:lang w:val="zh-CN"/>
              </w:rPr>
            </w:pPr>
            <w:r>
              <w:rPr>
                <w:rFonts w:hint="default" w:ascii="Times New Roman" w:hAnsi="Times New Roman" w:cs="Times New Roman"/>
                <w:sz w:val="24"/>
                <w:szCs w:val="24"/>
                <w:highlight w:val="none"/>
                <w:lang w:val="zh-CN"/>
              </w:rPr>
              <w:t>项目负责人</w:t>
            </w:r>
          </w:p>
        </w:tc>
        <w:tc>
          <w:tcPr>
            <w:tcW w:w="750" w:type="dxa"/>
            <w:vAlign w:val="center"/>
          </w:tcPr>
          <w:p w14:paraId="0B5DFB7D">
            <w:pPr>
              <w:autoSpaceDE w:val="0"/>
              <w:autoSpaceDN w:val="0"/>
              <w:adjustRightInd w:val="0"/>
              <w:snapToGri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cs="Times New Roman"/>
                <w:sz w:val="24"/>
                <w:szCs w:val="24"/>
                <w:highlight w:val="none"/>
                <w:lang w:val="en-US" w:eastAsia="zh-CN"/>
              </w:rPr>
              <w:t>8</w:t>
            </w:r>
          </w:p>
        </w:tc>
        <w:tc>
          <w:tcPr>
            <w:tcW w:w="6870" w:type="dxa"/>
            <w:vAlign w:val="center"/>
          </w:tcPr>
          <w:p w14:paraId="6484736B">
            <w:pPr>
              <w:numPr>
                <w:ilvl w:val="0"/>
                <w:numId w:val="1"/>
              </w:numPr>
              <w:autoSpaceDE w:val="0"/>
              <w:autoSpaceDN w:val="0"/>
              <w:adjustRightInd w:val="0"/>
              <w:jc w:val="left"/>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具备在报价单位注册的市政公用工程专业</w:t>
            </w:r>
            <w:r>
              <w:rPr>
                <w:rFonts w:hint="default" w:ascii="Times New Roman" w:hAnsi="Times New Roman" w:cs="Times New Roman"/>
                <w:sz w:val="24"/>
                <w:szCs w:val="24"/>
                <w:highlight w:val="none"/>
                <w:lang w:val="en-US" w:eastAsia="zh-CN"/>
              </w:rPr>
              <w:t>一级</w:t>
            </w:r>
            <w:r>
              <w:rPr>
                <w:rFonts w:hint="default" w:ascii="Times New Roman" w:hAnsi="Times New Roman" w:cs="Times New Roman"/>
                <w:sz w:val="24"/>
                <w:szCs w:val="24"/>
                <w:highlight w:val="none"/>
              </w:rPr>
              <w:t>注册建造师执业资格的得</w:t>
            </w:r>
            <w:r>
              <w:rPr>
                <w:rFonts w:hint="default" w:ascii="Times New Roman" w:hAnsi="Times New Roman" w:cs="Times New Roman"/>
                <w:sz w:val="24"/>
                <w:szCs w:val="24"/>
                <w:highlight w:val="none"/>
                <w:lang w:val="en-US" w:eastAsia="zh-CN"/>
              </w:rPr>
              <w:t>4</w:t>
            </w:r>
            <w:r>
              <w:rPr>
                <w:rFonts w:hint="default" w:ascii="Times New Roman" w:hAnsi="Times New Roman" w:cs="Times New Roman"/>
                <w:sz w:val="24"/>
                <w:szCs w:val="24"/>
                <w:highlight w:val="none"/>
              </w:rPr>
              <w:t>分，无或其他情况不得分。</w:t>
            </w:r>
          </w:p>
          <w:p w14:paraId="37CB8A78">
            <w:pPr>
              <w:numPr>
                <w:ilvl w:val="0"/>
                <w:numId w:val="1"/>
              </w:numPr>
              <w:autoSpaceDE w:val="0"/>
              <w:autoSpaceDN w:val="0"/>
              <w:adjustRightInd w:val="0"/>
              <w:jc w:val="left"/>
              <w:rPr>
                <w:rFonts w:hint="default" w:ascii="Times New Roman" w:hAnsi="Times New Roman" w:cs="Times New Roman"/>
                <w:highlight w:val="none"/>
                <w:lang w:val="en-US" w:eastAsia="zh-CN"/>
              </w:rPr>
            </w:pPr>
            <w:r>
              <w:rPr>
                <w:rFonts w:hint="default" w:ascii="Times New Roman" w:hAnsi="Times New Roman" w:cs="Times New Roman"/>
                <w:sz w:val="24"/>
                <w:szCs w:val="24"/>
                <w:highlight w:val="none"/>
              </w:rPr>
              <w:t>具有市政公用工程相关专业高级或以上工程师职称的得</w:t>
            </w:r>
            <w:r>
              <w:rPr>
                <w:rFonts w:hint="default" w:ascii="Times New Roman" w:hAnsi="Times New Roman" w:cs="Times New Roman"/>
                <w:sz w:val="24"/>
                <w:szCs w:val="24"/>
                <w:highlight w:val="none"/>
                <w:lang w:val="en-US" w:eastAsia="zh-CN"/>
              </w:rPr>
              <w:t>4</w:t>
            </w:r>
            <w:r>
              <w:rPr>
                <w:rFonts w:hint="default" w:ascii="Times New Roman" w:hAnsi="Times New Roman" w:cs="Times New Roman"/>
                <w:sz w:val="24"/>
                <w:szCs w:val="24"/>
                <w:highlight w:val="none"/>
              </w:rPr>
              <w:t>分，无或其他情况不得分。</w:t>
            </w:r>
          </w:p>
          <w:p w14:paraId="18C09BCE">
            <w:pPr>
              <w:pStyle w:val="2"/>
              <w:rPr>
                <w:rFonts w:hint="default" w:ascii="Times New Roman" w:hAnsi="Times New Roman" w:cs="Times New Roman"/>
                <w:color w:val="auto"/>
                <w:highlight w:val="none"/>
                <w:lang w:val="en-US" w:eastAsia="zh-CN"/>
              </w:rPr>
            </w:pPr>
            <w:r>
              <w:rPr>
                <w:rFonts w:hint="default" w:ascii="Times New Roman" w:hAnsi="Times New Roman" w:cs="Times New Roman"/>
                <w:sz w:val="24"/>
                <w:szCs w:val="24"/>
                <w:highlight w:val="none"/>
              </w:rPr>
              <w:t>本项累计最高得</w:t>
            </w:r>
            <w:r>
              <w:rPr>
                <w:rFonts w:hint="default" w:ascii="Times New Roman" w:hAnsi="Times New Roman" w:cs="Times New Roman"/>
                <w:sz w:val="24"/>
                <w:szCs w:val="24"/>
                <w:highlight w:val="none"/>
                <w:lang w:val="en-US" w:eastAsia="zh-CN"/>
              </w:rPr>
              <w:t>8</w:t>
            </w:r>
            <w:r>
              <w:rPr>
                <w:rFonts w:hint="default" w:ascii="Times New Roman" w:hAnsi="Times New Roman" w:cs="Times New Roman"/>
                <w:sz w:val="24"/>
                <w:szCs w:val="24"/>
                <w:highlight w:val="none"/>
              </w:rPr>
              <w:t>分。</w:t>
            </w:r>
          </w:p>
        </w:tc>
      </w:tr>
      <w:tr w14:paraId="26ABF4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2" w:hRule="atLeast"/>
        </w:trPr>
        <w:tc>
          <w:tcPr>
            <w:tcW w:w="750" w:type="dxa"/>
            <w:vAlign w:val="center"/>
          </w:tcPr>
          <w:p w14:paraId="3A55B321">
            <w:pPr>
              <w:autoSpaceDE w:val="0"/>
              <w:autoSpaceDN w:val="0"/>
              <w:adjustRightInd w:val="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三</w:t>
            </w:r>
          </w:p>
        </w:tc>
        <w:tc>
          <w:tcPr>
            <w:tcW w:w="1230" w:type="dxa"/>
            <w:vAlign w:val="center"/>
          </w:tcPr>
          <w:p w14:paraId="49109835">
            <w:pPr>
              <w:autoSpaceDE w:val="0"/>
              <w:autoSpaceDN w:val="0"/>
              <w:adjustRightInd w:val="0"/>
              <w:jc w:val="center"/>
              <w:rPr>
                <w:rFonts w:hint="default" w:ascii="Times New Roman" w:hAnsi="Times New Roman" w:cs="Times New Roman"/>
                <w:color w:val="auto"/>
                <w:sz w:val="24"/>
                <w:szCs w:val="24"/>
                <w:highlight w:val="none"/>
              </w:rPr>
            </w:pPr>
            <w:r>
              <w:rPr>
                <w:rFonts w:hint="default" w:ascii="Times New Roman" w:hAnsi="Times New Roman" w:cs="Times New Roman"/>
                <w:sz w:val="24"/>
                <w:szCs w:val="24"/>
                <w:highlight w:val="none"/>
              </w:rPr>
              <w:t>设计负责人</w:t>
            </w:r>
          </w:p>
        </w:tc>
        <w:tc>
          <w:tcPr>
            <w:tcW w:w="750" w:type="dxa"/>
            <w:vAlign w:val="center"/>
          </w:tcPr>
          <w:p w14:paraId="6B4A8E17">
            <w:pPr>
              <w:autoSpaceDE w:val="0"/>
              <w:autoSpaceDN w:val="0"/>
              <w:adjustRightIn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cs="Times New Roman"/>
                <w:sz w:val="24"/>
                <w:szCs w:val="24"/>
                <w:highlight w:val="none"/>
                <w:lang w:val="en-US" w:eastAsia="zh-CN"/>
              </w:rPr>
              <w:t>8</w:t>
            </w:r>
          </w:p>
        </w:tc>
        <w:tc>
          <w:tcPr>
            <w:tcW w:w="6870" w:type="dxa"/>
            <w:vAlign w:val="center"/>
          </w:tcPr>
          <w:p w14:paraId="4E33D6CE">
            <w:pPr>
              <w:autoSpaceDE w:val="0"/>
              <w:autoSpaceDN w:val="0"/>
              <w:adjustRightInd w:val="0"/>
              <w:jc w:val="left"/>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1、具有市政公用工程相关专业高级或以上工程师职称的得</w:t>
            </w:r>
            <w:r>
              <w:rPr>
                <w:rFonts w:hint="default" w:ascii="Times New Roman" w:hAnsi="Times New Roman" w:cs="Times New Roman"/>
                <w:sz w:val="24"/>
                <w:szCs w:val="24"/>
                <w:highlight w:val="none"/>
                <w:lang w:val="en-US" w:eastAsia="zh-CN"/>
              </w:rPr>
              <w:t>4</w:t>
            </w:r>
            <w:r>
              <w:rPr>
                <w:rFonts w:hint="default" w:ascii="Times New Roman" w:hAnsi="Times New Roman" w:cs="Times New Roman"/>
                <w:sz w:val="24"/>
                <w:szCs w:val="24"/>
                <w:highlight w:val="none"/>
              </w:rPr>
              <w:t>分，无或其他情况不得分。</w:t>
            </w:r>
          </w:p>
          <w:p w14:paraId="45D04896">
            <w:pPr>
              <w:autoSpaceDE w:val="0"/>
              <w:autoSpaceDN w:val="0"/>
              <w:adjustRightInd w:val="0"/>
              <w:jc w:val="left"/>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2、具备在报价单位注册公用设备工程师（给水排水）或注册电气工程师（供配电）执业资格的得</w:t>
            </w:r>
            <w:r>
              <w:rPr>
                <w:rFonts w:hint="default" w:ascii="Times New Roman" w:hAnsi="Times New Roman" w:cs="Times New Roman"/>
                <w:sz w:val="24"/>
                <w:szCs w:val="24"/>
                <w:highlight w:val="none"/>
                <w:lang w:val="en-US" w:eastAsia="zh-CN"/>
              </w:rPr>
              <w:t>4</w:t>
            </w:r>
            <w:r>
              <w:rPr>
                <w:rFonts w:hint="default" w:ascii="Times New Roman" w:hAnsi="Times New Roman" w:cs="Times New Roman"/>
                <w:sz w:val="24"/>
                <w:szCs w:val="24"/>
                <w:highlight w:val="none"/>
              </w:rPr>
              <w:t>分，无或其他情况不得分。</w:t>
            </w:r>
          </w:p>
          <w:p w14:paraId="5DBE618E">
            <w:pPr>
              <w:pStyle w:val="2"/>
              <w:rPr>
                <w:rFonts w:hint="default" w:ascii="Times New Roman" w:hAnsi="Times New Roman" w:cs="Times New Roman"/>
                <w:color w:val="auto"/>
                <w:highlight w:val="none"/>
              </w:rPr>
            </w:pPr>
            <w:r>
              <w:rPr>
                <w:rFonts w:hint="default" w:ascii="Times New Roman" w:hAnsi="Times New Roman" w:cs="Times New Roman"/>
                <w:sz w:val="24"/>
                <w:szCs w:val="24"/>
                <w:highlight w:val="none"/>
              </w:rPr>
              <w:t>本项累计最高得</w:t>
            </w:r>
            <w:r>
              <w:rPr>
                <w:rFonts w:hint="default" w:ascii="Times New Roman" w:hAnsi="Times New Roman" w:cs="Times New Roman"/>
                <w:sz w:val="24"/>
                <w:szCs w:val="24"/>
                <w:highlight w:val="none"/>
                <w:lang w:val="en-US" w:eastAsia="zh-CN"/>
              </w:rPr>
              <w:t>8</w:t>
            </w:r>
            <w:r>
              <w:rPr>
                <w:rFonts w:hint="default" w:ascii="Times New Roman" w:hAnsi="Times New Roman" w:cs="Times New Roman"/>
                <w:sz w:val="24"/>
                <w:szCs w:val="24"/>
                <w:highlight w:val="none"/>
              </w:rPr>
              <w:t>分。</w:t>
            </w:r>
          </w:p>
        </w:tc>
      </w:tr>
      <w:tr w14:paraId="387E0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2" w:hRule="atLeast"/>
        </w:trPr>
        <w:tc>
          <w:tcPr>
            <w:tcW w:w="750" w:type="dxa"/>
            <w:vAlign w:val="center"/>
          </w:tcPr>
          <w:p w14:paraId="2B2275B5">
            <w:pPr>
              <w:autoSpaceDE w:val="0"/>
              <w:autoSpaceDN w:val="0"/>
              <w:adjustRightInd w:val="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四</w:t>
            </w:r>
          </w:p>
        </w:tc>
        <w:tc>
          <w:tcPr>
            <w:tcW w:w="1230" w:type="dxa"/>
            <w:vAlign w:val="center"/>
          </w:tcPr>
          <w:p w14:paraId="52BA5F63">
            <w:pPr>
              <w:autoSpaceDE w:val="0"/>
              <w:autoSpaceDN w:val="0"/>
              <w:adjustRightInd w:val="0"/>
              <w:jc w:val="center"/>
              <w:rPr>
                <w:rFonts w:hint="default" w:ascii="Times New Roman" w:hAnsi="Times New Roman" w:cs="Times New Roman"/>
                <w:color w:val="auto"/>
                <w:sz w:val="24"/>
                <w:szCs w:val="24"/>
                <w:highlight w:val="none"/>
                <w:lang w:val="zh-CN"/>
              </w:rPr>
            </w:pPr>
            <w:r>
              <w:rPr>
                <w:rFonts w:hint="default" w:ascii="Times New Roman" w:hAnsi="Times New Roman" w:cs="Times New Roman"/>
                <w:sz w:val="24"/>
                <w:szCs w:val="24"/>
                <w:highlight w:val="none"/>
              </w:rPr>
              <w:t>主要专业技术人员（项目负责人、设计负责人除外）</w:t>
            </w:r>
          </w:p>
        </w:tc>
        <w:tc>
          <w:tcPr>
            <w:tcW w:w="750" w:type="dxa"/>
            <w:vAlign w:val="center"/>
          </w:tcPr>
          <w:p w14:paraId="528B1103">
            <w:pPr>
              <w:autoSpaceDE w:val="0"/>
              <w:autoSpaceDN w:val="0"/>
              <w:adjustRightIn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cs="Times New Roman"/>
                <w:sz w:val="24"/>
                <w:szCs w:val="24"/>
                <w:highlight w:val="none"/>
              </w:rPr>
              <w:t>20</w:t>
            </w:r>
          </w:p>
        </w:tc>
        <w:tc>
          <w:tcPr>
            <w:tcW w:w="6870" w:type="dxa"/>
            <w:vAlign w:val="center"/>
          </w:tcPr>
          <w:p w14:paraId="7B07F0AC">
            <w:pPr>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报价人拟配备的主要技术人员（不含项目负责人、设计负责人）：</w:t>
            </w:r>
          </w:p>
          <w:p w14:paraId="78CE999B">
            <w:pPr>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1、拟投入施工技术人员具备对应的岗位证书（如培训合格证或上岗证）：施工员、质量员、安全员、资料员各1人，配备齐全得</w:t>
            </w:r>
            <w:r>
              <w:rPr>
                <w:rFonts w:hint="default" w:ascii="Times New Roman" w:hAnsi="Times New Roman" w:cs="Times New Roman"/>
                <w:sz w:val="24"/>
                <w:szCs w:val="24"/>
                <w:highlight w:val="none"/>
                <w:lang w:val="en-US" w:eastAsia="zh-CN"/>
              </w:rPr>
              <w:t>2</w:t>
            </w:r>
            <w:r>
              <w:rPr>
                <w:rFonts w:hint="default" w:ascii="Times New Roman" w:hAnsi="Times New Roman" w:cs="Times New Roman"/>
                <w:sz w:val="24"/>
                <w:szCs w:val="24"/>
                <w:highlight w:val="none"/>
              </w:rPr>
              <w:t>分，每缺少一类人员扣</w:t>
            </w:r>
            <w:r>
              <w:rPr>
                <w:rFonts w:hint="default" w:ascii="Times New Roman" w:hAnsi="Times New Roman" w:cs="Times New Roman"/>
                <w:sz w:val="24"/>
                <w:szCs w:val="24"/>
                <w:highlight w:val="none"/>
                <w:lang w:val="en-US" w:eastAsia="zh-CN"/>
              </w:rPr>
              <w:t>2</w:t>
            </w:r>
            <w:r>
              <w:rPr>
                <w:rFonts w:hint="default" w:ascii="Times New Roman" w:hAnsi="Times New Roman" w:cs="Times New Roman"/>
                <w:sz w:val="24"/>
                <w:szCs w:val="24"/>
                <w:highlight w:val="none"/>
              </w:rPr>
              <w:t>分，扣完为止。无或其他情况不得分，本小项最高得</w:t>
            </w:r>
            <w:r>
              <w:rPr>
                <w:rFonts w:hint="default" w:ascii="Times New Roman" w:hAnsi="Times New Roman" w:cs="Times New Roman"/>
                <w:sz w:val="24"/>
                <w:szCs w:val="24"/>
                <w:highlight w:val="none"/>
                <w:lang w:val="en-US" w:eastAsia="zh-CN"/>
              </w:rPr>
              <w:t>8</w:t>
            </w:r>
            <w:r>
              <w:rPr>
                <w:rFonts w:hint="default" w:ascii="Times New Roman" w:hAnsi="Times New Roman" w:cs="Times New Roman"/>
                <w:sz w:val="24"/>
                <w:szCs w:val="24"/>
                <w:highlight w:val="none"/>
              </w:rPr>
              <w:t>分。</w:t>
            </w:r>
          </w:p>
          <w:p w14:paraId="32FD941C">
            <w:pPr>
              <w:rPr>
                <w:rFonts w:hint="default" w:ascii="Times New Roman" w:hAnsi="Times New Roman" w:cs="Times New Roman"/>
                <w:sz w:val="28"/>
                <w:szCs w:val="28"/>
                <w:highlight w:val="none"/>
              </w:rPr>
            </w:pPr>
            <w:r>
              <w:rPr>
                <w:rFonts w:hint="default" w:ascii="Times New Roman" w:hAnsi="Times New Roman" w:cs="Times New Roman"/>
                <w:sz w:val="24"/>
                <w:szCs w:val="24"/>
                <w:highlight w:val="none"/>
              </w:rPr>
              <w:t>2、拟投</w:t>
            </w:r>
            <w:r>
              <w:rPr>
                <w:rFonts w:hint="default" w:ascii="Times New Roman" w:hAnsi="Times New Roman" w:cs="Times New Roman"/>
                <w:b w:val="0"/>
                <w:bCs w:val="0"/>
                <w:sz w:val="24"/>
                <w:szCs w:val="24"/>
                <w:highlight w:val="none"/>
              </w:rPr>
              <w:t>入的专业负责人各1人：电</w:t>
            </w:r>
            <w:r>
              <w:rPr>
                <w:rFonts w:hint="default" w:ascii="Times New Roman" w:hAnsi="Times New Roman" w:cs="Times New Roman"/>
                <w:b w:val="0"/>
                <w:bCs w:val="0"/>
                <w:sz w:val="24"/>
                <w:szCs w:val="24"/>
                <w:highlight w:val="none"/>
                <w:lang w:val="en-US" w:eastAsia="zh-CN"/>
              </w:rPr>
              <w:t>气</w:t>
            </w:r>
            <w:r>
              <w:rPr>
                <w:rFonts w:hint="default" w:ascii="Times New Roman" w:hAnsi="Times New Roman" w:cs="Times New Roman"/>
                <w:b w:val="0"/>
                <w:bCs w:val="0"/>
                <w:sz w:val="24"/>
                <w:szCs w:val="24"/>
                <w:highlight w:val="none"/>
              </w:rPr>
              <w:t>专业负责人</w:t>
            </w:r>
            <w:r>
              <w:rPr>
                <w:rFonts w:hint="default" w:ascii="Times New Roman" w:hAnsi="Times New Roman" w:cs="Times New Roman"/>
                <w:b w:val="0"/>
                <w:bCs w:val="0"/>
                <w:sz w:val="24"/>
                <w:szCs w:val="24"/>
                <w:highlight w:val="none"/>
                <w:lang w:eastAsia="zh-CN"/>
              </w:rPr>
              <w:t>、</w:t>
            </w:r>
            <w:r>
              <w:rPr>
                <w:rFonts w:hint="default" w:ascii="Times New Roman" w:hAnsi="Times New Roman" w:cs="Times New Roman"/>
                <w:b w:val="0"/>
                <w:bCs w:val="0"/>
                <w:sz w:val="24"/>
                <w:szCs w:val="24"/>
                <w:highlight w:val="none"/>
              </w:rPr>
              <w:t>给排水专业</w:t>
            </w:r>
            <w:r>
              <w:rPr>
                <w:rFonts w:hint="default" w:ascii="Times New Roman" w:hAnsi="Times New Roman" w:cs="Times New Roman"/>
                <w:b w:val="0"/>
                <w:bCs w:val="0"/>
                <w:sz w:val="24"/>
                <w:szCs w:val="24"/>
                <w:highlight w:val="none"/>
                <w:lang w:val="en-US" w:eastAsia="zh-CN"/>
              </w:rPr>
              <w:t>负责人、</w:t>
            </w:r>
            <w:r>
              <w:rPr>
                <w:rFonts w:hint="default" w:ascii="Times New Roman" w:hAnsi="Times New Roman" w:cs="Times New Roman"/>
                <w:b w:val="0"/>
                <w:bCs w:val="0"/>
                <w:sz w:val="24"/>
                <w:szCs w:val="24"/>
                <w:highlight w:val="none"/>
              </w:rPr>
              <w:t>造价专业负责人，具备对应（或相关）专业的注册执业资格或对应（或相关）专业高级或以上工程师职称的，</w:t>
            </w:r>
            <w:r>
              <w:rPr>
                <w:rFonts w:hint="default" w:ascii="Times New Roman" w:hAnsi="Times New Roman" w:cs="Times New Roman"/>
                <w:sz w:val="24"/>
                <w:szCs w:val="24"/>
                <w:highlight w:val="none"/>
              </w:rPr>
              <w:t>每人得</w:t>
            </w:r>
            <w:r>
              <w:rPr>
                <w:rFonts w:hint="default" w:ascii="Times New Roman" w:hAnsi="Times New Roman" w:cs="Times New Roman"/>
                <w:sz w:val="24"/>
                <w:szCs w:val="24"/>
                <w:highlight w:val="none"/>
                <w:lang w:val="en-US" w:eastAsia="zh-CN"/>
              </w:rPr>
              <w:t>4</w:t>
            </w:r>
            <w:r>
              <w:rPr>
                <w:rFonts w:hint="default" w:ascii="Times New Roman" w:hAnsi="Times New Roman" w:cs="Times New Roman"/>
                <w:sz w:val="24"/>
                <w:szCs w:val="24"/>
                <w:highlight w:val="none"/>
              </w:rPr>
              <w:t>分，无或其他情况不得分，本小项最高得</w:t>
            </w:r>
            <w:r>
              <w:rPr>
                <w:rFonts w:hint="default" w:ascii="Times New Roman" w:hAnsi="Times New Roman" w:cs="Times New Roman"/>
                <w:sz w:val="24"/>
                <w:szCs w:val="24"/>
                <w:highlight w:val="none"/>
                <w:lang w:val="en-US" w:eastAsia="zh-CN"/>
              </w:rPr>
              <w:t>12</w:t>
            </w:r>
            <w:r>
              <w:rPr>
                <w:rFonts w:hint="default" w:ascii="Times New Roman" w:hAnsi="Times New Roman" w:cs="Times New Roman"/>
                <w:sz w:val="24"/>
                <w:szCs w:val="24"/>
                <w:highlight w:val="none"/>
              </w:rPr>
              <w:t>分。</w:t>
            </w:r>
          </w:p>
          <w:p w14:paraId="7CB83C6E">
            <w:pPr>
              <w:rPr>
                <w:rFonts w:hint="default" w:ascii="Times New Roman" w:hAnsi="Times New Roman" w:cs="Times New Roman"/>
                <w:color w:val="auto"/>
                <w:sz w:val="28"/>
                <w:szCs w:val="28"/>
                <w:highlight w:val="none"/>
              </w:rPr>
            </w:pPr>
            <w:r>
              <w:rPr>
                <w:rFonts w:hint="default" w:ascii="Times New Roman" w:hAnsi="Times New Roman" w:cs="Times New Roman"/>
                <w:sz w:val="24"/>
                <w:szCs w:val="24"/>
                <w:highlight w:val="none"/>
              </w:rPr>
              <w:t>本项累计最高得20分。</w:t>
            </w:r>
          </w:p>
        </w:tc>
      </w:tr>
      <w:tr w14:paraId="77C8A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2" w:hRule="atLeast"/>
        </w:trPr>
        <w:tc>
          <w:tcPr>
            <w:tcW w:w="750" w:type="dxa"/>
            <w:vAlign w:val="center"/>
          </w:tcPr>
          <w:p w14:paraId="6EDF7156">
            <w:pPr>
              <w:autoSpaceDE w:val="0"/>
              <w:autoSpaceDN w:val="0"/>
              <w:adjustRightIn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五</w:t>
            </w:r>
          </w:p>
        </w:tc>
        <w:tc>
          <w:tcPr>
            <w:tcW w:w="1230" w:type="dxa"/>
            <w:vAlign w:val="center"/>
          </w:tcPr>
          <w:p w14:paraId="46039598">
            <w:pPr>
              <w:autoSpaceDE w:val="0"/>
              <w:autoSpaceDN w:val="0"/>
              <w:adjustRightInd w:val="0"/>
              <w:jc w:val="center"/>
              <w:rPr>
                <w:rFonts w:hint="default" w:ascii="Times New Roman" w:hAnsi="Times New Roman" w:cs="Times New Roman"/>
                <w:sz w:val="24"/>
                <w:szCs w:val="24"/>
                <w:highlight w:val="none"/>
              </w:rPr>
            </w:pPr>
            <w:r>
              <w:rPr>
                <w:rFonts w:hint="default" w:ascii="Times New Roman" w:hAnsi="Times New Roman" w:cs="Times New Roman"/>
                <w:color w:val="auto"/>
                <w:sz w:val="24"/>
                <w:szCs w:val="24"/>
                <w:highlight w:val="none"/>
              </w:rPr>
              <w:t>企业荣誉</w:t>
            </w:r>
          </w:p>
        </w:tc>
        <w:tc>
          <w:tcPr>
            <w:tcW w:w="750" w:type="dxa"/>
            <w:vAlign w:val="center"/>
          </w:tcPr>
          <w:p w14:paraId="44B8D9A5">
            <w:pPr>
              <w:autoSpaceDE w:val="0"/>
              <w:autoSpaceDN w:val="0"/>
              <w:adjustRightInd w:val="0"/>
              <w:jc w:val="center"/>
              <w:rPr>
                <w:rFonts w:hint="default" w:ascii="Times New Roman" w:hAnsi="Times New Roman" w:eastAsia="宋体" w:cs="Times New Roman"/>
                <w:sz w:val="24"/>
                <w:szCs w:val="24"/>
                <w:highlight w:val="none"/>
                <w:lang w:val="en-US" w:eastAsia="zh-CN"/>
              </w:rPr>
            </w:pPr>
            <w:r>
              <w:rPr>
                <w:rFonts w:hint="default" w:ascii="Times New Roman" w:hAnsi="Times New Roman" w:cs="Times New Roman"/>
                <w:sz w:val="24"/>
                <w:szCs w:val="24"/>
                <w:highlight w:val="none"/>
                <w:lang w:val="en-US" w:eastAsia="zh-CN"/>
              </w:rPr>
              <w:t>4</w:t>
            </w:r>
          </w:p>
        </w:tc>
        <w:tc>
          <w:tcPr>
            <w:tcW w:w="6870" w:type="dxa"/>
            <w:vAlign w:val="center"/>
          </w:tcPr>
          <w:p w14:paraId="4521E06C">
            <w:pPr>
              <w:widowControl/>
              <w:jc w:val="left"/>
              <w:textAlignment w:val="center"/>
              <w:rPr>
                <w:rFonts w:hint="default" w:ascii="Times New Roman" w:hAnsi="Times New Roman" w:cs="Times New Roman"/>
                <w:color w:val="auto"/>
                <w:sz w:val="24"/>
                <w:szCs w:val="24"/>
                <w:highlight w:val="none"/>
                <w:lang w:val="zh-CN"/>
              </w:rPr>
            </w:pPr>
            <w:r>
              <w:rPr>
                <w:rFonts w:hint="default" w:ascii="Times New Roman" w:hAnsi="Times New Roman" w:cs="Times New Roman"/>
                <w:color w:val="auto"/>
                <w:sz w:val="24"/>
                <w:szCs w:val="24"/>
                <w:highlight w:val="none"/>
              </w:rPr>
              <w:t>1、自202</w:t>
            </w:r>
            <w:r>
              <w:rPr>
                <w:rFonts w:hint="default" w:ascii="Times New Roman" w:hAnsi="Times New Roman" w:cs="Times New Roman"/>
                <w:color w:val="auto"/>
                <w:sz w:val="24"/>
                <w:szCs w:val="24"/>
                <w:highlight w:val="none"/>
                <w:lang w:val="en-US" w:eastAsia="zh-CN"/>
              </w:rPr>
              <w:t>1</w:t>
            </w:r>
            <w:r>
              <w:rPr>
                <w:rFonts w:hint="default" w:ascii="Times New Roman" w:hAnsi="Times New Roman" w:cs="Times New Roman"/>
                <w:color w:val="auto"/>
                <w:sz w:val="24"/>
                <w:szCs w:val="24"/>
                <w:highlight w:val="none"/>
              </w:rPr>
              <w:t>年1月1日至今，报价人承建过的市政公用工程获得市级</w:t>
            </w:r>
            <w:r>
              <w:rPr>
                <w:rFonts w:hint="default" w:ascii="Times New Roman" w:hAnsi="Times New Roman" w:cs="Times New Roman"/>
                <w:color w:val="auto"/>
                <w:sz w:val="24"/>
                <w:szCs w:val="24"/>
                <w:highlight w:val="none"/>
                <w:lang w:val="en-US" w:eastAsia="zh-CN"/>
              </w:rPr>
              <w:t>及以上</w:t>
            </w:r>
            <w:r>
              <w:rPr>
                <w:rFonts w:hint="default" w:ascii="Times New Roman" w:hAnsi="Times New Roman" w:cs="Times New Roman"/>
                <w:color w:val="auto"/>
                <w:sz w:val="24"/>
                <w:szCs w:val="24"/>
                <w:highlight w:val="none"/>
              </w:rPr>
              <w:t>质量奖项的</w:t>
            </w:r>
            <w:r>
              <w:rPr>
                <w:rFonts w:hint="default" w:ascii="Times New Roman" w:hAnsi="Times New Roman" w:cs="Times New Roman"/>
                <w:color w:val="auto"/>
                <w:sz w:val="24"/>
                <w:szCs w:val="24"/>
                <w:highlight w:val="none"/>
                <w:lang w:val="en-US" w:eastAsia="zh-CN"/>
              </w:rPr>
              <w:t>得2分，</w:t>
            </w:r>
            <w:r>
              <w:rPr>
                <w:rFonts w:hint="default" w:ascii="Times New Roman" w:hAnsi="Times New Roman" w:cs="Times New Roman"/>
                <w:color w:val="auto"/>
                <w:sz w:val="24"/>
                <w:szCs w:val="24"/>
                <w:highlight w:val="none"/>
                <w:lang w:val="zh-CN"/>
              </w:rPr>
              <w:t>本</w:t>
            </w:r>
            <w:r>
              <w:rPr>
                <w:rFonts w:hint="default" w:ascii="Times New Roman" w:hAnsi="Times New Roman" w:cs="Times New Roman"/>
                <w:color w:val="auto"/>
                <w:sz w:val="24"/>
                <w:szCs w:val="24"/>
                <w:highlight w:val="none"/>
              </w:rPr>
              <w:t>小</w:t>
            </w:r>
            <w:r>
              <w:rPr>
                <w:rFonts w:hint="default" w:ascii="Times New Roman" w:hAnsi="Times New Roman" w:cs="Times New Roman"/>
                <w:color w:val="auto"/>
                <w:sz w:val="24"/>
                <w:szCs w:val="24"/>
                <w:highlight w:val="none"/>
                <w:lang w:val="zh-CN"/>
              </w:rPr>
              <w:t>项最高得</w:t>
            </w:r>
            <w:r>
              <w:rPr>
                <w:rFonts w:hint="default" w:ascii="Times New Roman" w:hAnsi="Times New Roman" w:cs="Times New Roman"/>
                <w:color w:val="auto"/>
                <w:sz w:val="24"/>
                <w:szCs w:val="24"/>
                <w:highlight w:val="none"/>
              </w:rPr>
              <w:t>2</w:t>
            </w:r>
            <w:r>
              <w:rPr>
                <w:rFonts w:hint="default" w:ascii="Times New Roman" w:hAnsi="Times New Roman" w:cs="Times New Roman"/>
                <w:color w:val="auto"/>
                <w:sz w:val="24"/>
                <w:szCs w:val="24"/>
                <w:highlight w:val="none"/>
                <w:lang w:val="zh-CN"/>
              </w:rPr>
              <w:t>分；</w:t>
            </w:r>
          </w:p>
          <w:p w14:paraId="7A04FB57">
            <w:pPr>
              <w:widowControl/>
              <w:jc w:val="left"/>
              <w:textAlignment w:val="center"/>
              <w:rPr>
                <w:rFonts w:hint="default" w:ascii="Times New Roman" w:hAnsi="Times New Roman" w:cs="Times New Roman"/>
                <w:color w:val="auto"/>
                <w:sz w:val="24"/>
                <w:szCs w:val="24"/>
                <w:highlight w:val="none"/>
                <w:lang w:val="zh-CN"/>
              </w:rPr>
            </w:pPr>
            <w:r>
              <w:rPr>
                <w:rFonts w:hint="default" w:ascii="Times New Roman" w:hAnsi="Times New Roman" w:cs="Times New Roman"/>
                <w:color w:val="auto"/>
                <w:sz w:val="24"/>
                <w:szCs w:val="24"/>
                <w:highlight w:val="none"/>
              </w:rPr>
              <w:t>2、</w:t>
            </w:r>
            <w:r>
              <w:rPr>
                <w:rFonts w:hint="default" w:ascii="Times New Roman" w:hAnsi="Times New Roman" w:cs="Times New Roman"/>
                <w:color w:val="auto"/>
                <w:sz w:val="24"/>
                <w:szCs w:val="24"/>
                <w:highlight w:val="none"/>
                <w:lang w:val="zh-CN"/>
              </w:rPr>
              <w:t>自20</w:t>
            </w:r>
            <w:r>
              <w:rPr>
                <w:rFonts w:hint="default" w:ascii="Times New Roman" w:hAnsi="Times New Roman" w:cs="Times New Roman"/>
                <w:color w:val="auto"/>
                <w:sz w:val="24"/>
                <w:szCs w:val="24"/>
                <w:highlight w:val="none"/>
              </w:rPr>
              <w:t>2</w:t>
            </w:r>
            <w:r>
              <w:rPr>
                <w:rFonts w:hint="default" w:ascii="Times New Roman" w:hAnsi="Times New Roman" w:cs="Times New Roman"/>
                <w:color w:val="auto"/>
                <w:sz w:val="24"/>
                <w:szCs w:val="24"/>
                <w:highlight w:val="none"/>
                <w:lang w:val="en-US" w:eastAsia="zh-CN"/>
              </w:rPr>
              <w:t>1</w:t>
            </w:r>
            <w:r>
              <w:rPr>
                <w:rFonts w:hint="default" w:ascii="Times New Roman" w:hAnsi="Times New Roman" w:cs="Times New Roman"/>
                <w:color w:val="auto"/>
                <w:sz w:val="24"/>
                <w:szCs w:val="24"/>
                <w:highlight w:val="none"/>
                <w:lang w:val="zh-CN"/>
              </w:rPr>
              <w:t>年1月1日至今，</w:t>
            </w:r>
            <w:r>
              <w:rPr>
                <w:rFonts w:hint="default" w:ascii="Times New Roman" w:hAnsi="Times New Roman" w:cs="Times New Roman"/>
                <w:color w:val="auto"/>
                <w:sz w:val="24"/>
                <w:szCs w:val="24"/>
                <w:highlight w:val="none"/>
              </w:rPr>
              <w:t>报价</w:t>
            </w:r>
            <w:r>
              <w:rPr>
                <w:rFonts w:hint="default" w:ascii="Times New Roman" w:hAnsi="Times New Roman" w:cs="Times New Roman"/>
                <w:color w:val="auto"/>
                <w:sz w:val="24"/>
                <w:szCs w:val="24"/>
                <w:highlight w:val="none"/>
                <w:lang w:val="zh-CN"/>
              </w:rPr>
              <w:t>人承接的</w:t>
            </w:r>
            <w:r>
              <w:rPr>
                <w:rFonts w:hint="default" w:ascii="Times New Roman" w:hAnsi="Times New Roman" w:cs="Times New Roman"/>
                <w:color w:val="auto"/>
                <w:sz w:val="24"/>
                <w:szCs w:val="24"/>
                <w:highlight w:val="none"/>
              </w:rPr>
              <w:t>市政</w:t>
            </w:r>
            <w:r>
              <w:rPr>
                <w:rFonts w:hint="default" w:ascii="Times New Roman" w:hAnsi="Times New Roman" w:cs="Times New Roman"/>
                <w:color w:val="auto"/>
                <w:sz w:val="24"/>
                <w:szCs w:val="24"/>
                <w:highlight w:val="none"/>
                <w:lang w:val="en-US" w:eastAsia="zh-CN"/>
              </w:rPr>
              <w:t>公用</w:t>
            </w:r>
            <w:r>
              <w:rPr>
                <w:rFonts w:hint="default" w:ascii="Times New Roman" w:hAnsi="Times New Roman" w:cs="Times New Roman"/>
                <w:color w:val="auto"/>
                <w:sz w:val="24"/>
                <w:szCs w:val="24"/>
                <w:highlight w:val="none"/>
              </w:rPr>
              <w:t>工程获得</w:t>
            </w:r>
            <w:r>
              <w:rPr>
                <w:rFonts w:hint="default" w:ascii="Times New Roman" w:hAnsi="Times New Roman" w:cs="Times New Roman"/>
                <w:color w:val="auto"/>
                <w:sz w:val="24"/>
                <w:szCs w:val="24"/>
                <w:highlight w:val="none"/>
                <w:lang w:val="zh-CN"/>
              </w:rPr>
              <w:t>勘察设计类或设计类市级</w:t>
            </w:r>
            <w:r>
              <w:rPr>
                <w:rFonts w:hint="default" w:ascii="Times New Roman" w:hAnsi="Times New Roman" w:cs="Times New Roman"/>
                <w:color w:val="auto"/>
                <w:sz w:val="24"/>
                <w:szCs w:val="24"/>
                <w:highlight w:val="none"/>
                <w:lang w:val="en-US" w:eastAsia="zh-CN"/>
              </w:rPr>
              <w:t>及以上</w:t>
            </w:r>
            <w:r>
              <w:rPr>
                <w:rFonts w:hint="default" w:ascii="Times New Roman" w:hAnsi="Times New Roman" w:cs="Times New Roman"/>
                <w:color w:val="auto"/>
                <w:sz w:val="24"/>
                <w:szCs w:val="24"/>
                <w:highlight w:val="none"/>
                <w:lang w:val="zh-CN"/>
              </w:rPr>
              <w:t>奖项</w:t>
            </w:r>
            <w:r>
              <w:rPr>
                <w:rFonts w:hint="default" w:ascii="Times New Roman" w:hAnsi="Times New Roman" w:cs="Times New Roman"/>
                <w:color w:val="auto"/>
                <w:sz w:val="24"/>
                <w:szCs w:val="24"/>
                <w:highlight w:val="none"/>
              </w:rPr>
              <w:t>的</w:t>
            </w:r>
            <w:r>
              <w:rPr>
                <w:rFonts w:hint="default" w:ascii="Times New Roman" w:hAnsi="Times New Roman" w:cs="Times New Roman"/>
                <w:color w:val="auto"/>
                <w:sz w:val="24"/>
                <w:szCs w:val="24"/>
                <w:highlight w:val="none"/>
                <w:lang w:val="en-US" w:eastAsia="zh-CN"/>
              </w:rPr>
              <w:t>得2分，</w:t>
            </w:r>
            <w:r>
              <w:rPr>
                <w:rFonts w:hint="default" w:ascii="Times New Roman" w:hAnsi="Times New Roman" w:cs="Times New Roman"/>
                <w:color w:val="auto"/>
                <w:sz w:val="24"/>
                <w:szCs w:val="24"/>
                <w:highlight w:val="none"/>
                <w:lang w:val="zh-CN"/>
              </w:rPr>
              <w:t>本</w:t>
            </w:r>
            <w:r>
              <w:rPr>
                <w:rFonts w:hint="default" w:ascii="Times New Roman" w:hAnsi="Times New Roman" w:cs="Times New Roman"/>
                <w:color w:val="auto"/>
                <w:sz w:val="24"/>
                <w:szCs w:val="24"/>
                <w:highlight w:val="none"/>
              </w:rPr>
              <w:t>小</w:t>
            </w:r>
            <w:r>
              <w:rPr>
                <w:rFonts w:hint="default" w:ascii="Times New Roman" w:hAnsi="Times New Roman" w:cs="Times New Roman"/>
                <w:color w:val="auto"/>
                <w:sz w:val="24"/>
                <w:szCs w:val="24"/>
                <w:highlight w:val="none"/>
                <w:lang w:val="zh-CN"/>
              </w:rPr>
              <w:t>项最高得</w:t>
            </w:r>
            <w:r>
              <w:rPr>
                <w:rFonts w:hint="default" w:ascii="Times New Roman" w:hAnsi="Times New Roman" w:cs="Times New Roman"/>
                <w:color w:val="auto"/>
                <w:sz w:val="24"/>
                <w:szCs w:val="24"/>
                <w:highlight w:val="none"/>
              </w:rPr>
              <w:t>2</w:t>
            </w:r>
            <w:r>
              <w:rPr>
                <w:rFonts w:hint="default" w:ascii="Times New Roman" w:hAnsi="Times New Roman" w:cs="Times New Roman"/>
                <w:color w:val="auto"/>
                <w:sz w:val="24"/>
                <w:szCs w:val="24"/>
                <w:highlight w:val="none"/>
                <w:lang w:val="zh-CN"/>
              </w:rPr>
              <w:t>分。</w:t>
            </w:r>
          </w:p>
          <w:p w14:paraId="0005A831">
            <w:pPr>
              <w:rPr>
                <w:rFonts w:hint="default" w:ascii="Times New Roman" w:hAnsi="Times New Roman" w:cs="Times New Roman"/>
                <w:sz w:val="24"/>
                <w:szCs w:val="24"/>
                <w:highlight w:val="none"/>
              </w:rPr>
            </w:pPr>
            <w:r>
              <w:rPr>
                <w:rFonts w:hint="default" w:ascii="Times New Roman" w:hAnsi="Times New Roman" w:cs="Times New Roman"/>
                <w:color w:val="auto"/>
                <w:sz w:val="24"/>
                <w:szCs w:val="24"/>
                <w:highlight w:val="none"/>
              </w:rPr>
              <w:t>无或其他情况不得分，</w:t>
            </w:r>
            <w:r>
              <w:rPr>
                <w:rFonts w:hint="default" w:ascii="Times New Roman" w:hAnsi="Times New Roman" w:cs="Times New Roman"/>
                <w:color w:val="auto"/>
                <w:sz w:val="24"/>
                <w:szCs w:val="24"/>
                <w:highlight w:val="none"/>
                <w:lang w:val="zh-CN"/>
              </w:rPr>
              <w:t>本项累计最高得</w:t>
            </w:r>
            <w:r>
              <w:rPr>
                <w:rFonts w:hint="default" w:ascii="Times New Roman" w:hAnsi="Times New Roman" w:cs="Times New Roman"/>
                <w:color w:val="auto"/>
                <w:sz w:val="24"/>
                <w:szCs w:val="24"/>
                <w:highlight w:val="none"/>
              </w:rPr>
              <w:t>4分。</w:t>
            </w:r>
          </w:p>
        </w:tc>
      </w:tr>
      <w:tr w14:paraId="5E2B9F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750" w:type="dxa"/>
            <w:vAlign w:val="center"/>
          </w:tcPr>
          <w:p w14:paraId="27FA3C25">
            <w:pPr>
              <w:autoSpaceDE w:val="0"/>
              <w:autoSpaceDN w:val="0"/>
              <w:adjustRightInd w:val="0"/>
              <w:jc w:val="center"/>
              <w:rPr>
                <w:rFonts w:hint="default" w:ascii="Times New Roman" w:hAnsi="Times New Roman" w:eastAsia="宋体" w:cs="Times New Roman"/>
                <w:color w:val="auto"/>
                <w:sz w:val="24"/>
                <w:szCs w:val="24"/>
                <w:highlight w:val="none"/>
                <w:lang w:eastAsia="zh-CN"/>
              </w:rPr>
            </w:pPr>
            <w:r>
              <w:rPr>
                <w:rFonts w:hint="default" w:ascii="Times New Roman" w:hAnsi="Times New Roman" w:cs="Times New Roman"/>
                <w:color w:val="auto"/>
                <w:sz w:val="24"/>
                <w:szCs w:val="24"/>
                <w:highlight w:val="none"/>
                <w:lang w:val="en-US" w:eastAsia="zh-CN"/>
              </w:rPr>
              <w:t>六</w:t>
            </w:r>
          </w:p>
        </w:tc>
        <w:tc>
          <w:tcPr>
            <w:tcW w:w="1230" w:type="dxa"/>
            <w:vAlign w:val="center"/>
          </w:tcPr>
          <w:p w14:paraId="16DD59A3">
            <w:pPr>
              <w:autoSpaceDE w:val="0"/>
              <w:autoSpaceDN w:val="0"/>
              <w:adjustRightInd w:val="0"/>
              <w:snapToGrid w:val="0"/>
              <w:jc w:val="center"/>
              <w:rPr>
                <w:rFonts w:hint="default" w:ascii="Times New Roman" w:hAnsi="Times New Roman" w:cs="Times New Roman"/>
                <w:color w:val="auto"/>
                <w:sz w:val="24"/>
                <w:szCs w:val="24"/>
                <w:highlight w:val="none"/>
              </w:rPr>
            </w:pPr>
            <w:r>
              <w:rPr>
                <w:rFonts w:hint="default" w:ascii="Times New Roman" w:hAnsi="Times New Roman" w:eastAsia="宋体" w:cs="Times New Roman"/>
                <w:color w:val="auto"/>
                <w:sz w:val="24"/>
                <w:szCs w:val="24"/>
                <w:highlight w:val="none"/>
                <w:lang w:val="en-US" w:eastAsia="zh-CN"/>
              </w:rPr>
              <w:t>企业纳税信用等级</w:t>
            </w:r>
          </w:p>
        </w:tc>
        <w:tc>
          <w:tcPr>
            <w:tcW w:w="750" w:type="dxa"/>
            <w:vAlign w:val="center"/>
          </w:tcPr>
          <w:p w14:paraId="69627660">
            <w:pPr>
              <w:jc w:val="center"/>
              <w:rPr>
                <w:rFonts w:hint="default" w:ascii="Times New Roman" w:hAnsi="Times New Roman" w:eastAsia="宋体" w:cs="Times New Roman"/>
                <w:color w:val="auto"/>
                <w:sz w:val="24"/>
                <w:szCs w:val="24"/>
                <w:highlight w:val="none"/>
                <w:lang w:eastAsia="zh-CN"/>
              </w:rPr>
            </w:pPr>
            <w:r>
              <w:rPr>
                <w:rFonts w:hint="default" w:ascii="Times New Roman" w:hAnsi="Times New Roman" w:cs="Times New Roman"/>
                <w:color w:val="auto"/>
                <w:sz w:val="24"/>
                <w:highlight w:val="none"/>
                <w:lang w:val="en-US" w:eastAsia="zh-CN"/>
              </w:rPr>
              <w:t>4</w:t>
            </w:r>
          </w:p>
        </w:tc>
        <w:tc>
          <w:tcPr>
            <w:tcW w:w="6870" w:type="dxa"/>
            <w:vAlign w:val="center"/>
          </w:tcPr>
          <w:p w14:paraId="48676FD3">
            <w:pPr>
              <w:jc w:val="left"/>
              <w:rPr>
                <w:rFonts w:hint="default" w:ascii="Times New Roman" w:hAnsi="Times New Roman" w:cs="Times New Roman"/>
                <w:color w:val="auto"/>
                <w:sz w:val="24"/>
                <w:szCs w:val="24"/>
                <w:highlight w:val="none"/>
              </w:rPr>
            </w:pPr>
            <w:r>
              <w:rPr>
                <w:rFonts w:hint="default" w:ascii="Times New Roman" w:hAnsi="Times New Roman" w:cs="Times New Roman"/>
                <w:color w:val="auto"/>
                <w:kern w:val="0"/>
                <w:sz w:val="24"/>
                <w:szCs w:val="24"/>
                <w:highlight w:val="none"/>
              </w:rPr>
              <w:t>报价人获得国家税务机关2024年度“A级纳税人”信用评价，得</w:t>
            </w:r>
            <w:r>
              <w:rPr>
                <w:rFonts w:hint="default" w:ascii="Times New Roman" w:hAnsi="Times New Roman" w:cs="Times New Roman"/>
                <w:color w:val="auto"/>
                <w:kern w:val="0"/>
                <w:sz w:val="24"/>
                <w:szCs w:val="24"/>
                <w:highlight w:val="none"/>
                <w:lang w:val="en-US" w:eastAsia="zh-CN"/>
              </w:rPr>
              <w:t>4</w:t>
            </w:r>
            <w:r>
              <w:rPr>
                <w:rFonts w:hint="default" w:ascii="Times New Roman" w:hAnsi="Times New Roman" w:cs="Times New Roman"/>
                <w:color w:val="auto"/>
                <w:kern w:val="0"/>
                <w:sz w:val="24"/>
                <w:szCs w:val="24"/>
                <w:highlight w:val="none"/>
              </w:rPr>
              <w:t>分；“B级纳税人”信用评价，得</w:t>
            </w:r>
            <w:r>
              <w:rPr>
                <w:rFonts w:hint="default" w:ascii="Times New Roman" w:hAnsi="Times New Roman" w:cs="Times New Roman"/>
                <w:color w:val="auto"/>
                <w:kern w:val="0"/>
                <w:sz w:val="24"/>
                <w:szCs w:val="24"/>
                <w:highlight w:val="none"/>
                <w:lang w:val="en-US" w:eastAsia="zh-CN"/>
              </w:rPr>
              <w:t>2</w:t>
            </w:r>
            <w:r>
              <w:rPr>
                <w:rFonts w:hint="default" w:ascii="Times New Roman" w:hAnsi="Times New Roman" w:cs="Times New Roman"/>
                <w:color w:val="auto"/>
                <w:kern w:val="0"/>
                <w:sz w:val="24"/>
                <w:szCs w:val="24"/>
                <w:highlight w:val="none"/>
              </w:rPr>
              <w:t>分；“C级纳税人”信用评价，得1分；无或其他情况不得分。</w:t>
            </w:r>
            <w:r>
              <w:rPr>
                <w:rFonts w:hint="default" w:ascii="Times New Roman" w:hAnsi="Times New Roman" w:cs="Times New Roman"/>
                <w:color w:val="auto"/>
                <w:sz w:val="24"/>
                <w:szCs w:val="24"/>
                <w:highlight w:val="none"/>
              </w:rPr>
              <w:t>无或其他情况不得分，</w:t>
            </w:r>
            <w:r>
              <w:rPr>
                <w:rFonts w:hint="default" w:ascii="Times New Roman" w:hAnsi="Times New Roman" w:cs="Times New Roman"/>
                <w:color w:val="auto"/>
                <w:sz w:val="24"/>
                <w:szCs w:val="24"/>
                <w:highlight w:val="none"/>
                <w:lang w:val="zh-CN"/>
              </w:rPr>
              <w:t>本项累计最高得</w:t>
            </w:r>
            <w:r>
              <w:rPr>
                <w:rFonts w:hint="default" w:ascii="Times New Roman" w:hAnsi="Times New Roman" w:cs="Times New Roman"/>
                <w:color w:val="auto"/>
                <w:sz w:val="24"/>
                <w:szCs w:val="24"/>
                <w:highlight w:val="none"/>
                <w:lang w:val="en-US" w:eastAsia="zh-CN"/>
              </w:rPr>
              <w:t>4</w:t>
            </w:r>
            <w:r>
              <w:rPr>
                <w:rFonts w:hint="default" w:ascii="Times New Roman" w:hAnsi="Times New Roman" w:cs="Times New Roman"/>
                <w:color w:val="auto"/>
                <w:sz w:val="24"/>
                <w:szCs w:val="24"/>
                <w:highlight w:val="none"/>
              </w:rPr>
              <w:t>分。</w:t>
            </w:r>
          </w:p>
        </w:tc>
      </w:tr>
      <w:tr w14:paraId="61C1C2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750" w:type="dxa"/>
            <w:vAlign w:val="center"/>
          </w:tcPr>
          <w:p w14:paraId="58E5AC8B">
            <w:pPr>
              <w:autoSpaceDE w:val="0"/>
              <w:autoSpaceDN w:val="0"/>
              <w:adjustRightInd w:val="0"/>
              <w:jc w:val="center"/>
              <w:rPr>
                <w:rFonts w:hint="default" w:ascii="Times New Roman" w:hAnsi="Times New Roman" w:eastAsia="宋体" w:cs="Times New Roman"/>
                <w:color w:val="auto"/>
                <w:sz w:val="24"/>
                <w:szCs w:val="24"/>
                <w:highlight w:val="none"/>
                <w:lang w:eastAsia="zh-CN"/>
              </w:rPr>
            </w:pPr>
            <w:r>
              <w:rPr>
                <w:rFonts w:hint="default" w:ascii="Times New Roman" w:hAnsi="Times New Roman" w:cs="Times New Roman"/>
                <w:color w:val="auto"/>
                <w:sz w:val="24"/>
                <w:szCs w:val="24"/>
                <w:highlight w:val="none"/>
                <w:lang w:val="en-US" w:eastAsia="zh-CN"/>
              </w:rPr>
              <w:t>七</w:t>
            </w:r>
          </w:p>
        </w:tc>
        <w:tc>
          <w:tcPr>
            <w:tcW w:w="1230" w:type="dxa"/>
            <w:vAlign w:val="center"/>
          </w:tcPr>
          <w:p w14:paraId="3712A463">
            <w:pPr>
              <w:autoSpaceDE w:val="0"/>
              <w:autoSpaceDN w:val="0"/>
              <w:adjustRightInd w:val="0"/>
              <w:jc w:val="center"/>
              <w:rPr>
                <w:rFonts w:hint="default" w:ascii="Times New Roman" w:hAnsi="Times New Roman" w:cs="Times New Roman"/>
                <w:color w:val="auto"/>
                <w:sz w:val="24"/>
                <w:szCs w:val="24"/>
                <w:highlight w:val="none"/>
              </w:rPr>
            </w:pPr>
            <w:r>
              <w:rPr>
                <w:rFonts w:hint="default" w:ascii="Times New Roman" w:hAnsi="Times New Roman" w:cs="Times New Roman"/>
                <w:sz w:val="24"/>
                <w:szCs w:val="24"/>
                <w:highlight w:val="none"/>
              </w:rPr>
              <w:t>体系认证情况</w:t>
            </w:r>
          </w:p>
        </w:tc>
        <w:tc>
          <w:tcPr>
            <w:tcW w:w="750" w:type="dxa"/>
            <w:vAlign w:val="center"/>
          </w:tcPr>
          <w:p w14:paraId="4CE40F35">
            <w:pPr>
              <w:autoSpaceDE w:val="0"/>
              <w:autoSpaceDN w:val="0"/>
              <w:adjustRightInd w:val="0"/>
              <w:jc w:val="center"/>
              <w:rPr>
                <w:rFonts w:hint="default" w:ascii="Times New Roman" w:hAnsi="Times New Roman" w:cs="Times New Roman"/>
                <w:color w:val="auto"/>
                <w:sz w:val="24"/>
                <w:szCs w:val="24"/>
                <w:highlight w:val="none"/>
              </w:rPr>
            </w:pPr>
            <w:r>
              <w:rPr>
                <w:rFonts w:hint="default" w:ascii="Times New Roman" w:hAnsi="Times New Roman" w:cs="Times New Roman"/>
                <w:sz w:val="24"/>
                <w:szCs w:val="24"/>
                <w:highlight w:val="none"/>
              </w:rPr>
              <w:t>6</w:t>
            </w:r>
          </w:p>
        </w:tc>
        <w:tc>
          <w:tcPr>
            <w:tcW w:w="6870" w:type="dxa"/>
            <w:vAlign w:val="center"/>
          </w:tcPr>
          <w:p w14:paraId="129A4FBC">
            <w:pPr>
              <w:autoSpaceDE w:val="0"/>
              <w:autoSpaceDN w:val="0"/>
              <w:adjustRightInd w:val="0"/>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报价人具备以下管理体系认证证书的（认证证书须在有效期内）：</w:t>
            </w:r>
          </w:p>
          <w:p w14:paraId="68A98C3B">
            <w:pPr>
              <w:numPr>
                <w:ilvl w:val="0"/>
                <w:numId w:val="2"/>
              </w:numPr>
              <w:autoSpaceDE w:val="0"/>
              <w:autoSpaceDN w:val="0"/>
              <w:adjustRightInd w:val="0"/>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质量管理体系认证证书、</w:t>
            </w:r>
          </w:p>
          <w:p w14:paraId="302326DF">
            <w:pPr>
              <w:numPr>
                <w:ilvl w:val="0"/>
                <w:numId w:val="2"/>
              </w:numPr>
              <w:autoSpaceDE w:val="0"/>
              <w:autoSpaceDN w:val="0"/>
              <w:adjustRightInd w:val="0"/>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职业健康安全管理体系认证证书、</w:t>
            </w:r>
          </w:p>
          <w:p w14:paraId="35CF41C6">
            <w:pPr>
              <w:numPr>
                <w:ilvl w:val="0"/>
                <w:numId w:val="2"/>
              </w:numPr>
              <w:autoSpaceDE w:val="0"/>
              <w:autoSpaceDN w:val="0"/>
              <w:adjustRightInd w:val="0"/>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环境管理体系认证证书。</w:t>
            </w:r>
          </w:p>
          <w:p w14:paraId="10C5CBAD">
            <w:pPr>
              <w:autoSpaceDE w:val="0"/>
              <w:autoSpaceDN w:val="0"/>
              <w:adjustRightInd w:val="0"/>
              <w:rPr>
                <w:rFonts w:hint="default" w:ascii="Times New Roman" w:hAnsi="Times New Roman" w:cs="Times New Roman"/>
                <w:color w:val="auto"/>
                <w:sz w:val="24"/>
                <w:szCs w:val="24"/>
                <w:highlight w:val="none"/>
              </w:rPr>
            </w:pPr>
            <w:r>
              <w:rPr>
                <w:rFonts w:hint="default" w:ascii="Times New Roman" w:hAnsi="Times New Roman" w:cs="Times New Roman"/>
                <w:sz w:val="24"/>
                <w:szCs w:val="24"/>
                <w:highlight w:val="none"/>
              </w:rPr>
              <w:t>每项得2分，最高得6分，没有的不得分。</w:t>
            </w:r>
          </w:p>
        </w:tc>
      </w:tr>
      <w:tr w14:paraId="57B34D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750" w:type="dxa"/>
            <w:vAlign w:val="center"/>
          </w:tcPr>
          <w:p w14:paraId="0C886D28">
            <w:pPr>
              <w:autoSpaceDE w:val="0"/>
              <w:autoSpaceDN w:val="0"/>
              <w:adjustRightInd w:val="0"/>
              <w:jc w:val="center"/>
              <w:rPr>
                <w:rFonts w:hint="default" w:ascii="Times New Roman" w:hAnsi="Times New Roman" w:eastAsia="宋体" w:cs="Times New Roman"/>
                <w:color w:val="auto"/>
                <w:sz w:val="24"/>
                <w:szCs w:val="24"/>
                <w:highlight w:val="none"/>
                <w:lang w:eastAsia="zh-CN"/>
              </w:rPr>
            </w:pPr>
            <w:r>
              <w:rPr>
                <w:rFonts w:hint="default" w:ascii="Times New Roman" w:hAnsi="Times New Roman" w:cs="Times New Roman"/>
                <w:color w:val="auto"/>
                <w:sz w:val="24"/>
                <w:szCs w:val="24"/>
                <w:highlight w:val="none"/>
                <w:lang w:val="en-US" w:eastAsia="zh-CN"/>
              </w:rPr>
              <w:t>八</w:t>
            </w:r>
          </w:p>
        </w:tc>
        <w:tc>
          <w:tcPr>
            <w:tcW w:w="1230" w:type="dxa"/>
            <w:vAlign w:val="center"/>
          </w:tcPr>
          <w:p w14:paraId="66767D98">
            <w:pPr>
              <w:autoSpaceDE w:val="0"/>
              <w:autoSpaceDN w:val="0"/>
              <w:adjustRightInd w:val="0"/>
              <w:jc w:val="center"/>
              <w:rPr>
                <w:rFonts w:hint="default" w:ascii="Times New Roman" w:hAnsi="Times New Roman" w:cs="Times New Roman"/>
                <w:color w:val="auto"/>
                <w:sz w:val="24"/>
                <w:szCs w:val="24"/>
                <w:highlight w:val="none"/>
              </w:rPr>
            </w:pPr>
            <w:r>
              <w:rPr>
                <w:rFonts w:hint="default" w:ascii="Times New Roman" w:hAnsi="Times New Roman" w:cs="Times New Roman"/>
                <w:sz w:val="24"/>
                <w:szCs w:val="24"/>
                <w:highlight w:val="none"/>
              </w:rPr>
              <w:t>报价</w:t>
            </w:r>
          </w:p>
        </w:tc>
        <w:tc>
          <w:tcPr>
            <w:tcW w:w="750" w:type="dxa"/>
            <w:vAlign w:val="center"/>
          </w:tcPr>
          <w:p w14:paraId="456A7394">
            <w:pPr>
              <w:autoSpaceDE w:val="0"/>
              <w:autoSpaceDN w:val="0"/>
              <w:adjustRightInd w:val="0"/>
              <w:jc w:val="center"/>
              <w:rPr>
                <w:rFonts w:hint="default" w:ascii="Times New Roman" w:hAnsi="Times New Roman" w:cs="Times New Roman"/>
                <w:color w:val="auto"/>
                <w:sz w:val="24"/>
                <w:szCs w:val="24"/>
                <w:highlight w:val="none"/>
              </w:rPr>
            </w:pPr>
            <w:r>
              <w:rPr>
                <w:rFonts w:hint="default" w:ascii="Times New Roman" w:hAnsi="Times New Roman" w:cs="Times New Roman"/>
                <w:sz w:val="24"/>
                <w:szCs w:val="24"/>
                <w:highlight w:val="none"/>
              </w:rPr>
              <w:t>20</w:t>
            </w:r>
          </w:p>
        </w:tc>
        <w:tc>
          <w:tcPr>
            <w:tcW w:w="6870" w:type="dxa"/>
            <w:vAlign w:val="center"/>
          </w:tcPr>
          <w:p w14:paraId="33E6CFD9">
            <w:pPr>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当有效报价等于报价基准价时，报价得分为20分，报价每高于报价基准价1%，扣0.5分，每低于1%，扣0.3分，扣至0分为止，计算出报价得分，精确到小数点后两位。</w:t>
            </w:r>
          </w:p>
          <w:p w14:paraId="100AF5AB">
            <w:pPr>
              <w:autoSpaceDE w:val="0"/>
              <w:autoSpaceDN w:val="0"/>
              <w:adjustRightInd w:val="0"/>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注：1.当有效报价人大于或等于5家时，去掉一个最高价和一个最低价，取余下有效报价的算术平均值作为报价基准价。当有效报价人小于5家时，取所有入围有效报价的算术平均值作为报价基准价。（保留小数点后二位，第三位小数四舍五入）</w:t>
            </w:r>
          </w:p>
          <w:p w14:paraId="49E5CC97">
            <w:pPr>
              <w:autoSpaceDE w:val="0"/>
              <w:autoSpaceDN w:val="0"/>
              <w:adjustRightInd w:val="0"/>
              <w:rPr>
                <w:rFonts w:hint="default" w:ascii="Times New Roman" w:hAnsi="Times New Roman" w:cs="Times New Roman"/>
                <w:color w:val="auto"/>
                <w:sz w:val="24"/>
                <w:szCs w:val="24"/>
                <w:highlight w:val="none"/>
                <w:lang w:val="zh-CN"/>
              </w:rPr>
            </w:pPr>
            <w:r>
              <w:rPr>
                <w:rFonts w:hint="default" w:ascii="Times New Roman" w:hAnsi="Times New Roman" w:cs="Times New Roman"/>
                <w:sz w:val="24"/>
                <w:szCs w:val="24"/>
                <w:highlight w:val="none"/>
              </w:rPr>
              <w:t>2.偏差率=|有效报价-报价基准价|/报价基准价*100%（偏差率四舍五入保留2位小数，偏差率不足1%的，按直线内插法计算报价得分）</w:t>
            </w:r>
          </w:p>
        </w:tc>
      </w:tr>
      <w:tr w14:paraId="619A6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980" w:type="dxa"/>
            <w:gridSpan w:val="2"/>
            <w:vAlign w:val="center"/>
          </w:tcPr>
          <w:p w14:paraId="41BBAF31">
            <w:pPr>
              <w:autoSpaceDE w:val="0"/>
              <w:autoSpaceDN w:val="0"/>
              <w:adjustRightInd w:val="0"/>
              <w:jc w:val="center"/>
              <w:rPr>
                <w:rFonts w:hint="default" w:ascii="Times New Roman" w:hAnsi="Times New Roman" w:cs="Times New Roman"/>
                <w:color w:val="auto"/>
                <w:sz w:val="24"/>
                <w:szCs w:val="24"/>
                <w:highlight w:val="none"/>
              </w:rPr>
            </w:pPr>
            <w:r>
              <w:rPr>
                <w:rFonts w:hint="default" w:ascii="Times New Roman" w:hAnsi="Times New Roman" w:cs="Times New Roman"/>
                <w:b/>
                <w:bCs/>
                <w:color w:val="auto"/>
                <w:sz w:val="24"/>
                <w:szCs w:val="24"/>
                <w:highlight w:val="none"/>
                <w:lang w:val="zh-CN"/>
              </w:rPr>
              <w:t>总计</w:t>
            </w:r>
          </w:p>
        </w:tc>
        <w:tc>
          <w:tcPr>
            <w:tcW w:w="750" w:type="dxa"/>
            <w:vAlign w:val="center"/>
          </w:tcPr>
          <w:p w14:paraId="724E9749">
            <w:pPr>
              <w:autoSpaceDE w:val="0"/>
              <w:autoSpaceDN w:val="0"/>
              <w:adjustRightInd w:val="0"/>
              <w:jc w:val="center"/>
              <w:rPr>
                <w:rFonts w:hint="default" w:ascii="Times New Roman" w:hAnsi="Times New Roman" w:cs="Times New Roman"/>
                <w:color w:val="auto"/>
                <w:sz w:val="24"/>
                <w:szCs w:val="24"/>
                <w:highlight w:val="none"/>
              </w:rPr>
            </w:pPr>
            <w:r>
              <w:rPr>
                <w:rFonts w:hint="default" w:ascii="Times New Roman" w:hAnsi="Times New Roman" w:cs="Times New Roman"/>
                <w:b/>
                <w:bCs/>
                <w:color w:val="auto"/>
                <w:sz w:val="24"/>
                <w:szCs w:val="24"/>
                <w:highlight w:val="none"/>
              </w:rPr>
              <w:t>100</w:t>
            </w:r>
          </w:p>
        </w:tc>
        <w:tc>
          <w:tcPr>
            <w:tcW w:w="6870" w:type="dxa"/>
            <w:vAlign w:val="center"/>
          </w:tcPr>
          <w:p w14:paraId="2E805781">
            <w:pPr>
              <w:autoSpaceDE w:val="0"/>
              <w:autoSpaceDN w:val="0"/>
              <w:adjustRightInd w:val="0"/>
              <w:jc w:val="center"/>
              <w:rPr>
                <w:rFonts w:hint="default" w:ascii="Times New Roman" w:hAnsi="Times New Roman" w:cs="Times New Roman"/>
                <w:b/>
                <w:color w:val="auto"/>
                <w:kern w:val="0"/>
                <w:sz w:val="24"/>
                <w:szCs w:val="24"/>
                <w:highlight w:val="none"/>
              </w:rPr>
            </w:pPr>
            <w:r>
              <w:rPr>
                <w:rFonts w:hint="default" w:ascii="Times New Roman" w:hAnsi="Times New Roman" w:cs="Times New Roman"/>
                <w:b/>
                <w:color w:val="auto"/>
                <w:kern w:val="0"/>
                <w:sz w:val="24"/>
                <w:szCs w:val="24"/>
                <w:highlight w:val="none"/>
              </w:rPr>
              <w:t>/</w:t>
            </w:r>
          </w:p>
        </w:tc>
      </w:tr>
    </w:tbl>
    <w:p w14:paraId="53066C68">
      <w:pPr>
        <w:rPr>
          <w:rFonts w:hint="default" w:ascii="Times New Roman" w:hAnsi="Times New Roman" w:cs="Times New Roman"/>
          <w:color w:val="auto"/>
          <w:szCs w:val="21"/>
          <w:highlight w:val="none"/>
        </w:rPr>
      </w:pPr>
    </w:p>
    <w:p w14:paraId="6DC757AE">
      <w:pPr>
        <w:rPr>
          <w:rFonts w:hint="default" w:ascii="Times New Roman" w:hAnsi="Times New Roman" w:cs="Times New Roman"/>
          <w:color w:val="auto"/>
          <w:szCs w:val="21"/>
          <w:highlight w:val="none"/>
        </w:rPr>
      </w:pPr>
    </w:p>
    <w:p w14:paraId="3983A726">
      <w:pP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备注：</w:t>
      </w:r>
    </w:p>
    <w:p w14:paraId="14766D58">
      <w:pPr>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1.①施工业绩需提供合同关键页复印件及竣工验收报告（或竣工验收证明）；设计业绩需提供合同关键页复印件。②施工业绩的日期以竣工报告（或竣工验收证明）时间为准；设计业绩的日期以合同签订的时间为准。③工作内容、建安工程费金额以合同或竣工验收报告（或竣工验收证明）列明工作内容为准，如未体现上述内容，需提供其他证明文件。④如为联合体报价的，联合体各方单位提供的有效资料均可计分。未提供不得分。</w:t>
      </w:r>
    </w:p>
    <w:p w14:paraId="5B7981F0">
      <w:pPr>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2.项目负责人需提供毕业证书、注册证书、职称证书及本单位</w:t>
      </w:r>
      <w:r>
        <w:rPr>
          <w:rFonts w:hint="default" w:ascii="Times New Roman" w:hAnsi="Times New Roman" w:eastAsia="宋体" w:cs="Times New Roman"/>
          <w:szCs w:val="21"/>
          <w:highlight w:val="none"/>
        </w:rPr>
        <w:t>近三个月（202</w:t>
      </w:r>
      <w:r>
        <w:rPr>
          <w:rFonts w:hint="eastAsia" w:ascii="Times New Roman" w:hAnsi="Times New Roman" w:eastAsia="宋体" w:cs="Times New Roman"/>
          <w:szCs w:val="21"/>
          <w:highlight w:val="none"/>
          <w:lang w:val="en-US" w:eastAsia="zh-CN"/>
        </w:rPr>
        <w:t>6</w:t>
      </w:r>
      <w:r>
        <w:rPr>
          <w:rFonts w:hint="default" w:ascii="Times New Roman" w:hAnsi="Times New Roman" w:eastAsia="宋体" w:cs="Times New Roman"/>
          <w:szCs w:val="21"/>
          <w:highlight w:val="none"/>
        </w:rPr>
        <w:t>年</w:t>
      </w:r>
      <w:r>
        <w:rPr>
          <w:rFonts w:hint="eastAsia" w:ascii="Times New Roman" w:hAnsi="Times New Roman" w:eastAsia="宋体" w:cs="Times New Roman"/>
          <w:szCs w:val="21"/>
          <w:highlight w:val="none"/>
          <w:lang w:val="en-US" w:eastAsia="zh-CN"/>
        </w:rPr>
        <w:t>1</w:t>
      </w:r>
      <w:r>
        <w:rPr>
          <w:rFonts w:hint="default" w:ascii="Times New Roman" w:hAnsi="Times New Roman" w:eastAsia="宋体" w:cs="Times New Roman"/>
          <w:szCs w:val="21"/>
          <w:highlight w:val="none"/>
        </w:rPr>
        <w:t>月份至202</w:t>
      </w:r>
      <w:r>
        <w:rPr>
          <w:rFonts w:hint="default" w:ascii="Times New Roman" w:hAnsi="Times New Roman" w:eastAsia="宋体" w:cs="Times New Roman"/>
          <w:szCs w:val="21"/>
          <w:highlight w:val="none"/>
          <w:lang w:val="en-US" w:eastAsia="zh-CN"/>
        </w:rPr>
        <w:t>6</w:t>
      </w:r>
      <w:r>
        <w:rPr>
          <w:rFonts w:hint="default" w:ascii="Times New Roman" w:hAnsi="Times New Roman" w:eastAsia="宋体" w:cs="Times New Roman"/>
          <w:szCs w:val="21"/>
          <w:highlight w:val="none"/>
        </w:rPr>
        <w:t>年</w:t>
      </w:r>
      <w:r>
        <w:rPr>
          <w:rFonts w:hint="eastAsia" w:ascii="Times New Roman" w:hAnsi="Times New Roman" w:eastAsia="宋体" w:cs="Times New Roman"/>
          <w:szCs w:val="21"/>
          <w:highlight w:val="none"/>
          <w:lang w:val="en-US" w:eastAsia="zh-CN"/>
        </w:rPr>
        <w:t>3</w:t>
      </w:r>
      <w:r>
        <w:rPr>
          <w:rFonts w:hint="default" w:ascii="Times New Roman" w:hAnsi="Times New Roman" w:eastAsia="宋体" w:cs="Times New Roman"/>
          <w:szCs w:val="21"/>
          <w:highlight w:val="none"/>
        </w:rPr>
        <w:t>月份）在本单位缴纳社保的证明材料</w:t>
      </w:r>
      <w:r>
        <w:rPr>
          <w:rFonts w:hint="default" w:ascii="Times New Roman" w:hAnsi="Times New Roman" w:cs="Times New Roman"/>
          <w:szCs w:val="21"/>
          <w:highlight w:val="none"/>
        </w:rPr>
        <w:t>，如为联合体报价的，项目负责人由联合体牵头单位委派。否则不得分。</w:t>
      </w:r>
    </w:p>
    <w:p w14:paraId="20D0384A">
      <w:pPr>
        <w:ind w:firstLine="420" w:firstLineChars="200"/>
        <w:rPr>
          <w:rFonts w:hint="default" w:ascii="Times New Roman" w:hAnsi="Times New Roman" w:cs="Times New Roman"/>
          <w:b w:val="0"/>
          <w:bCs w:val="0"/>
          <w:color w:val="auto"/>
          <w:szCs w:val="21"/>
          <w:highlight w:val="none"/>
        </w:rPr>
      </w:pPr>
      <w:r>
        <w:rPr>
          <w:rFonts w:hint="default" w:ascii="Times New Roman" w:hAnsi="Times New Roman" w:cs="Times New Roman"/>
          <w:b w:val="0"/>
          <w:bCs w:val="0"/>
          <w:color w:val="auto"/>
          <w:szCs w:val="21"/>
          <w:highlight w:val="none"/>
        </w:rPr>
        <w:t>3.设计负责人需提供职称证书、注册证书及本单位</w:t>
      </w:r>
      <w:r>
        <w:rPr>
          <w:rFonts w:hint="default" w:ascii="Times New Roman" w:hAnsi="Times New Roman" w:eastAsia="宋体" w:cs="Times New Roman"/>
          <w:b w:val="0"/>
          <w:bCs w:val="0"/>
          <w:color w:val="auto"/>
          <w:szCs w:val="21"/>
          <w:highlight w:val="none"/>
        </w:rPr>
        <w:t>近三个月（202</w:t>
      </w:r>
      <w:r>
        <w:rPr>
          <w:rFonts w:hint="eastAsia" w:ascii="Times New Roman" w:hAnsi="Times New Roman" w:eastAsia="宋体" w:cs="Times New Roman"/>
          <w:b w:val="0"/>
          <w:bCs w:val="0"/>
          <w:color w:val="auto"/>
          <w:szCs w:val="21"/>
          <w:highlight w:val="none"/>
          <w:lang w:val="en-US" w:eastAsia="zh-CN"/>
        </w:rPr>
        <w:t>6</w:t>
      </w:r>
      <w:r>
        <w:rPr>
          <w:rFonts w:hint="default" w:ascii="Times New Roman" w:hAnsi="Times New Roman" w:eastAsia="宋体" w:cs="Times New Roman"/>
          <w:b w:val="0"/>
          <w:bCs w:val="0"/>
          <w:color w:val="auto"/>
          <w:szCs w:val="21"/>
          <w:highlight w:val="none"/>
        </w:rPr>
        <w:t>年</w:t>
      </w:r>
      <w:r>
        <w:rPr>
          <w:rFonts w:hint="eastAsia" w:ascii="Times New Roman" w:hAnsi="Times New Roman" w:eastAsia="宋体" w:cs="Times New Roman"/>
          <w:b w:val="0"/>
          <w:bCs w:val="0"/>
          <w:color w:val="auto"/>
          <w:szCs w:val="21"/>
          <w:highlight w:val="none"/>
          <w:lang w:val="en-US" w:eastAsia="zh-CN"/>
        </w:rPr>
        <w:t>1</w:t>
      </w:r>
      <w:r>
        <w:rPr>
          <w:rFonts w:hint="default" w:ascii="Times New Roman" w:hAnsi="Times New Roman" w:eastAsia="宋体" w:cs="Times New Roman"/>
          <w:b w:val="0"/>
          <w:bCs w:val="0"/>
          <w:color w:val="auto"/>
          <w:szCs w:val="21"/>
          <w:highlight w:val="none"/>
        </w:rPr>
        <w:t>月份至202</w:t>
      </w:r>
      <w:r>
        <w:rPr>
          <w:rFonts w:hint="default" w:ascii="Times New Roman" w:hAnsi="Times New Roman" w:eastAsia="宋体" w:cs="Times New Roman"/>
          <w:b w:val="0"/>
          <w:bCs w:val="0"/>
          <w:color w:val="auto"/>
          <w:szCs w:val="21"/>
          <w:highlight w:val="none"/>
          <w:lang w:val="en-US" w:eastAsia="zh-CN"/>
        </w:rPr>
        <w:t>6</w:t>
      </w:r>
      <w:r>
        <w:rPr>
          <w:rFonts w:hint="default" w:ascii="Times New Roman" w:hAnsi="Times New Roman" w:eastAsia="宋体" w:cs="Times New Roman"/>
          <w:b w:val="0"/>
          <w:bCs w:val="0"/>
          <w:color w:val="auto"/>
          <w:szCs w:val="21"/>
          <w:highlight w:val="none"/>
        </w:rPr>
        <w:t>年</w:t>
      </w:r>
      <w:r>
        <w:rPr>
          <w:rFonts w:hint="eastAsia" w:ascii="Times New Roman" w:hAnsi="Times New Roman" w:eastAsia="宋体" w:cs="Times New Roman"/>
          <w:b w:val="0"/>
          <w:bCs w:val="0"/>
          <w:color w:val="auto"/>
          <w:szCs w:val="21"/>
          <w:highlight w:val="none"/>
          <w:lang w:val="en-US" w:eastAsia="zh-CN"/>
        </w:rPr>
        <w:t>3</w:t>
      </w:r>
      <w:r>
        <w:rPr>
          <w:rFonts w:hint="default" w:ascii="Times New Roman" w:hAnsi="Times New Roman" w:eastAsia="宋体" w:cs="Times New Roman"/>
          <w:b w:val="0"/>
          <w:bCs w:val="0"/>
          <w:color w:val="auto"/>
          <w:szCs w:val="21"/>
          <w:highlight w:val="none"/>
        </w:rPr>
        <w:t>月份）在本单位缴纳社保的证明材料</w:t>
      </w:r>
      <w:r>
        <w:rPr>
          <w:rFonts w:hint="default" w:ascii="Times New Roman" w:hAnsi="Times New Roman" w:cs="Times New Roman"/>
          <w:b w:val="0"/>
          <w:bCs w:val="0"/>
          <w:color w:val="auto"/>
          <w:szCs w:val="21"/>
          <w:highlight w:val="none"/>
        </w:rPr>
        <w:t>。如为联合体报价的，由承担设计工作的单位提供的有效资料为准。未提供的不得分。</w:t>
      </w:r>
    </w:p>
    <w:p w14:paraId="09A6EBAF">
      <w:pPr>
        <w:ind w:firstLine="420" w:firstLineChars="200"/>
        <w:rPr>
          <w:rFonts w:hint="default" w:ascii="Times New Roman" w:hAnsi="Times New Roman" w:cs="Times New Roman"/>
          <w:b w:val="0"/>
          <w:bCs w:val="0"/>
          <w:color w:val="auto"/>
          <w:szCs w:val="21"/>
          <w:highlight w:val="none"/>
        </w:rPr>
      </w:pPr>
      <w:r>
        <w:rPr>
          <w:rFonts w:hint="default" w:ascii="Times New Roman" w:hAnsi="Times New Roman" w:cs="Times New Roman"/>
          <w:b w:val="0"/>
          <w:bCs w:val="0"/>
          <w:color w:val="auto"/>
          <w:szCs w:val="21"/>
          <w:highlight w:val="none"/>
        </w:rPr>
        <w:t>4.主要专业技术人员（项目负责人、设计负责人除外）需提供职称证书、岗位证书（如施工员证、安全员证、资料员证及质量员证）、注册证书及本单位</w:t>
      </w:r>
      <w:r>
        <w:rPr>
          <w:rFonts w:hint="default" w:ascii="Times New Roman" w:hAnsi="Times New Roman" w:eastAsia="宋体" w:cs="Times New Roman"/>
          <w:b w:val="0"/>
          <w:bCs w:val="0"/>
          <w:color w:val="auto"/>
          <w:szCs w:val="21"/>
          <w:highlight w:val="none"/>
        </w:rPr>
        <w:t>近三个月（202</w:t>
      </w:r>
      <w:r>
        <w:rPr>
          <w:rFonts w:hint="eastAsia" w:ascii="Times New Roman" w:hAnsi="Times New Roman" w:eastAsia="宋体" w:cs="Times New Roman"/>
          <w:b w:val="0"/>
          <w:bCs w:val="0"/>
          <w:color w:val="auto"/>
          <w:szCs w:val="21"/>
          <w:highlight w:val="none"/>
          <w:lang w:val="en-US" w:eastAsia="zh-CN"/>
        </w:rPr>
        <w:t>6</w:t>
      </w:r>
      <w:r>
        <w:rPr>
          <w:rFonts w:hint="default" w:ascii="Times New Roman" w:hAnsi="Times New Roman" w:eastAsia="宋体" w:cs="Times New Roman"/>
          <w:b w:val="0"/>
          <w:bCs w:val="0"/>
          <w:color w:val="auto"/>
          <w:szCs w:val="21"/>
          <w:highlight w:val="none"/>
        </w:rPr>
        <w:t>年</w:t>
      </w:r>
      <w:r>
        <w:rPr>
          <w:rFonts w:hint="eastAsia" w:ascii="Times New Roman" w:hAnsi="Times New Roman" w:eastAsia="宋体" w:cs="Times New Roman"/>
          <w:b w:val="0"/>
          <w:bCs w:val="0"/>
          <w:color w:val="auto"/>
          <w:szCs w:val="21"/>
          <w:highlight w:val="none"/>
          <w:lang w:val="en-US" w:eastAsia="zh-CN"/>
        </w:rPr>
        <w:t>1</w:t>
      </w:r>
      <w:r>
        <w:rPr>
          <w:rFonts w:hint="default" w:ascii="Times New Roman" w:hAnsi="Times New Roman" w:eastAsia="宋体" w:cs="Times New Roman"/>
          <w:b w:val="0"/>
          <w:bCs w:val="0"/>
          <w:color w:val="auto"/>
          <w:szCs w:val="21"/>
          <w:highlight w:val="none"/>
        </w:rPr>
        <w:t>月份至202</w:t>
      </w:r>
      <w:r>
        <w:rPr>
          <w:rFonts w:hint="default" w:ascii="Times New Roman" w:hAnsi="Times New Roman" w:eastAsia="宋体" w:cs="Times New Roman"/>
          <w:b w:val="0"/>
          <w:bCs w:val="0"/>
          <w:color w:val="auto"/>
          <w:szCs w:val="21"/>
          <w:highlight w:val="none"/>
          <w:lang w:val="en-US" w:eastAsia="zh-CN"/>
        </w:rPr>
        <w:t>6</w:t>
      </w:r>
      <w:r>
        <w:rPr>
          <w:rFonts w:hint="default" w:ascii="Times New Roman" w:hAnsi="Times New Roman" w:eastAsia="宋体" w:cs="Times New Roman"/>
          <w:b w:val="0"/>
          <w:bCs w:val="0"/>
          <w:color w:val="auto"/>
          <w:szCs w:val="21"/>
          <w:highlight w:val="none"/>
        </w:rPr>
        <w:t>年</w:t>
      </w:r>
      <w:r>
        <w:rPr>
          <w:rFonts w:hint="eastAsia" w:ascii="Times New Roman" w:hAnsi="Times New Roman" w:eastAsia="宋体" w:cs="Times New Roman"/>
          <w:b w:val="0"/>
          <w:bCs w:val="0"/>
          <w:color w:val="auto"/>
          <w:szCs w:val="21"/>
          <w:highlight w:val="none"/>
          <w:lang w:val="en-US" w:eastAsia="zh-CN"/>
        </w:rPr>
        <w:t>3</w:t>
      </w:r>
      <w:r>
        <w:rPr>
          <w:rFonts w:hint="default" w:ascii="Times New Roman" w:hAnsi="Times New Roman" w:eastAsia="宋体" w:cs="Times New Roman"/>
          <w:b w:val="0"/>
          <w:bCs w:val="0"/>
          <w:color w:val="auto"/>
          <w:szCs w:val="21"/>
          <w:highlight w:val="none"/>
        </w:rPr>
        <w:t>月份）在本单位缴纳社保的证明材料</w:t>
      </w:r>
      <w:r>
        <w:rPr>
          <w:rFonts w:hint="default" w:ascii="Times New Roman" w:hAnsi="Times New Roman" w:cs="Times New Roman"/>
          <w:b w:val="0"/>
          <w:bCs w:val="0"/>
          <w:color w:val="auto"/>
          <w:szCs w:val="21"/>
          <w:highlight w:val="none"/>
        </w:rPr>
        <w:t>。如为联合体报价的，联合体各方单位提供的有效资料均可计分。未提供的不得分。</w:t>
      </w:r>
    </w:p>
    <w:p w14:paraId="16CC2058">
      <w:pPr>
        <w:ind w:firstLine="420" w:firstLineChars="200"/>
        <w:rPr>
          <w:rFonts w:hint="default" w:ascii="Times New Roman" w:hAnsi="Times New Roman" w:cs="Times New Roman"/>
          <w:color w:val="auto"/>
          <w:szCs w:val="21"/>
          <w:highlight w:val="none"/>
        </w:rPr>
      </w:pPr>
      <w:r>
        <w:rPr>
          <w:rFonts w:hint="default" w:ascii="Times New Roman" w:hAnsi="Times New Roman" w:cs="Times New Roman"/>
          <w:b w:val="0"/>
          <w:bCs w:val="0"/>
          <w:color w:val="auto"/>
          <w:kern w:val="0"/>
          <w:szCs w:val="21"/>
          <w:highlight w:val="none"/>
        </w:rPr>
        <w:t>注册造价工程师指根据原人事部、原建设部发布的《造价工程师执业资格制度暂行规定》（人发〔1996〕77号）取得的造价工程师执业资格，并经注册且在有效期内；注册一级造价工程师资格指根据住房城乡建设部、交通运输部、水利部、人力资源和社会保障部发布的《造价工程师职业资格制度规定》《造价工程师职业资格考试实施办法》（建人〔2018〕</w:t>
      </w:r>
      <w:r>
        <w:rPr>
          <w:rFonts w:hint="default" w:ascii="Times New Roman" w:hAnsi="Times New Roman" w:cs="Times New Roman"/>
          <w:color w:val="auto"/>
          <w:kern w:val="0"/>
          <w:szCs w:val="21"/>
          <w:highlight w:val="none"/>
        </w:rPr>
        <w:t>67号）取得的一级造价工程师职业资格，并经</w:t>
      </w:r>
      <w:r>
        <w:rPr>
          <w:rFonts w:hint="default" w:ascii="Times New Roman" w:hAnsi="Times New Roman" w:cs="Times New Roman"/>
          <w:color w:val="auto"/>
          <w:szCs w:val="21"/>
          <w:highlight w:val="none"/>
        </w:rPr>
        <w:t>注册且在有效期内。</w:t>
      </w:r>
    </w:p>
    <w:p w14:paraId="4248CF75">
      <w:pPr>
        <w:ind w:firstLine="420" w:firstLineChars="200"/>
        <w:rPr>
          <w:rFonts w:hint="default" w:ascii="Times New Roman" w:hAnsi="Times New Roman" w:cs="Times New Roman"/>
          <w:b w:val="0"/>
          <w:bCs w:val="0"/>
          <w:color w:val="auto"/>
          <w:szCs w:val="21"/>
          <w:highlight w:val="none"/>
        </w:rPr>
      </w:pPr>
      <w:r>
        <w:rPr>
          <w:rFonts w:hint="default" w:ascii="Times New Roman" w:hAnsi="Times New Roman" w:cs="Times New Roman"/>
          <w:color w:val="auto"/>
          <w:szCs w:val="21"/>
          <w:highlight w:val="none"/>
        </w:rPr>
        <w:t>5.企业荣誉、企业信誉需提供相关机构颁发的证书或其官方网站上公布的名单截图为证明材料，时间以证书或公布名单载明的时间为准。如证书颁发单位为协会的，还需提供该协会在“中国社会组织政务服务平台”有登记的网页查询截图（网址：</w:t>
      </w:r>
      <w:r>
        <w:rPr>
          <w:rFonts w:hint="default" w:ascii="Times New Roman" w:hAnsi="Times New Roman" w:cs="Times New Roman"/>
          <w:b w:val="0"/>
          <w:bCs w:val="0"/>
          <w:color w:val="auto"/>
          <w:highlight w:val="none"/>
        </w:rPr>
        <w:fldChar w:fldCharType="begin"/>
      </w:r>
      <w:r>
        <w:rPr>
          <w:rFonts w:hint="default" w:ascii="Times New Roman" w:hAnsi="Times New Roman" w:cs="Times New Roman"/>
          <w:b w:val="0"/>
          <w:bCs w:val="0"/>
          <w:color w:val="auto"/>
          <w:highlight w:val="none"/>
        </w:rPr>
        <w:instrText xml:space="preserve"> HYPERLINK "https://chinanpo.mca.gov.cn/），证明颁发证书的协会在中国社会组织网上有登记备案，如为联合体报价的，联合体各方单位提供的有效资料均可计分。否则不得分。" </w:instrText>
      </w:r>
      <w:r>
        <w:rPr>
          <w:rFonts w:hint="default" w:ascii="Times New Roman" w:hAnsi="Times New Roman" w:cs="Times New Roman"/>
          <w:b w:val="0"/>
          <w:bCs w:val="0"/>
          <w:color w:val="auto"/>
          <w:highlight w:val="none"/>
        </w:rPr>
        <w:fldChar w:fldCharType="separate"/>
      </w:r>
      <w:r>
        <w:rPr>
          <w:rFonts w:hint="default" w:ascii="Times New Roman" w:hAnsi="Times New Roman" w:cs="Times New Roman"/>
          <w:b w:val="0"/>
          <w:bCs w:val="0"/>
          <w:color w:val="auto"/>
          <w:szCs w:val="21"/>
          <w:highlight w:val="none"/>
        </w:rPr>
        <w:t>https://chinanpo.mca.gov.cn/），证明颁发证书的协会在中国社会组织网上有登记备案。如为联合体报价的，联合体各方单位提供的有效资料均可计分。否则不得分。</w:t>
      </w:r>
      <w:r>
        <w:rPr>
          <w:rFonts w:hint="default" w:ascii="Times New Roman" w:hAnsi="Times New Roman" w:cs="Times New Roman"/>
          <w:b w:val="0"/>
          <w:bCs w:val="0"/>
          <w:color w:val="auto"/>
          <w:szCs w:val="21"/>
          <w:highlight w:val="none"/>
        </w:rPr>
        <w:fldChar w:fldCharType="end"/>
      </w:r>
    </w:p>
    <w:p w14:paraId="75DB9217">
      <w:pPr>
        <w:ind w:firstLine="420" w:firstLineChars="200"/>
        <w:rPr>
          <w:rFonts w:hint="default" w:ascii="Times New Roman" w:hAnsi="Times New Roman" w:cs="Times New Roman"/>
          <w:b w:val="0"/>
          <w:bCs w:val="0"/>
          <w:color w:val="auto"/>
          <w:highlight w:val="none"/>
        </w:rPr>
      </w:pPr>
      <w:r>
        <w:rPr>
          <w:rFonts w:hint="default" w:ascii="Times New Roman" w:hAnsi="Times New Roman" w:cs="Times New Roman"/>
          <w:b w:val="0"/>
          <w:bCs w:val="0"/>
          <w:color w:val="auto"/>
          <w:szCs w:val="21"/>
          <w:highlight w:val="none"/>
        </w:rPr>
        <w:t>6.</w:t>
      </w:r>
      <w:r>
        <w:rPr>
          <w:rFonts w:hint="default" w:ascii="Times New Roman" w:hAnsi="Times New Roman" w:cs="Times New Roman"/>
          <w:color w:val="auto"/>
          <w:szCs w:val="21"/>
          <w:highlight w:val="none"/>
        </w:rPr>
        <w:t>企业纳税需提供相关国家税务机关官网查询结果网页截图或主管税务机关出具的证明，否则不得分</w:t>
      </w:r>
      <w:r>
        <w:rPr>
          <w:rFonts w:hint="default" w:ascii="Times New Roman" w:hAnsi="Times New Roman" w:cs="Times New Roman"/>
          <w:b w:val="0"/>
          <w:bCs w:val="0"/>
          <w:color w:val="auto"/>
          <w:szCs w:val="21"/>
          <w:highlight w:val="none"/>
        </w:rPr>
        <w:t>。</w:t>
      </w:r>
    </w:p>
    <w:p w14:paraId="2D61EB9B">
      <w:pPr>
        <w:ind w:firstLine="420" w:firstLineChars="200"/>
        <w:rPr>
          <w:rFonts w:hint="default" w:ascii="Times New Roman" w:hAnsi="Times New Roman" w:cs="Times New Roman"/>
          <w:b w:val="0"/>
          <w:bCs w:val="0"/>
          <w:szCs w:val="21"/>
          <w:highlight w:val="none"/>
        </w:rPr>
      </w:pPr>
      <w:r>
        <w:rPr>
          <w:rFonts w:hint="default" w:ascii="Times New Roman" w:hAnsi="Times New Roman" w:cs="Times New Roman"/>
          <w:b w:val="0"/>
          <w:bCs w:val="0"/>
          <w:szCs w:val="21"/>
          <w:highlight w:val="none"/>
        </w:rPr>
        <w:t>7.管理体系认证情况需提供有效期内的证书复印件。如为联合体报价的，由联合体牵头单位提供。未提供的不得分。</w:t>
      </w:r>
    </w:p>
    <w:p w14:paraId="373DAC35">
      <w:pPr>
        <w:ind w:firstLine="422" w:firstLineChars="200"/>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cs="Times New Roman"/>
          <w:b/>
          <w:bCs/>
          <w:szCs w:val="21"/>
          <w:highlight w:val="none"/>
        </w:rPr>
        <w:t>8.综合评审表中要求提供的证明文件如无特别说明，均需提供相关证明文件复印件并加盖报价人公章。</w:t>
      </w:r>
      <w:r>
        <w:rPr>
          <w:rFonts w:hint="default" w:ascii="Times New Roman" w:hAnsi="Times New Roman" w:eastAsia="宋体" w:cs="Times New Roman"/>
          <w:caps w:val="0"/>
          <w:color w:val="000000" w:themeColor="text1"/>
          <w:sz w:val="24"/>
          <w:highlight w:val="none"/>
          <w14:textFill>
            <w14:solidFill>
              <w14:schemeClr w14:val="tx1"/>
            </w14:solidFill>
          </w14:textFill>
        </w:rPr>
        <w:br w:type="page"/>
      </w:r>
    </w:p>
    <w:p w14:paraId="019BE30E">
      <w:pPr>
        <w:pStyle w:val="15"/>
        <w:spacing w:line="360" w:lineRule="auto"/>
        <w:jc w:val="left"/>
        <w:rPr>
          <w:rFonts w:hint="default" w:ascii="Times New Roman" w:hAnsi="Times New Roman" w:eastAsia="宋体" w:cs="Times New Roman"/>
          <w:caps w:val="0"/>
          <w:color w:val="000000" w:themeColor="text1"/>
          <w:sz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14:textFill>
            <w14:solidFill>
              <w14:schemeClr w14:val="tx1"/>
            </w14:solidFill>
          </w14:textFill>
        </w:rPr>
        <w:t>附件三</w:t>
      </w:r>
    </w:p>
    <w:p w14:paraId="4902ED4B">
      <w:pPr>
        <w:keepNext w:val="0"/>
        <w:keepLines w:val="0"/>
        <w:pageBreakBefore w:val="0"/>
        <w:widowControl w:val="0"/>
        <w:kinsoku/>
        <w:bidi w:val="0"/>
        <w:spacing w:line="360" w:lineRule="auto"/>
        <w:rPr>
          <w:rFonts w:hint="default" w:ascii="Times New Roman" w:hAnsi="Times New Roman" w:eastAsia="宋体" w:cs="Times New Roman"/>
          <w:b/>
          <w:bCs/>
          <w:color w:val="000000" w:themeColor="text1"/>
          <w:sz w:val="44"/>
          <w:highlight w:val="none"/>
          <w14:textFill>
            <w14:solidFill>
              <w14:schemeClr w14:val="tx1"/>
            </w14:solidFill>
          </w14:textFill>
        </w:rPr>
      </w:pPr>
    </w:p>
    <w:p w14:paraId="372694C6">
      <w:pPr>
        <w:pStyle w:val="2"/>
        <w:keepNext w:val="0"/>
        <w:keepLines w:val="0"/>
        <w:pageBreakBefore w:val="0"/>
        <w:widowControl w:val="0"/>
        <w:kinsoku/>
        <w:bidi w:val="0"/>
        <w:spacing w:line="360" w:lineRule="auto"/>
        <w:jc w:val="right"/>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sz w:val="44"/>
          <w:highlight w:val="none"/>
          <w14:textFill>
            <w14:solidFill>
              <w14:schemeClr w14:val="tx1"/>
            </w14:solidFill>
          </w14:textFill>
        </w:rPr>
        <w:t>正本</w:t>
      </w:r>
      <w:r>
        <w:rPr>
          <w:rFonts w:hint="default" w:ascii="Times New Roman" w:hAnsi="Times New Roman" w:cs="Times New Roman"/>
          <w:b/>
          <w:bCs/>
          <w:color w:val="000000" w:themeColor="text1"/>
          <w:sz w:val="44"/>
          <w:highlight w:val="none"/>
          <w:lang w:val="en-US" w:eastAsia="zh-CN"/>
          <w14:textFill>
            <w14:solidFill>
              <w14:schemeClr w14:val="tx1"/>
            </w14:solidFill>
          </w14:textFill>
        </w:rPr>
        <w:t>/副本</w:t>
      </w:r>
    </w:p>
    <w:p w14:paraId="283CA926">
      <w:pPr>
        <w:pStyle w:val="2"/>
        <w:keepNext w:val="0"/>
        <w:keepLines w:val="0"/>
        <w:pageBreakBefore w:val="0"/>
        <w:widowControl w:val="0"/>
        <w:kinsoku/>
        <w:bidi w:val="0"/>
        <w:spacing w:line="360" w:lineRule="auto"/>
        <w:rPr>
          <w:rFonts w:hint="default" w:ascii="Times New Roman" w:hAnsi="Times New Roman" w:eastAsia="宋体" w:cs="Times New Roman"/>
          <w:color w:val="000000" w:themeColor="text1"/>
          <w:highlight w:val="none"/>
          <w14:textFill>
            <w14:solidFill>
              <w14:schemeClr w14:val="tx1"/>
            </w14:solidFill>
          </w14:textFill>
        </w:rPr>
      </w:pPr>
    </w:p>
    <w:p w14:paraId="7CFCB446">
      <w:pPr>
        <w:keepNext w:val="0"/>
        <w:keepLines w:val="0"/>
        <w:pageBreakBefore w:val="0"/>
        <w:widowControl w:val="0"/>
        <w:kinsoku/>
        <w:bidi w:val="0"/>
        <w:spacing w:line="360" w:lineRule="auto"/>
        <w:rPr>
          <w:rFonts w:hint="default" w:ascii="Times New Roman" w:hAnsi="Times New Roman" w:eastAsia="宋体" w:cs="Times New Roman"/>
          <w:color w:val="000000" w:themeColor="text1"/>
          <w:highlight w:val="none"/>
          <w14:textFill>
            <w14:solidFill>
              <w14:schemeClr w14:val="tx1"/>
            </w14:solidFill>
          </w14:textFill>
        </w:rPr>
      </w:pPr>
    </w:p>
    <w:p w14:paraId="756E5140">
      <w:pPr>
        <w:pStyle w:val="2"/>
        <w:keepNext w:val="0"/>
        <w:keepLines w:val="0"/>
        <w:pageBreakBefore w:val="0"/>
        <w:widowControl w:val="0"/>
        <w:kinsoku/>
        <w:bidi w:val="0"/>
        <w:spacing w:line="360" w:lineRule="auto"/>
        <w:rPr>
          <w:rFonts w:hint="default" w:ascii="Times New Roman" w:hAnsi="Times New Roman" w:eastAsia="宋体" w:cs="Times New Roman"/>
          <w:color w:val="000000" w:themeColor="text1"/>
          <w:highlight w:val="none"/>
          <w14:textFill>
            <w14:solidFill>
              <w14:schemeClr w14:val="tx1"/>
            </w14:solidFill>
          </w14:textFill>
        </w:rPr>
      </w:pPr>
    </w:p>
    <w:p w14:paraId="3565B140">
      <w:pPr>
        <w:keepNext w:val="0"/>
        <w:keepLines w:val="0"/>
        <w:pageBreakBefore w:val="0"/>
        <w:widowControl w:val="0"/>
        <w:kinsoku/>
        <w:bidi w:val="0"/>
        <w:spacing w:line="360" w:lineRule="auto"/>
        <w:rPr>
          <w:rFonts w:hint="default" w:ascii="Times New Roman" w:hAnsi="Times New Roman" w:eastAsia="宋体" w:cs="Times New Roman"/>
          <w:color w:val="000000" w:themeColor="text1"/>
          <w:highlight w:val="none"/>
          <w14:textFill>
            <w14:solidFill>
              <w14:schemeClr w14:val="tx1"/>
            </w14:solidFill>
          </w14:textFill>
        </w:rPr>
      </w:pPr>
    </w:p>
    <w:p w14:paraId="6A697BF7">
      <w:pPr>
        <w:keepNext w:val="0"/>
        <w:keepLines w:val="0"/>
        <w:pageBreakBefore w:val="0"/>
        <w:widowControl w:val="0"/>
        <w:kinsoku/>
        <w:bidi w:val="0"/>
        <w:spacing w:line="360" w:lineRule="auto"/>
        <w:jc w:val="center"/>
        <w:rPr>
          <w:rFonts w:hint="default" w:ascii="Times New Roman" w:hAnsi="Times New Roman" w:eastAsia="宋体" w:cs="Times New Roman"/>
          <w:b/>
          <w:bCs/>
          <w:color w:val="000000" w:themeColor="text1"/>
          <w:sz w:val="44"/>
          <w:highlight w:val="none"/>
          <w:lang w:eastAsia="zh-CN"/>
          <w14:textFill>
            <w14:solidFill>
              <w14:schemeClr w14:val="tx1"/>
            </w14:solidFill>
          </w14:textFill>
        </w:rPr>
      </w:pPr>
      <w:r>
        <w:rPr>
          <w:rFonts w:hint="default" w:ascii="Times New Roman" w:hAnsi="Times New Roman" w:eastAsia="宋体" w:cs="Times New Roman"/>
          <w:b/>
          <w:bCs/>
          <w:color w:val="000000" w:themeColor="text1"/>
          <w:sz w:val="44"/>
          <w:highlight w:val="none"/>
          <w:lang w:eastAsia="zh-CN"/>
          <w14:textFill>
            <w14:solidFill>
              <w14:schemeClr w14:val="tx1"/>
            </w14:solidFill>
          </w14:textFill>
        </w:rPr>
        <w:t xml:space="preserve">西湾和苑人行天桥管线迁改设计施工总承包 </w:t>
      </w:r>
    </w:p>
    <w:p w14:paraId="7FE53417">
      <w:pPr>
        <w:keepNext w:val="0"/>
        <w:keepLines w:val="0"/>
        <w:pageBreakBefore w:val="0"/>
        <w:widowControl w:val="0"/>
        <w:kinsoku/>
        <w:bidi w:val="0"/>
        <w:spacing w:line="360" w:lineRule="auto"/>
        <w:jc w:val="center"/>
        <w:rPr>
          <w:rFonts w:hint="default" w:ascii="Times New Roman" w:hAnsi="Times New Roman" w:eastAsia="宋体" w:cs="Times New Roman"/>
          <w:b/>
          <w:bCs/>
          <w:color w:val="000000" w:themeColor="text1"/>
          <w:sz w:val="48"/>
          <w:szCs w:val="48"/>
          <w:highlight w:val="none"/>
          <w14:textFill>
            <w14:solidFill>
              <w14:schemeClr w14:val="tx1"/>
            </w14:solidFill>
          </w14:textFill>
        </w:rPr>
      </w:pPr>
    </w:p>
    <w:p w14:paraId="18C26517">
      <w:pPr>
        <w:keepNext w:val="0"/>
        <w:keepLines w:val="0"/>
        <w:pageBreakBefore w:val="0"/>
        <w:widowControl w:val="0"/>
        <w:kinsoku/>
        <w:bidi w:val="0"/>
        <w:spacing w:line="360" w:lineRule="auto"/>
        <w:jc w:val="center"/>
        <w:rPr>
          <w:rFonts w:hint="default" w:ascii="Times New Roman" w:hAnsi="Times New Roman" w:eastAsia="宋体" w:cs="Times New Roman"/>
          <w:b/>
          <w:bCs/>
          <w:color w:val="000000" w:themeColor="text1"/>
          <w:sz w:val="48"/>
          <w:szCs w:val="48"/>
          <w:highlight w:val="none"/>
          <w14:textFill>
            <w14:solidFill>
              <w14:schemeClr w14:val="tx1"/>
            </w14:solidFill>
          </w14:textFill>
        </w:rPr>
      </w:pPr>
      <w:r>
        <w:rPr>
          <w:rFonts w:hint="default" w:ascii="Times New Roman" w:hAnsi="Times New Roman" w:eastAsia="宋体" w:cs="Times New Roman"/>
          <w:b/>
          <w:bCs/>
          <w:color w:val="000000" w:themeColor="text1"/>
          <w:sz w:val="48"/>
          <w:szCs w:val="48"/>
          <w:highlight w:val="none"/>
          <w14:textFill>
            <w14:solidFill>
              <w14:schemeClr w14:val="tx1"/>
            </w14:solidFill>
          </w14:textFill>
        </w:rPr>
        <w:t>报价文件</w:t>
      </w:r>
    </w:p>
    <w:p w14:paraId="0FDB05A0">
      <w:pPr>
        <w:keepNext w:val="0"/>
        <w:keepLines w:val="0"/>
        <w:pageBreakBefore w:val="0"/>
        <w:widowControl w:val="0"/>
        <w:kinsoku/>
        <w:bidi w:val="0"/>
        <w:spacing w:line="360" w:lineRule="auto"/>
        <w:rPr>
          <w:rFonts w:hint="default" w:ascii="Times New Roman" w:hAnsi="Times New Roman" w:eastAsia="宋体" w:cs="Times New Roman"/>
          <w:b/>
          <w:bCs/>
          <w:color w:val="000000" w:themeColor="text1"/>
          <w:sz w:val="44"/>
          <w:highlight w:val="none"/>
          <w14:textFill>
            <w14:solidFill>
              <w14:schemeClr w14:val="tx1"/>
            </w14:solidFill>
          </w14:textFill>
        </w:rPr>
      </w:pPr>
    </w:p>
    <w:p w14:paraId="521C3FB7">
      <w:pPr>
        <w:keepNext w:val="0"/>
        <w:keepLines w:val="0"/>
        <w:pageBreakBefore w:val="0"/>
        <w:widowControl w:val="0"/>
        <w:kinsoku/>
        <w:bidi w:val="0"/>
        <w:spacing w:line="360" w:lineRule="auto"/>
        <w:rPr>
          <w:rFonts w:hint="default" w:ascii="Times New Roman" w:hAnsi="Times New Roman" w:eastAsia="宋体" w:cs="Times New Roman"/>
          <w:b/>
          <w:bCs/>
          <w:color w:val="000000" w:themeColor="text1"/>
          <w:sz w:val="44"/>
          <w:highlight w:val="none"/>
          <w14:textFill>
            <w14:solidFill>
              <w14:schemeClr w14:val="tx1"/>
            </w14:solidFill>
          </w14:textFill>
        </w:rPr>
      </w:pPr>
    </w:p>
    <w:p w14:paraId="6A899E51">
      <w:pPr>
        <w:keepNext w:val="0"/>
        <w:keepLines w:val="0"/>
        <w:pageBreakBefore w:val="0"/>
        <w:widowControl w:val="0"/>
        <w:kinsoku/>
        <w:bidi w:val="0"/>
        <w:spacing w:line="360" w:lineRule="auto"/>
        <w:rPr>
          <w:rFonts w:hint="default" w:ascii="Times New Roman" w:hAnsi="Times New Roman" w:eastAsia="宋体" w:cs="Times New Roman"/>
          <w:b/>
          <w:bCs/>
          <w:color w:val="000000" w:themeColor="text1"/>
          <w:sz w:val="44"/>
          <w:highlight w:val="none"/>
          <w14:textFill>
            <w14:solidFill>
              <w14:schemeClr w14:val="tx1"/>
            </w14:solidFill>
          </w14:textFill>
        </w:rPr>
      </w:pPr>
    </w:p>
    <w:p w14:paraId="016C9B24">
      <w:pPr>
        <w:keepNext w:val="0"/>
        <w:keepLines w:val="0"/>
        <w:pageBreakBefore w:val="0"/>
        <w:widowControl w:val="0"/>
        <w:kinsoku/>
        <w:bidi w:val="0"/>
        <w:spacing w:line="360" w:lineRule="auto"/>
        <w:rPr>
          <w:rFonts w:hint="default" w:ascii="Times New Roman" w:hAnsi="Times New Roman" w:eastAsia="宋体" w:cs="Times New Roman"/>
          <w:b/>
          <w:bCs/>
          <w:color w:val="000000" w:themeColor="text1"/>
          <w:sz w:val="44"/>
          <w:highlight w:val="none"/>
          <w14:textFill>
            <w14:solidFill>
              <w14:schemeClr w14:val="tx1"/>
            </w14:solidFill>
          </w14:textFill>
        </w:rPr>
      </w:pPr>
    </w:p>
    <w:p w14:paraId="621DD90C">
      <w:pPr>
        <w:pStyle w:val="2"/>
        <w:keepNext w:val="0"/>
        <w:keepLines w:val="0"/>
        <w:pageBreakBefore w:val="0"/>
        <w:widowControl w:val="0"/>
        <w:kinsoku/>
        <w:bidi w:val="0"/>
        <w:spacing w:line="360" w:lineRule="auto"/>
        <w:rPr>
          <w:rFonts w:hint="default" w:ascii="Times New Roman" w:hAnsi="Times New Roman" w:eastAsia="宋体" w:cs="Times New Roman"/>
          <w:b/>
          <w:bCs/>
          <w:color w:val="000000" w:themeColor="text1"/>
          <w:sz w:val="44"/>
          <w:highlight w:val="none"/>
          <w14:textFill>
            <w14:solidFill>
              <w14:schemeClr w14:val="tx1"/>
            </w14:solidFill>
          </w14:textFill>
        </w:rPr>
      </w:pPr>
    </w:p>
    <w:p w14:paraId="2B7D143B">
      <w:pPr>
        <w:keepNext w:val="0"/>
        <w:keepLines w:val="0"/>
        <w:pageBreakBefore w:val="0"/>
        <w:widowControl w:val="0"/>
        <w:kinsoku/>
        <w:bidi w:val="0"/>
        <w:spacing w:line="360" w:lineRule="auto"/>
        <w:rPr>
          <w:rFonts w:hint="default" w:ascii="Times New Roman" w:hAnsi="Times New Roman" w:eastAsia="宋体" w:cs="Times New Roman"/>
          <w:b/>
          <w:bCs/>
          <w:color w:val="000000" w:themeColor="text1"/>
          <w:sz w:val="44"/>
          <w:highlight w:val="none"/>
          <w14:textFill>
            <w14:solidFill>
              <w14:schemeClr w14:val="tx1"/>
            </w14:solidFill>
          </w14:textFill>
        </w:rPr>
      </w:pPr>
    </w:p>
    <w:p w14:paraId="729988E7">
      <w:pPr>
        <w:pStyle w:val="2"/>
        <w:keepNext w:val="0"/>
        <w:keepLines w:val="0"/>
        <w:pageBreakBefore w:val="0"/>
        <w:widowControl w:val="0"/>
        <w:kinsoku/>
        <w:bidi w:val="0"/>
        <w:spacing w:line="360" w:lineRule="auto"/>
        <w:rPr>
          <w:rFonts w:hint="default" w:ascii="Times New Roman" w:hAnsi="Times New Roman" w:eastAsia="宋体" w:cs="Times New Roman"/>
          <w:color w:val="000000" w:themeColor="text1"/>
          <w:highlight w:val="none"/>
          <w14:textFill>
            <w14:solidFill>
              <w14:schemeClr w14:val="tx1"/>
            </w14:solidFill>
          </w14:textFill>
        </w:rPr>
      </w:pPr>
    </w:p>
    <w:p w14:paraId="1B53C5E0">
      <w:pPr>
        <w:keepNext w:val="0"/>
        <w:keepLines w:val="0"/>
        <w:pageBreakBefore w:val="0"/>
        <w:widowControl w:val="0"/>
        <w:kinsoku/>
        <w:bidi w:val="0"/>
        <w:spacing w:line="360" w:lineRule="auto"/>
        <w:rPr>
          <w:rFonts w:hint="default" w:ascii="Times New Roman" w:hAnsi="Times New Roman" w:eastAsia="宋体" w:cs="Times New Roman"/>
          <w:b/>
          <w:bCs/>
          <w:color w:val="000000" w:themeColor="text1"/>
          <w:sz w:val="44"/>
          <w:highlight w:val="none"/>
          <w14:textFill>
            <w14:solidFill>
              <w14:schemeClr w14:val="tx1"/>
            </w14:solidFill>
          </w14:textFill>
        </w:rPr>
      </w:pPr>
    </w:p>
    <w:p w14:paraId="1C622B37">
      <w:pPr>
        <w:keepNext w:val="0"/>
        <w:keepLines w:val="0"/>
        <w:pageBreakBefore w:val="0"/>
        <w:widowControl w:val="0"/>
        <w:kinsoku/>
        <w:bidi w:val="0"/>
        <w:spacing w:line="360" w:lineRule="auto"/>
        <w:ind w:left="840" w:firstLine="420"/>
        <w:rPr>
          <w:rFonts w:hint="default" w:ascii="Times New Roman" w:hAnsi="Times New Roman" w:eastAsia="宋体" w:cs="Times New Roman"/>
          <w:b/>
          <w:bCs/>
          <w:color w:val="000000" w:themeColor="text1"/>
          <w:sz w:val="32"/>
          <w:highlight w:val="none"/>
          <w:u w:val="single"/>
          <w14:textFill>
            <w14:solidFill>
              <w14:schemeClr w14:val="tx1"/>
            </w14:solidFill>
          </w14:textFill>
        </w:rPr>
      </w:pPr>
      <w:r>
        <w:rPr>
          <w:rFonts w:hint="default" w:ascii="Times New Roman" w:hAnsi="Times New Roman" w:eastAsia="宋体" w:cs="Times New Roman"/>
          <w:b/>
          <w:bCs/>
          <w:color w:val="000000" w:themeColor="text1"/>
          <w:sz w:val="32"/>
          <w:highlight w:val="none"/>
          <w14:textFill>
            <w14:solidFill>
              <w14:schemeClr w14:val="tx1"/>
            </w14:solidFill>
          </w14:textFill>
        </w:rPr>
        <w:t>报价人：</w:t>
      </w:r>
      <w:r>
        <w:rPr>
          <w:rFonts w:hint="default" w:ascii="Times New Roman" w:hAnsi="Times New Roman" w:eastAsia="宋体" w:cs="Times New Roman"/>
          <w:b/>
          <w:bCs/>
          <w:color w:val="000000" w:themeColor="text1"/>
          <w:sz w:val="32"/>
          <w:highlight w:val="none"/>
          <w:u w:val="single"/>
          <w14:textFill>
            <w14:solidFill>
              <w14:schemeClr w14:val="tx1"/>
            </w14:solidFill>
          </w14:textFill>
        </w:rPr>
        <w:t xml:space="preserve">                   </w:t>
      </w:r>
    </w:p>
    <w:p w14:paraId="2BC5A4C9">
      <w:pPr>
        <w:keepNext w:val="0"/>
        <w:keepLines w:val="0"/>
        <w:pageBreakBefore w:val="0"/>
        <w:widowControl w:val="0"/>
        <w:kinsoku/>
        <w:bidi w:val="0"/>
        <w:spacing w:line="360" w:lineRule="auto"/>
        <w:ind w:left="840" w:firstLine="420"/>
        <w:rPr>
          <w:rFonts w:hint="default" w:ascii="Times New Roman" w:hAnsi="Times New Roman" w:eastAsia="宋体" w:cs="Times New Roman"/>
          <w:b/>
          <w:bCs/>
          <w:color w:val="000000" w:themeColor="text1"/>
          <w:sz w:val="32"/>
          <w:highlight w:val="none"/>
          <w:u w:val="single"/>
          <w14:textFill>
            <w14:solidFill>
              <w14:schemeClr w14:val="tx1"/>
            </w14:solidFill>
          </w14:textFill>
        </w:rPr>
      </w:pPr>
      <w:r>
        <w:rPr>
          <w:rFonts w:hint="default" w:ascii="Times New Roman" w:hAnsi="Times New Roman" w:eastAsia="宋体" w:cs="Times New Roman"/>
          <w:b/>
          <w:bCs/>
          <w:color w:val="000000" w:themeColor="text1"/>
          <w:sz w:val="32"/>
          <w:highlight w:val="none"/>
          <w14:textFill>
            <w14:solidFill>
              <w14:schemeClr w14:val="tx1"/>
            </w14:solidFill>
          </w14:textFill>
        </w:rPr>
        <w:t>联系人：</w:t>
      </w:r>
      <w:r>
        <w:rPr>
          <w:rFonts w:hint="default" w:ascii="Times New Roman" w:hAnsi="Times New Roman" w:eastAsia="宋体" w:cs="Times New Roman"/>
          <w:b/>
          <w:bCs/>
          <w:color w:val="000000" w:themeColor="text1"/>
          <w:sz w:val="32"/>
          <w:highlight w:val="none"/>
          <w:u w:val="single"/>
          <w14:textFill>
            <w14:solidFill>
              <w14:schemeClr w14:val="tx1"/>
            </w14:solidFill>
          </w14:textFill>
        </w:rPr>
        <w:t xml:space="preserve">                   </w:t>
      </w:r>
    </w:p>
    <w:p w14:paraId="38ABD1B2">
      <w:pPr>
        <w:keepNext w:val="0"/>
        <w:keepLines w:val="0"/>
        <w:pageBreakBefore w:val="0"/>
        <w:widowControl w:val="0"/>
        <w:kinsoku/>
        <w:bidi w:val="0"/>
        <w:spacing w:line="360" w:lineRule="auto"/>
        <w:ind w:left="840" w:firstLine="420"/>
        <w:rPr>
          <w:rFonts w:hint="default" w:ascii="Times New Roman" w:hAnsi="Times New Roman" w:eastAsia="宋体" w:cs="Times New Roman"/>
          <w:b/>
          <w:bCs/>
          <w:color w:val="000000" w:themeColor="text1"/>
          <w:sz w:val="32"/>
          <w:highlight w:val="none"/>
          <w14:textFill>
            <w14:solidFill>
              <w14:schemeClr w14:val="tx1"/>
            </w14:solidFill>
          </w14:textFill>
        </w:rPr>
      </w:pPr>
      <w:r>
        <w:rPr>
          <w:rFonts w:hint="default" w:ascii="Times New Roman" w:hAnsi="Times New Roman" w:eastAsia="宋体" w:cs="Times New Roman"/>
          <w:b/>
          <w:bCs/>
          <w:color w:val="000000" w:themeColor="text1"/>
          <w:sz w:val="32"/>
          <w:highlight w:val="none"/>
          <w14:textFill>
            <w14:solidFill>
              <w14:schemeClr w14:val="tx1"/>
            </w14:solidFill>
          </w14:textFill>
        </w:rPr>
        <w:t>联系电话（固定电话/手机号码）：</w:t>
      </w:r>
      <w:r>
        <w:rPr>
          <w:rFonts w:hint="default" w:ascii="Times New Roman" w:hAnsi="Times New Roman" w:eastAsia="宋体" w:cs="Times New Roman"/>
          <w:b/>
          <w:bCs/>
          <w:color w:val="000000" w:themeColor="text1"/>
          <w:sz w:val="32"/>
          <w:highlight w:val="none"/>
          <w:u w:val="single"/>
          <w14:textFill>
            <w14:solidFill>
              <w14:schemeClr w14:val="tx1"/>
            </w14:solidFill>
          </w14:textFill>
        </w:rPr>
        <w:t xml:space="preserve">                   </w:t>
      </w:r>
    </w:p>
    <w:p w14:paraId="69EB565D">
      <w:pPr>
        <w:pStyle w:val="62"/>
        <w:keepNext w:val="0"/>
        <w:keepLines w:val="0"/>
        <w:pageBreakBefore w:val="0"/>
        <w:widowControl w:val="0"/>
        <w:kinsoku/>
        <w:bidi w:val="0"/>
        <w:ind w:firstLine="0" w:firstLineChars="0"/>
        <w:jc w:val="center"/>
        <w:rPr>
          <w:rFonts w:hint="default" w:ascii="Times New Roman" w:hAnsi="Times New Roman" w:eastAsia="宋体" w:cs="Times New Roman"/>
          <w:b/>
          <w:snapToGrid/>
          <w:color w:val="000000" w:themeColor="text1"/>
          <w:spacing w:val="0"/>
          <w:kern w:val="2"/>
          <w:sz w:val="28"/>
          <w:szCs w:val="28"/>
          <w:highlight w:val="none"/>
          <w14:textFill>
            <w14:solidFill>
              <w14:schemeClr w14:val="tx1"/>
            </w14:solidFill>
          </w14:textFill>
        </w:rPr>
        <w:sectPr>
          <w:headerReference r:id="rId8" w:type="default"/>
          <w:pgSz w:w="11906" w:h="16838"/>
          <w:pgMar w:top="737" w:right="1134" w:bottom="737" w:left="1134" w:header="851" w:footer="992" w:gutter="0"/>
          <w:pgNumType w:fmt="decimal"/>
          <w:cols w:space="720" w:num="1"/>
          <w:docGrid w:type="lines" w:linePitch="312" w:charSpace="0"/>
        </w:sectPr>
      </w:pPr>
      <w:r>
        <w:rPr>
          <w:rFonts w:hint="default" w:ascii="Times New Roman" w:hAnsi="Times New Roman" w:eastAsia="宋体" w:cs="Times New Roman"/>
          <w:b/>
          <w:color w:val="000000" w:themeColor="text1"/>
          <w:sz w:val="32"/>
          <w:szCs w:val="32"/>
          <w:highlight w:val="none"/>
          <w14:textFill>
            <w14:solidFill>
              <w14:schemeClr w14:val="tx1"/>
            </w14:solidFill>
          </w14:textFill>
        </w:rPr>
        <w:t>年   月   日</w:t>
      </w:r>
    </w:p>
    <w:p w14:paraId="09126F87">
      <w:pPr>
        <w:pStyle w:val="15"/>
        <w:spacing w:line="360" w:lineRule="auto"/>
        <w:jc w:val="left"/>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r>
        <w:rPr>
          <w:rFonts w:hint="default" w:ascii="Times New Roman" w:hAnsi="Times New Roman" w:eastAsia="宋体" w:cs="Times New Roman"/>
          <w:caps w:val="0"/>
          <w:color w:val="000000" w:themeColor="text1"/>
          <w:sz w:val="24"/>
          <w:highlight w:val="none"/>
          <w:lang w:val="en-US" w:eastAsia="zh-CN"/>
          <w14:textFill>
            <w14:solidFill>
              <w14:schemeClr w14:val="tx1"/>
            </w14:solidFill>
          </w14:textFill>
        </w:rPr>
        <w:t>附件四</w:t>
      </w:r>
    </w:p>
    <w:p w14:paraId="3BC39149">
      <w:pPr>
        <w:pStyle w:val="61"/>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bCs/>
          <w:color w:val="000000" w:themeColor="text1"/>
          <w:sz w:val="28"/>
          <w:szCs w:val="28"/>
          <w:highlight w:val="none"/>
          <w14:textFill>
            <w14:solidFill>
              <w14:schemeClr w14:val="tx1"/>
            </w14:solidFill>
          </w14:textFill>
        </w:rPr>
      </w:pPr>
      <w:r>
        <w:rPr>
          <w:rFonts w:hint="default" w:ascii="Times New Roman" w:hAnsi="Times New Roman" w:eastAsia="宋体" w:cs="Times New Roman"/>
          <w:b/>
          <w:bCs/>
          <w:color w:val="000000" w:themeColor="text1"/>
          <w:sz w:val="28"/>
          <w:szCs w:val="28"/>
          <w:highlight w:val="none"/>
          <w14:textFill>
            <w14:solidFill>
              <w14:schemeClr w14:val="tx1"/>
            </w14:solidFill>
          </w14:textFill>
        </w:rPr>
        <w:t>报价表</w:t>
      </w:r>
    </w:p>
    <w:p w14:paraId="4BC25D38">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color w:val="000000" w:themeColor="text1"/>
          <w:sz w:val="24"/>
          <w:szCs w:val="24"/>
          <w:highlight w:val="none"/>
          <w:u w:val="single"/>
          <w:lang w:val="en-US" w:eastAsia="zh-CN"/>
          <w14:textFill>
            <w14:solidFill>
              <w14:schemeClr w14:val="tx1"/>
            </w14:solidFill>
          </w14:textFill>
        </w:rPr>
      </w:pPr>
      <w:r>
        <w:rPr>
          <w:rFonts w:hint="default" w:ascii="Times New Roman" w:hAnsi="Times New Roman" w:eastAsia="宋体" w:cs="Times New Roman"/>
          <w:bCs/>
          <w:color w:val="000000" w:themeColor="text1"/>
          <w:sz w:val="24"/>
          <w:szCs w:val="24"/>
          <w:highlight w:val="none"/>
          <w14:textFill>
            <w14:solidFill>
              <w14:schemeClr w14:val="tx1"/>
            </w14:solidFill>
          </w14:textFill>
        </w:rPr>
        <w:t>项目名称：</w:t>
      </w:r>
      <w:r>
        <w:rPr>
          <w:rFonts w:hint="default" w:ascii="Times New Roman" w:hAnsi="Times New Roman" w:eastAsia="宋体" w:cs="Times New Roman"/>
          <w:color w:val="000000" w:themeColor="text1"/>
          <w:sz w:val="24"/>
          <w:szCs w:val="24"/>
          <w:highlight w:val="none"/>
          <w:u w:val="single"/>
          <w:lang w:val="en-US" w:eastAsia="zh-CN"/>
          <w14:textFill>
            <w14:solidFill>
              <w14:schemeClr w14:val="tx1"/>
            </w14:solidFill>
          </w14:textFill>
        </w:rPr>
        <w:t xml:space="preserve">西湾和苑人行天桥管线迁改设计施工总承包 </w:t>
      </w:r>
    </w:p>
    <w:tbl>
      <w:tblPr>
        <w:tblStyle w:val="29"/>
        <w:tblW w:w="937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63"/>
        <w:gridCol w:w="3241"/>
        <w:gridCol w:w="1721"/>
        <w:gridCol w:w="1736"/>
        <w:gridCol w:w="1912"/>
      </w:tblGrid>
      <w:tr w14:paraId="3D401D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5" w:hRule="atLeast"/>
        </w:trPr>
        <w:tc>
          <w:tcPr>
            <w:tcW w:w="763" w:type="dxa"/>
            <w:noWrap w:val="0"/>
            <w:vAlign w:val="center"/>
          </w:tcPr>
          <w:p w14:paraId="684C4D95">
            <w:pPr>
              <w:adjustRightInd w:val="0"/>
              <w:snapToGrid w:val="0"/>
              <w:jc w:val="center"/>
              <w:rPr>
                <w:rFonts w:hint="default" w:ascii="Times New Roman" w:hAnsi="Times New Roman" w:cs="Times New Roman"/>
                <w:b/>
                <w:color w:val="auto"/>
                <w:sz w:val="24"/>
                <w:szCs w:val="24"/>
                <w:highlight w:val="none"/>
              </w:rPr>
            </w:pPr>
            <w:r>
              <w:rPr>
                <w:rFonts w:hint="default" w:ascii="Times New Roman" w:hAnsi="Times New Roman" w:cs="Times New Roman"/>
                <w:b/>
                <w:color w:val="auto"/>
                <w:sz w:val="24"/>
                <w:szCs w:val="24"/>
                <w:highlight w:val="none"/>
              </w:rPr>
              <w:t>序号</w:t>
            </w:r>
          </w:p>
        </w:tc>
        <w:tc>
          <w:tcPr>
            <w:tcW w:w="3241" w:type="dxa"/>
            <w:noWrap w:val="0"/>
            <w:vAlign w:val="center"/>
          </w:tcPr>
          <w:p w14:paraId="0CE3D60C">
            <w:pPr>
              <w:adjustRightInd w:val="0"/>
              <w:snapToGrid w:val="0"/>
              <w:jc w:val="center"/>
              <w:rPr>
                <w:rFonts w:hint="default" w:ascii="Times New Roman" w:hAnsi="Times New Roman" w:cs="Times New Roman"/>
                <w:b/>
                <w:color w:val="auto"/>
                <w:sz w:val="24"/>
                <w:szCs w:val="24"/>
                <w:highlight w:val="none"/>
              </w:rPr>
            </w:pPr>
            <w:r>
              <w:rPr>
                <w:rFonts w:hint="default" w:ascii="Times New Roman" w:hAnsi="Times New Roman" w:cs="Times New Roman"/>
                <w:b/>
                <w:color w:val="auto"/>
                <w:sz w:val="24"/>
                <w:szCs w:val="24"/>
                <w:highlight w:val="none"/>
              </w:rPr>
              <w:t>内容名称</w:t>
            </w:r>
          </w:p>
        </w:tc>
        <w:tc>
          <w:tcPr>
            <w:tcW w:w="1721" w:type="dxa"/>
            <w:noWrap w:val="0"/>
            <w:vAlign w:val="center"/>
          </w:tcPr>
          <w:p w14:paraId="230E39AA">
            <w:pPr>
              <w:adjustRightInd w:val="0"/>
              <w:snapToGrid w:val="0"/>
              <w:jc w:val="center"/>
              <w:rPr>
                <w:rFonts w:hint="default" w:ascii="Times New Roman" w:hAnsi="Times New Roman" w:cs="Times New Roman"/>
                <w:b/>
                <w:color w:val="auto"/>
                <w:sz w:val="24"/>
                <w:szCs w:val="24"/>
                <w:highlight w:val="none"/>
              </w:rPr>
            </w:pPr>
            <w:r>
              <w:rPr>
                <w:rFonts w:hint="default" w:ascii="Times New Roman" w:hAnsi="Times New Roman" w:cs="Times New Roman"/>
                <w:b/>
                <w:color w:val="auto"/>
                <w:sz w:val="24"/>
                <w:szCs w:val="24"/>
                <w:highlight w:val="none"/>
              </w:rPr>
              <w:t>最高报价限价（元）</w:t>
            </w:r>
          </w:p>
        </w:tc>
        <w:tc>
          <w:tcPr>
            <w:tcW w:w="1736" w:type="dxa"/>
            <w:noWrap w:val="0"/>
            <w:vAlign w:val="center"/>
          </w:tcPr>
          <w:p w14:paraId="50FF3D3D">
            <w:pPr>
              <w:adjustRightInd w:val="0"/>
              <w:snapToGrid w:val="0"/>
              <w:jc w:val="center"/>
              <w:rPr>
                <w:rFonts w:hint="default" w:ascii="Times New Roman" w:hAnsi="Times New Roman" w:cs="Times New Roman"/>
                <w:b/>
                <w:color w:val="auto"/>
                <w:sz w:val="24"/>
                <w:szCs w:val="24"/>
                <w:highlight w:val="none"/>
              </w:rPr>
            </w:pPr>
            <w:r>
              <w:rPr>
                <w:rFonts w:hint="default" w:ascii="Times New Roman" w:hAnsi="Times New Roman" w:cs="Times New Roman"/>
                <w:b/>
                <w:color w:val="auto"/>
                <w:sz w:val="24"/>
                <w:szCs w:val="24"/>
                <w:highlight w:val="none"/>
              </w:rPr>
              <w:t>报价（元）</w:t>
            </w:r>
          </w:p>
        </w:tc>
        <w:tc>
          <w:tcPr>
            <w:tcW w:w="1912" w:type="dxa"/>
            <w:tcBorders>
              <w:bottom w:val="single" w:color="auto" w:sz="4" w:space="0"/>
            </w:tcBorders>
            <w:noWrap w:val="0"/>
            <w:vAlign w:val="center"/>
          </w:tcPr>
          <w:p w14:paraId="3749FC6A">
            <w:pPr>
              <w:adjustRightInd w:val="0"/>
              <w:snapToGrid w:val="0"/>
              <w:jc w:val="center"/>
              <w:rPr>
                <w:rFonts w:hint="default" w:ascii="Times New Roman" w:hAnsi="Times New Roman" w:cs="Times New Roman"/>
                <w:b/>
                <w:color w:val="auto"/>
                <w:sz w:val="24"/>
                <w:szCs w:val="24"/>
                <w:highlight w:val="none"/>
              </w:rPr>
            </w:pPr>
            <w:r>
              <w:rPr>
                <w:rFonts w:hint="default" w:ascii="Times New Roman" w:hAnsi="Times New Roman" w:cs="Times New Roman"/>
                <w:b/>
                <w:color w:val="auto"/>
                <w:sz w:val="24"/>
                <w:szCs w:val="24"/>
                <w:highlight w:val="none"/>
              </w:rPr>
              <w:t>备注</w:t>
            </w:r>
          </w:p>
        </w:tc>
      </w:tr>
      <w:tr w14:paraId="705893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57" w:hRule="exact"/>
        </w:trPr>
        <w:tc>
          <w:tcPr>
            <w:tcW w:w="763" w:type="dxa"/>
            <w:noWrap w:val="0"/>
            <w:vAlign w:val="center"/>
          </w:tcPr>
          <w:p w14:paraId="4FFCD1EE">
            <w:pPr>
              <w:adjustRightInd w:val="0"/>
              <w:snapToGrid w:val="0"/>
              <w:jc w:val="center"/>
              <w:rPr>
                <w:rFonts w:hint="default" w:ascii="Times New Roman" w:hAnsi="Times New Roman" w:cs="Times New Roman"/>
                <w:b/>
                <w:color w:val="auto"/>
                <w:sz w:val="24"/>
                <w:szCs w:val="24"/>
                <w:highlight w:val="none"/>
              </w:rPr>
            </w:pPr>
            <w:r>
              <w:rPr>
                <w:rFonts w:hint="default" w:ascii="Times New Roman" w:hAnsi="Times New Roman" w:cs="Times New Roman"/>
                <w:b/>
                <w:color w:val="auto"/>
                <w:sz w:val="24"/>
                <w:szCs w:val="24"/>
                <w:highlight w:val="none"/>
              </w:rPr>
              <w:t>一</w:t>
            </w:r>
          </w:p>
        </w:tc>
        <w:tc>
          <w:tcPr>
            <w:tcW w:w="3241" w:type="dxa"/>
            <w:noWrap w:val="0"/>
            <w:vAlign w:val="center"/>
          </w:tcPr>
          <w:p w14:paraId="22BFB213">
            <w:pPr>
              <w:adjustRightInd w:val="0"/>
              <w:snapToGrid w:val="0"/>
              <w:jc w:val="center"/>
              <w:rPr>
                <w:rFonts w:hint="default" w:ascii="Times New Roman" w:hAnsi="Times New Roman" w:cs="Times New Roman"/>
                <w:b/>
                <w:color w:val="auto"/>
                <w:sz w:val="24"/>
                <w:szCs w:val="24"/>
                <w:highlight w:val="none"/>
              </w:rPr>
            </w:pPr>
            <w:r>
              <w:rPr>
                <w:rFonts w:hint="default" w:ascii="Times New Roman" w:hAnsi="Times New Roman" w:cs="Times New Roman"/>
                <w:b/>
                <w:color w:val="auto"/>
                <w:sz w:val="24"/>
                <w:szCs w:val="24"/>
                <w:highlight w:val="none"/>
                <w:lang w:val="en-US" w:eastAsia="zh-CN"/>
              </w:rPr>
              <w:t>西湾和苑人行天桥</w:t>
            </w:r>
            <w:r>
              <w:rPr>
                <w:rFonts w:hint="default" w:ascii="Times New Roman" w:hAnsi="Times New Roman" w:cs="Times New Roman"/>
                <w:b/>
                <w:color w:val="auto"/>
                <w:sz w:val="24"/>
                <w:szCs w:val="24"/>
                <w:highlight w:val="none"/>
              </w:rPr>
              <w:t>管线迁改设计施工总承包</w:t>
            </w:r>
          </w:p>
        </w:tc>
        <w:tc>
          <w:tcPr>
            <w:tcW w:w="1721" w:type="dxa"/>
            <w:noWrap w:val="0"/>
            <w:vAlign w:val="center"/>
          </w:tcPr>
          <w:p w14:paraId="6E617D25">
            <w:pPr>
              <w:tabs>
                <w:tab w:val="left" w:pos="441"/>
                <w:tab w:val="center" w:pos="872"/>
              </w:tabs>
              <w:adjustRightInd w:val="0"/>
              <w:snapToGrid w:val="0"/>
              <w:jc w:val="left"/>
              <w:rPr>
                <w:rFonts w:hint="default" w:ascii="Times New Roman" w:hAnsi="Times New Roman" w:eastAsia="宋体" w:cs="Times New Roman"/>
                <w:b/>
                <w:color w:val="auto"/>
                <w:sz w:val="24"/>
                <w:szCs w:val="24"/>
                <w:highlight w:val="none"/>
                <w:lang w:val="en-US" w:eastAsia="zh-CN"/>
              </w:rPr>
            </w:pPr>
            <w:r>
              <w:rPr>
                <w:rFonts w:hint="default" w:ascii="Times New Roman" w:hAnsi="Times New Roman" w:cs="Times New Roman"/>
                <w:b/>
                <w:color w:val="auto"/>
                <w:sz w:val="24"/>
                <w:szCs w:val="24"/>
                <w:highlight w:val="none"/>
                <w:lang w:val="en-US" w:eastAsia="zh-CN"/>
              </w:rPr>
              <w:t>　806740.83</w:t>
            </w:r>
          </w:p>
        </w:tc>
        <w:tc>
          <w:tcPr>
            <w:tcW w:w="1736" w:type="dxa"/>
            <w:tcBorders>
              <w:right w:val="single" w:color="auto" w:sz="4" w:space="0"/>
            </w:tcBorders>
            <w:noWrap w:val="0"/>
            <w:vAlign w:val="center"/>
          </w:tcPr>
          <w:p w14:paraId="0CBC4895">
            <w:pPr>
              <w:keepNext/>
              <w:keepLines/>
              <w:jc w:val="center"/>
              <w:rPr>
                <w:rFonts w:hint="default" w:ascii="Times New Roman" w:hAnsi="Times New Roman" w:cs="Times New Roman"/>
                <w:b/>
                <w:color w:val="auto"/>
                <w:sz w:val="24"/>
                <w:szCs w:val="24"/>
                <w:highlight w:val="none"/>
              </w:rPr>
            </w:pPr>
          </w:p>
        </w:tc>
        <w:tc>
          <w:tcPr>
            <w:tcW w:w="1912" w:type="dxa"/>
            <w:tcBorders>
              <w:top w:val="single" w:color="auto" w:sz="4" w:space="0"/>
              <w:left w:val="single" w:color="auto" w:sz="4" w:space="0"/>
              <w:bottom w:val="single" w:color="auto" w:sz="4" w:space="0"/>
              <w:right w:val="single" w:color="auto" w:sz="4" w:space="0"/>
            </w:tcBorders>
            <w:noWrap w:val="0"/>
            <w:vAlign w:val="center"/>
          </w:tcPr>
          <w:p w14:paraId="1E29778D">
            <w:pPr>
              <w:adjustRightInd w:val="0"/>
              <w:snapToGrid w:val="0"/>
              <w:jc w:val="center"/>
              <w:rPr>
                <w:rFonts w:hint="default" w:ascii="Times New Roman" w:hAnsi="Times New Roman" w:cs="Times New Roman"/>
                <w:b/>
                <w:color w:val="auto"/>
                <w:sz w:val="24"/>
                <w:szCs w:val="24"/>
                <w:highlight w:val="none"/>
              </w:rPr>
            </w:pPr>
          </w:p>
        </w:tc>
      </w:tr>
      <w:tr w14:paraId="67B0D0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6" w:hRule="atLeast"/>
        </w:trPr>
        <w:tc>
          <w:tcPr>
            <w:tcW w:w="763" w:type="dxa"/>
            <w:noWrap w:val="0"/>
            <w:vAlign w:val="center"/>
          </w:tcPr>
          <w:p w14:paraId="30EA0BE8">
            <w:pPr>
              <w:adjustRightInd w:val="0"/>
              <w:snapToGrid w:val="0"/>
              <w:jc w:val="center"/>
              <w:rPr>
                <w:rFonts w:hint="default" w:ascii="Times New Roman" w:hAnsi="Times New Roman" w:cs="Times New Roman"/>
                <w:b/>
                <w:color w:val="auto"/>
                <w:sz w:val="24"/>
                <w:szCs w:val="24"/>
                <w:highlight w:val="none"/>
              </w:rPr>
            </w:pPr>
            <w:r>
              <w:rPr>
                <w:rFonts w:hint="default" w:ascii="Times New Roman" w:hAnsi="Times New Roman" w:cs="Times New Roman"/>
                <w:b/>
                <w:color w:val="auto"/>
                <w:sz w:val="24"/>
                <w:szCs w:val="24"/>
                <w:highlight w:val="none"/>
              </w:rPr>
              <w:t>1</w:t>
            </w:r>
          </w:p>
        </w:tc>
        <w:tc>
          <w:tcPr>
            <w:tcW w:w="3241" w:type="dxa"/>
            <w:noWrap w:val="0"/>
            <w:vAlign w:val="center"/>
          </w:tcPr>
          <w:p w14:paraId="456784D3">
            <w:pPr>
              <w:adjustRightInd w:val="0"/>
              <w:snapToGrid w:val="0"/>
              <w:jc w:val="center"/>
              <w:rPr>
                <w:rFonts w:hint="default" w:ascii="Times New Roman" w:hAnsi="Times New Roman" w:cs="Times New Roman"/>
                <w:b/>
                <w:color w:val="auto"/>
                <w:sz w:val="24"/>
                <w:szCs w:val="24"/>
                <w:highlight w:val="none"/>
              </w:rPr>
            </w:pPr>
            <w:r>
              <w:rPr>
                <w:rFonts w:hint="default" w:ascii="Times New Roman" w:hAnsi="Times New Roman" w:cs="Times New Roman"/>
                <w:b/>
                <w:color w:val="auto"/>
                <w:sz w:val="24"/>
                <w:szCs w:val="24"/>
                <w:highlight w:val="none"/>
              </w:rPr>
              <w:t>迁改费</w:t>
            </w:r>
          </w:p>
        </w:tc>
        <w:tc>
          <w:tcPr>
            <w:tcW w:w="1721" w:type="dxa"/>
            <w:noWrap w:val="0"/>
            <w:vAlign w:val="center"/>
          </w:tcPr>
          <w:p w14:paraId="1A34A90B">
            <w:pPr>
              <w:adjustRightInd w:val="0"/>
              <w:snapToGrid w:val="0"/>
              <w:jc w:val="center"/>
              <w:rPr>
                <w:rFonts w:hint="default" w:ascii="Times New Roman" w:hAnsi="Times New Roman" w:eastAsia="宋体" w:cs="Times New Roman"/>
                <w:b/>
                <w:color w:val="auto"/>
                <w:sz w:val="24"/>
                <w:szCs w:val="24"/>
                <w:highlight w:val="none"/>
                <w:lang w:val="en-US" w:eastAsia="zh-CN"/>
              </w:rPr>
            </w:pPr>
            <w:r>
              <w:rPr>
                <w:rFonts w:hint="default" w:ascii="Times New Roman" w:hAnsi="Times New Roman" w:cs="Times New Roman"/>
                <w:b/>
                <w:color w:val="auto"/>
                <w:sz w:val="24"/>
                <w:szCs w:val="24"/>
                <w:highlight w:val="none"/>
                <w:lang w:val="en-US" w:eastAsia="zh-CN"/>
              </w:rPr>
              <w:t>772000.79</w:t>
            </w:r>
          </w:p>
        </w:tc>
        <w:tc>
          <w:tcPr>
            <w:tcW w:w="1736" w:type="dxa"/>
            <w:tcBorders>
              <w:right w:val="single" w:color="auto" w:sz="4" w:space="0"/>
            </w:tcBorders>
            <w:noWrap w:val="0"/>
            <w:vAlign w:val="center"/>
          </w:tcPr>
          <w:p w14:paraId="681D8C6C">
            <w:pPr>
              <w:keepNext/>
              <w:keepLines/>
              <w:jc w:val="center"/>
              <w:rPr>
                <w:rFonts w:hint="default" w:ascii="Times New Roman" w:hAnsi="Times New Roman" w:cs="Times New Roman"/>
                <w:b/>
                <w:color w:val="auto"/>
                <w:sz w:val="24"/>
                <w:szCs w:val="24"/>
                <w:highlight w:val="none"/>
              </w:rPr>
            </w:pPr>
          </w:p>
        </w:tc>
        <w:tc>
          <w:tcPr>
            <w:tcW w:w="1912" w:type="dxa"/>
            <w:tcBorders>
              <w:top w:val="single" w:color="auto" w:sz="4" w:space="0"/>
              <w:left w:val="single" w:color="auto" w:sz="4" w:space="0"/>
              <w:bottom w:val="single" w:color="auto" w:sz="4" w:space="0"/>
              <w:right w:val="single" w:color="auto" w:sz="4" w:space="0"/>
            </w:tcBorders>
            <w:noWrap w:val="0"/>
            <w:vAlign w:val="center"/>
          </w:tcPr>
          <w:p w14:paraId="78B0DAFA">
            <w:pPr>
              <w:adjustRightInd w:val="0"/>
              <w:snapToGrid w:val="0"/>
              <w:jc w:val="left"/>
              <w:rPr>
                <w:rFonts w:hint="default" w:ascii="Times New Roman" w:hAnsi="Times New Roman" w:cs="Times New Roman"/>
                <w:b/>
                <w:color w:val="auto"/>
                <w:sz w:val="24"/>
                <w:szCs w:val="24"/>
                <w:highlight w:val="none"/>
              </w:rPr>
            </w:pPr>
            <w:r>
              <w:rPr>
                <w:rFonts w:hint="default" w:ascii="Times New Roman" w:hAnsi="Times New Roman" w:cs="Times New Roman"/>
                <w:b/>
                <w:color w:val="auto"/>
                <w:sz w:val="24"/>
                <w:szCs w:val="24"/>
                <w:highlight w:val="none"/>
              </w:rPr>
              <w:t>报价下浮率</w:t>
            </w:r>
          </w:p>
          <w:p w14:paraId="331399BD">
            <w:pPr>
              <w:adjustRightInd w:val="0"/>
              <w:snapToGrid w:val="0"/>
              <w:rPr>
                <w:rFonts w:hint="default" w:ascii="Times New Roman" w:hAnsi="Times New Roman" w:cs="Times New Roman"/>
                <w:b/>
                <w:color w:val="auto"/>
                <w:sz w:val="24"/>
                <w:szCs w:val="24"/>
                <w:highlight w:val="none"/>
              </w:rPr>
            </w:pPr>
            <w:r>
              <w:rPr>
                <w:rFonts w:hint="default" w:ascii="Times New Roman" w:hAnsi="Times New Roman" w:cs="Times New Roman"/>
                <w:b/>
                <w:color w:val="auto"/>
                <w:sz w:val="24"/>
                <w:szCs w:val="24"/>
                <w:highlight w:val="none"/>
              </w:rPr>
              <w:t>：</w:t>
            </w:r>
            <w:r>
              <w:rPr>
                <w:rFonts w:hint="default" w:ascii="Times New Roman" w:hAnsi="Times New Roman" w:cs="Times New Roman"/>
                <w:b/>
                <w:color w:val="auto"/>
                <w:sz w:val="24"/>
                <w:szCs w:val="24"/>
                <w:highlight w:val="none"/>
                <w:u w:val="single"/>
              </w:rPr>
              <w:t xml:space="preserve">       % </w:t>
            </w:r>
          </w:p>
        </w:tc>
      </w:tr>
      <w:tr w14:paraId="7DE14B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trPr>
        <w:tc>
          <w:tcPr>
            <w:tcW w:w="763" w:type="dxa"/>
            <w:noWrap w:val="0"/>
            <w:vAlign w:val="center"/>
          </w:tcPr>
          <w:p w14:paraId="23A131FD">
            <w:pPr>
              <w:adjustRightInd w:val="0"/>
              <w:snapToGrid w:val="0"/>
              <w:jc w:val="center"/>
              <w:rPr>
                <w:rFonts w:hint="default" w:ascii="Times New Roman" w:hAnsi="Times New Roman" w:cs="Times New Roman"/>
                <w:b/>
                <w:color w:val="auto"/>
                <w:sz w:val="24"/>
                <w:szCs w:val="24"/>
                <w:highlight w:val="none"/>
              </w:rPr>
            </w:pPr>
            <w:r>
              <w:rPr>
                <w:rFonts w:hint="default" w:ascii="Times New Roman" w:hAnsi="Times New Roman" w:cs="Times New Roman"/>
                <w:b/>
                <w:color w:val="auto"/>
                <w:sz w:val="24"/>
                <w:szCs w:val="24"/>
                <w:highlight w:val="none"/>
              </w:rPr>
              <w:t>2</w:t>
            </w:r>
          </w:p>
        </w:tc>
        <w:tc>
          <w:tcPr>
            <w:tcW w:w="3241" w:type="dxa"/>
            <w:noWrap w:val="0"/>
            <w:vAlign w:val="center"/>
          </w:tcPr>
          <w:p w14:paraId="0942E0E4">
            <w:pPr>
              <w:adjustRightInd w:val="0"/>
              <w:snapToGrid w:val="0"/>
              <w:jc w:val="center"/>
              <w:rPr>
                <w:rFonts w:hint="default" w:ascii="Times New Roman" w:hAnsi="Times New Roman" w:cs="Times New Roman"/>
                <w:b/>
                <w:color w:val="auto"/>
                <w:sz w:val="24"/>
                <w:szCs w:val="24"/>
                <w:highlight w:val="none"/>
              </w:rPr>
            </w:pPr>
            <w:r>
              <w:rPr>
                <w:rFonts w:hint="default" w:ascii="Times New Roman" w:hAnsi="Times New Roman" w:cs="Times New Roman"/>
                <w:b/>
                <w:color w:val="auto"/>
                <w:sz w:val="24"/>
                <w:szCs w:val="24"/>
                <w:highlight w:val="none"/>
              </w:rPr>
              <w:t>设计费</w:t>
            </w:r>
          </w:p>
        </w:tc>
        <w:tc>
          <w:tcPr>
            <w:tcW w:w="1721" w:type="dxa"/>
            <w:noWrap w:val="0"/>
            <w:vAlign w:val="center"/>
          </w:tcPr>
          <w:p w14:paraId="5F57BBFA">
            <w:pPr>
              <w:keepNext/>
              <w:keepLines/>
              <w:jc w:val="center"/>
              <w:rPr>
                <w:rFonts w:hint="default" w:ascii="Times New Roman" w:hAnsi="Times New Roman" w:eastAsia="宋体" w:cs="Times New Roman"/>
                <w:b/>
                <w:color w:val="auto"/>
                <w:sz w:val="24"/>
                <w:szCs w:val="24"/>
                <w:highlight w:val="none"/>
                <w:lang w:eastAsia="zh-CN"/>
              </w:rPr>
            </w:pPr>
            <w:r>
              <w:rPr>
                <w:rFonts w:hint="default" w:ascii="Times New Roman" w:hAnsi="Times New Roman" w:cs="Times New Roman"/>
                <w:b/>
                <w:color w:val="auto"/>
                <w:sz w:val="24"/>
                <w:szCs w:val="24"/>
                <w:highlight w:val="none"/>
                <w:lang w:val="en-US" w:eastAsia="zh-CN"/>
              </w:rPr>
              <w:t xml:space="preserve">34740.04 </w:t>
            </w:r>
          </w:p>
        </w:tc>
        <w:tc>
          <w:tcPr>
            <w:tcW w:w="1736" w:type="dxa"/>
            <w:tcBorders>
              <w:right w:val="single" w:color="auto" w:sz="4" w:space="0"/>
            </w:tcBorders>
            <w:noWrap w:val="0"/>
            <w:vAlign w:val="center"/>
          </w:tcPr>
          <w:p w14:paraId="48883CAB">
            <w:pPr>
              <w:keepNext/>
              <w:keepLines/>
              <w:jc w:val="center"/>
              <w:rPr>
                <w:rFonts w:hint="default" w:ascii="Times New Roman" w:hAnsi="Times New Roman" w:cs="Times New Roman"/>
                <w:b/>
                <w:color w:val="auto"/>
                <w:sz w:val="24"/>
                <w:szCs w:val="24"/>
                <w:highlight w:val="none"/>
              </w:rPr>
            </w:pPr>
          </w:p>
        </w:tc>
        <w:tc>
          <w:tcPr>
            <w:tcW w:w="1912" w:type="dxa"/>
            <w:tcBorders>
              <w:top w:val="single" w:color="auto" w:sz="4" w:space="0"/>
              <w:left w:val="single" w:color="auto" w:sz="4" w:space="0"/>
              <w:bottom w:val="single" w:color="auto" w:sz="4" w:space="0"/>
              <w:right w:val="single" w:color="auto" w:sz="4" w:space="0"/>
            </w:tcBorders>
            <w:noWrap w:val="0"/>
            <w:vAlign w:val="center"/>
          </w:tcPr>
          <w:p w14:paraId="3D688A32">
            <w:pPr>
              <w:adjustRightInd w:val="0"/>
              <w:snapToGrid w:val="0"/>
              <w:jc w:val="left"/>
              <w:rPr>
                <w:rFonts w:hint="default" w:ascii="Times New Roman" w:hAnsi="Times New Roman" w:cs="Times New Roman"/>
                <w:b/>
                <w:color w:val="auto"/>
                <w:sz w:val="24"/>
                <w:szCs w:val="24"/>
                <w:highlight w:val="none"/>
              </w:rPr>
            </w:pPr>
            <w:r>
              <w:rPr>
                <w:rFonts w:hint="default" w:ascii="Times New Roman" w:hAnsi="Times New Roman" w:cs="Times New Roman"/>
                <w:b/>
                <w:color w:val="auto"/>
                <w:sz w:val="24"/>
                <w:szCs w:val="24"/>
                <w:highlight w:val="none"/>
              </w:rPr>
              <w:t>报价下浮率</w:t>
            </w:r>
          </w:p>
          <w:p w14:paraId="226F9AF6">
            <w:pPr>
              <w:adjustRightInd w:val="0"/>
              <w:snapToGrid w:val="0"/>
              <w:jc w:val="left"/>
              <w:rPr>
                <w:rFonts w:hint="default" w:ascii="Times New Roman" w:hAnsi="Times New Roman" w:cs="Times New Roman"/>
                <w:b/>
                <w:color w:val="auto"/>
                <w:sz w:val="24"/>
                <w:szCs w:val="24"/>
                <w:highlight w:val="none"/>
              </w:rPr>
            </w:pPr>
            <w:r>
              <w:rPr>
                <w:rFonts w:hint="default" w:ascii="Times New Roman" w:hAnsi="Times New Roman" w:cs="Times New Roman"/>
                <w:b/>
                <w:color w:val="auto"/>
                <w:sz w:val="24"/>
                <w:szCs w:val="24"/>
                <w:highlight w:val="none"/>
              </w:rPr>
              <w:t>：</w:t>
            </w:r>
            <w:r>
              <w:rPr>
                <w:rFonts w:hint="default" w:ascii="Times New Roman" w:hAnsi="Times New Roman" w:cs="Times New Roman"/>
                <w:b/>
                <w:color w:val="auto"/>
                <w:sz w:val="24"/>
                <w:szCs w:val="24"/>
                <w:highlight w:val="none"/>
                <w:u w:val="single"/>
              </w:rPr>
              <w:t xml:space="preserve">       % </w:t>
            </w:r>
          </w:p>
        </w:tc>
      </w:tr>
      <w:tr w14:paraId="379310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79" w:hRule="atLeast"/>
        </w:trPr>
        <w:tc>
          <w:tcPr>
            <w:tcW w:w="4004" w:type="dxa"/>
            <w:gridSpan w:val="2"/>
            <w:noWrap w:val="0"/>
            <w:vAlign w:val="center"/>
          </w:tcPr>
          <w:p w14:paraId="5ED376C2">
            <w:pPr>
              <w:adjustRightInd w:val="0"/>
              <w:snapToGrid w:val="0"/>
              <w:rPr>
                <w:rFonts w:hint="default" w:ascii="Times New Roman" w:hAnsi="Times New Roman" w:cs="Times New Roman"/>
                <w:bCs/>
                <w:color w:val="auto"/>
                <w:sz w:val="24"/>
                <w:szCs w:val="24"/>
                <w:highlight w:val="none"/>
              </w:rPr>
            </w:pPr>
            <w:r>
              <w:rPr>
                <w:rFonts w:hint="default" w:ascii="Times New Roman" w:hAnsi="Times New Roman" w:cs="Times New Roman"/>
                <w:b/>
                <w:color w:val="auto"/>
                <w:sz w:val="24"/>
                <w:szCs w:val="24"/>
                <w:highlight w:val="none"/>
              </w:rPr>
              <w:t>总报价（单位：人民币元）</w:t>
            </w:r>
          </w:p>
        </w:tc>
        <w:tc>
          <w:tcPr>
            <w:tcW w:w="3457" w:type="dxa"/>
            <w:gridSpan w:val="2"/>
            <w:tcBorders>
              <w:right w:val="single" w:color="auto" w:sz="4" w:space="0"/>
            </w:tcBorders>
            <w:noWrap w:val="0"/>
            <w:vAlign w:val="center"/>
          </w:tcPr>
          <w:p w14:paraId="00CF1785">
            <w:pPr>
              <w:pStyle w:val="2"/>
              <w:spacing w:line="480" w:lineRule="auto"/>
              <w:rPr>
                <w:rFonts w:hint="default" w:ascii="Times New Roman" w:hAnsi="Times New Roman" w:cs="Times New Roman"/>
                <w:b/>
                <w:color w:val="auto"/>
                <w:sz w:val="24"/>
                <w:szCs w:val="24"/>
                <w:highlight w:val="none"/>
                <w:u w:val="single"/>
              </w:rPr>
            </w:pPr>
            <w:r>
              <w:rPr>
                <w:rFonts w:hint="default" w:ascii="Times New Roman" w:hAnsi="Times New Roman" w:cs="Times New Roman"/>
                <w:b/>
                <w:color w:val="auto"/>
                <w:sz w:val="24"/>
                <w:szCs w:val="24"/>
                <w:highlight w:val="none"/>
              </w:rPr>
              <w:t>小写：</w:t>
            </w:r>
            <w:r>
              <w:rPr>
                <w:rFonts w:hint="default" w:ascii="Times New Roman" w:hAnsi="Times New Roman" w:cs="Times New Roman"/>
                <w:b/>
                <w:color w:val="auto"/>
                <w:sz w:val="24"/>
                <w:szCs w:val="24"/>
                <w:highlight w:val="none"/>
                <w:u w:val="single"/>
              </w:rPr>
              <w:t xml:space="preserve">                 </w:t>
            </w:r>
          </w:p>
          <w:p w14:paraId="22CE038D">
            <w:pPr>
              <w:adjustRightInd w:val="0"/>
              <w:snapToGrid w:val="0"/>
              <w:spacing w:line="480" w:lineRule="auto"/>
              <w:rPr>
                <w:rFonts w:hint="default" w:ascii="Times New Roman" w:hAnsi="Times New Roman" w:cs="Times New Roman"/>
                <w:b/>
                <w:color w:val="auto"/>
                <w:sz w:val="24"/>
                <w:szCs w:val="24"/>
                <w:highlight w:val="none"/>
                <w:u w:val="single"/>
              </w:rPr>
            </w:pPr>
            <w:r>
              <w:rPr>
                <w:rFonts w:hint="default" w:ascii="Times New Roman" w:hAnsi="Times New Roman" w:cs="Times New Roman"/>
                <w:b/>
                <w:color w:val="auto"/>
                <w:sz w:val="24"/>
                <w:szCs w:val="24"/>
                <w:highlight w:val="none"/>
              </w:rPr>
              <w:t>大写：</w:t>
            </w:r>
            <w:r>
              <w:rPr>
                <w:rFonts w:hint="default" w:ascii="Times New Roman" w:hAnsi="Times New Roman" w:cs="Times New Roman"/>
                <w:b/>
                <w:color w:val="auto"/>
                <w:sz w:val="24"/>
                <w:szCs w:val="24"/>
                <w:highlight w:val="none"/>
                <w:u w:val="single"/>
              </w:rPr>
              <w:t xml:space="preserve">                 </w:t>
            </w:r>
          </w:p>
        </w:tc>
        <w:tc>
          <w:tcPr>
            <w:tcW w:w="1912" w:type="dxa"/>
            <w:tcBorders>
              <w:top w:val="single" w:color="auto" w:sz="4" w:space="0"/>
              <w:left w:val="single" w:color="auto" w:sz="4" w:space="0"/>
              <w:bottom w:val="single" w:color="auto" w:sz="4" w:space="0"/>
              <w:right w:val="single" w:color="auto" w:sz="4" w:space="0"/>
            </w:tcBorders>
            <w:noWrap w:val="0"/>
            <w:vAlign w:val="center"/>
          </w:tcPr>
          <w:p w14:paraId="75452B98">
            <w:pPr>
              <w:adjustRightInd w:val="0"/>
              <w:snapToGrid w:val="0"/>
              <w:jc w:val="left"/>
              <w:rPr>
                <w:rFonts w:hint="default" w:ascii="Times New Roman" w:hAnsi="Times New Roman" w:cs="Times New Roman"/>
                <w:b/>
                <w:color w:val="auto"/>
                <w:sz w:val="24"/>
                <w:szCs w:val="24"/>
                <w:highlight w:val="none"/>
              </w:rPr>
            </w:pPr>
            <w:r>
              <w:rPr>
                <w:rFonts w:hint="default" w:ascii="Times New Roman" w:hAnsi="Times New Roman" w:cs="Times New Roman"/>
                <w:b/>
                <w:color w:val="auto"/>
                <w:sz w:val="24"/>
                <w:szCs w:val="24"/>
                <w:highlight w:val="none"/>
              </w:rPr>
              <w:t>报价下浮率</w:t>
            </w:r>
          </w:p>
          <w:p w14:paraId="68EE0B3A">
            <w:pPr>
              <w:adjustRightInd w:val="0"/>
              <w:snapToGrid w:val="0"/>
              <w:jc w:val="left"/>
              <w:rPr>
                <w:rFonts w:hint="default" w:ascii="Times New Roman" w:hAnsi="Times New Roman" w:cs="Times New Roman"/>
                <w:color w:val="auto"/>
                <w:sz w:val="24"/>
                <w:szCs w:val="24"/>
                <w:highlight w:val="none"/>
              </w:rPr>
            </w:pPr>
            <w:r>
              <w:rPr>
                <w:rFonts w:hint="default" w:ascii="Times New Roman" w:hAnsi="Times New Roman" w:cs="Times New Roman"/>
                <w:b/>
                <w:color w:val="auto"/>
                <w:sz w:val="24"/>
                <w:szCs w:val="24"/>
                <w:highlight w:val="none"/>
              </w:rPr>
              <w:t>：</w:t>
            </w:r>
            <w:r>
              <w:rPr>
                <w:rFonts w:hint="default" w:ascii="Times New Roman" w:hAnsi="Times New Roman" w:cs="Times New Roman"/>
                <w:b/>
                <w:color w:val="auto"/>
                <w:sz w:val="24"/>
                <w:szCs w:val="24"/>
                <w:highlight w:val="none"/>
                <w:u w:val="single"/>
              </w:rPr>
              <w:t xml:space="preserve">       %  </w:t>
            </w:r>
          </w:p>
        </w:tc>
      </w:tr>
    </w:tbl>
    <w:p w14:paraId="1236F275">
      <w:pPr>
        <w:pStyle w:val="2"/>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注：1.报价及下浮率保留小数点后</w:t>
      </w: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两位</w:t>
      </w:r>
      <w:r>
        <w:rPr>
          <w:rFonts w:hint="default" w:ascii="Times New Roman" w:hAnsi="Times New Roman" w:eastAsia="宋体" w:cs="Times New Roman"/>
          <w:color w:val="000000" w:themeColor="text1"/>
          <w:sz w:val="21"/>
          <w:szCs w:val="21"/>
          <w:highlight w:val="none"/>
          <w14:textFill>
            <w14:solidFill>
              <w14:schemeClr w14:val="tx1"/>
            </w14:solidFill>
          </w14:textFill>
        </w:rPr>
        <w:t>，第三位四舍五入。报价下浮率=（1-总报价/最高报价限价）*100%。</w:t>
      </w:r>
    </w:p>
    <w:p w14:paraId="5CAD451C">
      <w:pPr>
        <w:pStyle w:val="2"/>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2.如报价出现算术错误及其他错误的，评审时按以下原则进行算术校核并修正：</w:t>
      </w:r>
    </w:p>
    <w:p w14:paraId="4B7B0F23">
      <w:pPr>
        <w:pStyle w:val="2"/>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（1）若报价金额大写与小写不一致时，以大写为准，并修正小写金额。</w:t>
      </w:r>
    </w:p>
    <w:p w14:paraId="1B2AF208">
      <w:pPr>
        <w:pStyle w:val="2"/>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（2）若报价金额与按报价下浮率计算的金额不一致时，以报价金额为准，并修正报价下浮率。</w:t>
      </w:r>
    </w:p>
    <w:p w14:paraId="1DBE057F">
      <w:pPr>
        <w:pStyle w:val="2"/>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（3）若报价存在其他计算性错误的，按就低不就高的原则计算并修正。</w:t>
      </w:r>
    </w:p>
    <w:p w14:paraId="25B544B4">
      <w:pPr>
        <w:pStyle w:val="2"/>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按上述原则调整或修正的报价对报价人起约束作用，报价人应知悉上述原则并接受对报价的调整、修正。</w:t>
      </w:r>
    </w:p>
    <w:p w14:paraId="33D2042A">
      <w:pPr>
        <w:pStyle w:val="2"/>
        <w:keepNext w:val="0"/>
        <w:keepLines w:val="0"/>
        <w:pageBreakBefore w:val="0"/>
        <w:widowControl w:val="0"/>
        <w:kinsoku/>
        <w:wordWrap/>
        <w:overflowPunct/>
        <w:topLinePunct w:val="0"/>
        <w:autoSpaceDE/>
        <w:autoSpaceDN/>
        <w:bidi w:val="0"/>
        <w:adjustRightInd/>
        <w:spacing w:line="360" w:lineRule="auto"/>
        <w:textAlignment w:val="auto"/>
        <w:rPr>
          <w:rFonts w:hint="default" w:ascii="Times New Roman" w:hAnsi="Times New Roman" w:eastAsia="宋体" w:cs="Times New Roman"/>
          <w:color w:val="000000" w:themeColor="text1"/>
          <w:sz w:val="24"/>
          <w:szCs w:val="24"/>
          <w:highlight w:val="none"/>
          <w:shd w:val="clear" w:color="auto" w:fill="auto"/>
          <w14:textFill>
            <w14:solidFill>
              <w14:schemeClr w14:val="tx1"/>
            </w14:solidFill>
          </w14:textFill>
        </w:rPr>
      </w:pPr>
    </w:p>
    <w:p w14:paraId="4C54A935">
      <w:pPr>
        <w:keepNext w:val="0"/>
        <w:keepLines w:val="0"/>
        <w:pageBreakBefore w:val="0"/>
        <w:widowControl w:val="0"/>
        <w:tabs>
          <w:tab w:val="left" w:pos="13320"/>
        </w:tabs>
        <w:kinsoku/>
        <w:wordWrap/>
        <w:overflowPunct/>
        <w:topLinePunct w:val="0"/>
        <w:autoSpaceDE/>
        <w:autoSpaceDN/>
        <w:bidi w:val="0"/>
        <w:adjustRightInd/>
        <w:snapToGrid w:val="0"/>
        <w:spacing w:line="360" w:lineRule="auto"/>
        <w:ind w:left="718" w:leftChars="342" w:right="-52" w:firstLine="3112" w:firstLineChars="1297"/>
        <w:textAlignment w:val="auto"/>
        <w:rPr>
          <w:rFonts w:hint="default" w:ascii="Times New Roman" w:hAnsi="Times New Roman" w:eastAsia="宋体" w:cs="Times New Roman"/>
          <w:color w:val="000000" w:themeColor="text1"/>
          <w:sz w:val="24"/>
          <w:szCs w:val="24"/>
          <w:highlight w:val="none"/>
          <w:u w:val="single"/>
          <w:shd w:val="clear" w:color="auto" w:fill="auto"/>
          <w14:textFill>
            <w14:solidFill>
              <w14:schemeClr w14:val="tx1"/>
            </w14:solidFill>
          </w14:textFill>
        </w:rPr>
      </w:pPr>
      <w:r>
        <w:rPr>
          <w:rFonts w:hint="default" w:ascii="Times New Roman" w:hAnsi="Times New Roman" w:eastAsia="宋体" w:cs="Times New Roman"/>
          <w:color w:val="000000" w:themeColor="text1"/>
          <w:sz w:val="24"/>
          <w:szCs w:val="24"/>
          <w:highlight w:val="none"/>
          <w:shd w:val="clear" w:color="auto" w:fill="auto"/>
          <w14:textFill>
            <w14:solidFill>
              <w14:schemeClr w14:val="tx1"/>
            </w14:solidFill>
          </w14:textFill>
        </w:rPr>
        <w:t>报价人（</w:t>
      </w:r>
      <w:r>
        <w:rPr>
          <w:rFonts w:hint="default" w:ascii="Times New Roman" w:hAnsi="Times New Roman" w:eastAsia="宋体" w:cs="Times New Roman"/>
          <w:color w:val="000000" w:themeColor="text1"/>
          <w:sz w:val="24"/>
          <w:szCs w:val="24"/>
          <w:highlight w:val="none"/>
          <w:shd w:val="clear" w:color="auto" w:fill="auto"/>
          <w:lang w:eastAsia="zh-CN"/>
          <w14:textFill>
            <w14:solidFill>
              <w14:schemeClr w14:val="tx1"/>
            </w14:solidFill>
          </w14:textFill>
        </w:rPr>
        <w:t>法人</w:t>
      </w:r>
      <w:r>
        <w:rPr>
          <w:rFonts w:hint="default" w:ascii="Times New Roman" w:hAnsi="Times New Roman" w:eastAsia="宋体" w:cs="Times New Roman"/>
          <w:color w:val="000000" w:themeColor="text1"/>
          <w:sz w:val="24"/>
          <w:szCs w:val="24"/>
          <w:highlight w:val="none"/>
          <w:shd w:val="clear" w:color="auto" w:fill="auto"/>
          <w14:textFill>
            <w14:solidFill>
              <w14:schemeClr w14:val="tx1"/>
            </w14:solidFill>
          </w14:textFill>
        </w:rPr>
        <w:t>公章）：</w:t>
      </w:r>
      <w:r>
        <w:rPr>
          <w:rFonts w:hint="default" w:ascii="Times New Roman" w:hAnsi="Times New Roman" w:eastAsia="宋体" w:cs="Times New Roman"/>
          <w:color w:val="000000" w:themeColor="text1"/>
          <w:sz w:val="24"/>
          <w:szCs w:val="24"/>
          <w:highlight w:val="none"/>
          <w:u w:val="single"/>
          <w:shd w:val="clear" w:color="auto" w:fill="auto"/>
          <w14:textFill>
            <w14:solidFill>
              <w14:schemeClr w14:val="tx1"/>
            </w14:solidFill>
          </w14:textFill>
        </w:rPr>
        <w:t xml:space="preserve">                        </w:t>
      </w:r>
    </w:p>
    <w:p w14:paraId="4F85A66B">
      <w:pPr>
        <w:keepNext w:val="0"/>
        <w:keepLines w:val="0"/>
        <w:pageBreakBefore w:val="0"/>
        <w:widowControl w:val="0"/>
        <w:tabs>
          <w:tab w:val="left" w:pos="13320"/>
        </w:tabs>
        <w:kinsoku/>
        <w:wordWrap/>
        <w:overflowPunct/>
        <w:topLinePunct w:val="0"/>
        <w:autoSpaceDE/>
        <w:autoSpaceDN/>
        <w:bidi w:val="0"/>
        <w:adjustRightInd/>
        <w:snapToGrid w:val="0"/>
        <w:spacing w:line="360" w:lineRule="auto"/>
        <w:ind w:left="718" w:leftChars="342" w:right="-52" w:firstLine="3112" w:firstLineChars="1297"/>
        <w:textAlignment w:val="auto"/>
        <w:rPr>
          <w:rFonts w:hint="default" w:ascii="Times New Roman" w:hAnsi="Times New Roman" w:eastAsia="宋体" w:cs="Times New Roman"/>
          <w:color w:val="000000" w:themeColor="text1"/>
          <w:sz w:val="24"/>
          <w:szCs w:val="24"/>
          <w:highlight w:val="none"/>
          <w:u w:val="single"/>
          <w:shd w:val="clear" w:color="auto" w:fill="auto"/>
          <w14:textFill>
            <w14:solidFill>
              <w14:schemeClr w14:val="tx1"/>
            </w14:solidFill>
          </w14:textFill>
        </w:rPr>
      </w:pPr>
      <w:r>
        <w:rPr>
          <w:rFonts w:hint="default" w:ascii="Times New Roman" w:hAnsi="Times New Roman" w:eastAsia="宋体" w:cs="Times New Roman"/>
          <w:color w:val="000000" w:themeColor="text1"/>
          <w:sz w:val="24"/>
          <w:szCs w:val="24"/>
          <w:highlight w:val="none"/>
          <w:shd w:val="clear" w:color="auto" w:fill="auto"/>
          <w14:textFill>
            <w14:solidFill>
              <w14:schemeClr w14:val="tx1"/>
            </w14:solidFill>
          </w14:textFill>
        </w:rPr>
        <w:t>法定代表人或授权代表（签字或盖章）：</w:t>
      </w:r>
      <w:r>
        <w:rPr>
          <w:rFonts w:hint="default" w:ascii="Times New Roman" w:hAnsi="Times New Roman" w:eastAsia="宋体" w:cs="Times New Roman"/>
          <w:color w:val="000000" w:themeColor="text1"/>
          <w:sz w:val="24"/>
          <w:szCs w:val="24"/>
          <w:highlight w:val="none"/>
          <w:u w:val="single"/>
          <w:shd w:val="clear" w:color="auto" w:fill="auto"/>
          <w14:textFill>
            <w14:solidFill>
              <w14:schemeClr w14:val="tx1"/>
            </w14:solidFill>
          </w14:textFill>
        </w:rPr>
        <w:t xml:space="preserve">        </w:t>
      </w:r>
    </w:p>
    <w:p w14:paraId="486E8534">
      <w:pPr>
        <w:keepNext w:val="0"/>
        <w:keepLines w:val="0"/>
        <w:pageBreakBefore w:val="0"/>
        <w:widowControl w:val="0"/>
        <w:tabs>
          <w:tab w:val="left" w:pos="13320"/>
        </w:tabs>
        <w:kinsoku/>
        <w:wordWrap/>
        <w:overflowPunct/>
        <w:topLinePunct w:val="0"/>
        <w:autoSpaceDE/>
        <w:autoSpaceDN/>
        <w:bidi w:val="0"/>
        <w:adjustRightInd/>
        <w:snapToGrid w:val="0"/>
        <w:spacing w:line="360" w:lineRule="auto"/>
        <w:ind w:left="718" w:leftChars="342" w:right="-52" w:firstLine="3112" w:firstLineChars="1297"/>
        <w:jc w:val="left"/>
        <w:textAlignment w:val="auto"/>
        <w:rPr>
          <w:rFonts w:hint="default" w:ascii="Times New Roman" w:hAnsi="Times New Roman" w:eastAsia="宋体" w:cs="Times New Roman"/>
          <w:color w:val="000000" w:themeColor="text1"/>
          <w:sz w:val="24"/>
          <w:szCs w:val="24"/>
          <w:highlight w:val="none"/>
          <w:shd w:val="clear" w:color="auto" w:fill="auto"/>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shd w:val="clear" w:color="auto" w:fill="auto"/>
          <w14:textFill>
            <w14:solidFill>
              <w14:schemeClr w14:val="tx1"/>
            </w14:solidFill>
          </w14:textFill>
        </w:rPr>
        <w:t>联系人：</w:t>
      </w:r>
      <w:r>
        <w:rPr>
          <w:rFonts w:hint="default" w:ascii="Times New Roman" w:hAnsi="Times New Roman" w:eastAsia="宋体" w:cs="Times New Roman"/>
          <w:color w:val="000000" w:themeColor="text1"/>
          <w:sz w:val="24"/>
          <w:szCs w:val="24"/>
          <w:highlight w:val="none"/>
          <w:u w:val="single"/>
          <w14:textFill>
            <w14:solidFill>
              <w14:schemeClr w14:val="tx1"/>
            </w14:solidFill>
          </w14:textFill>
        </w:rPr>
        <w:t xml:space="preserve">                 </w:t>
      </w:r>
    </w:p>
    <w:p w14:paraId="2FB4C918">
      <w:pPr>
        <w:keepNext w:val="0"/>
        <w:keepLines w:val="0"/>
        <w:pageBreakBefore w:val="0"/>
        <w:widowControl w:val="0"/>
        <w:tabs>
          <w:tab w:val="left" w:pos="13320"/>
        </w:tabs>
        <w:kinsoku/>
        <w:wordWrap/>
        <w:overflowPunct/>
        <w:topLinePunct w:val="0"/>
        <w:autoSpaceDE/>
        <w:autoSpaceDN/>
        <w:bidi w:val="0"/>
        <w:adjustRightInd/>
        <w:snapToGrid w:val="0"/>
        <w:spacing w:line="360" w:lineRule="auto"/>
        <w:ind w:left="718" w:leftChars="342" w:right="-52" w:firstLine="3112" w:firstLineChars="1297"/>
        <w:jc w:val="left"/>
        <w:textAlignment w:val="auto"/>
        <w:rPr>
          <w:rFonts w:hint="default" w:ascii="Times New Roman" w:hAnsi="Times New Roman" w:eastAsia="宋体" w:cs="Times New Roman"/>
          <w:color w:val="000000" w:themeColor="text1"/>
          <w:sz w:val="24"/>
          <w:szCs w:val="24"/>
          <w:highlight w:val="none"/>
          <w:shd w:val="clear" w:color="auto" w:fill="auto"/>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shd w:val="clear" w:color="auto" w:fill="auto"/>
          <w14:textFill>
            <w14:solidFill>
              <w14:schemeClr w14:val="tx1"/>
            </w14:solidFill>
          </w14:textFill>
        </w:rPr>
        <w:t>联系电话（固话）：</w:t>
      </w:r>
      <w:r>
        <w:rPr>
          <w:rFonts w:hint="default" w:ascii="Times New Roman" w:hAnsi="Times New Roman" w:eastAsia="宋体" w:cs="Times New Roman"/>
          <w:color w:val="000000" w:themeColor="text1"/>
          <w:sz w:val="24"/>
          <w:szCs w:val="24"/>
          <w:highlight w:val="none"/>
          <w:u w:val="single"/>
          <w14:textFill>
            <w14:solidFill>
              <w14:schemeClr w14:val="tx1"/>
            </w14:solidFill>
          </w14:textFill>
        </w:rPr>
        <w:t xml:space="preserve">                 </w:t>
      </w:r>
      <w:r>
        <w:rPr>
          <w:rFonts w:hint="default" w:ascii="Times New Roman" w:hAnsi="Times New Roman" w:eastAsia="宋体" w:cs="Times New Roman"/>
          <w:color w:val="000000" w:themeColor="text1"/>
          <w:sz w:val="24"/>
          <w:szCs w:val="24"/>
          <w:highlight w:val="none"/>
          <w:shd w:val="clear" w:color="auto" w:fill="auto"/>
          <w:lang w:val="en-US" w:eastAsia="zh-CN"/>
          <w14:textFill>
            <w14:solidFill>
              <w14:schemeClr w14:val="tx1"/>
            </w14:solidFill>
          </w14:textFill>
        </w:rPr>
        <w:t xml:space="preserve"> </w:t>
      </w:r>
    </w:p>
    <w:p w14:paraId="770DBE56">
      <w:pPr>
        <w:keepNext w:val="0"/>
        <w:keepLines w:val="0"/>
        <w:pageBreakBefore w:val="0"/>
        <w:widowControl w:val="0"/>
        <w:tabs>
          <w:tab w:val="left" w:pos="13320"/>
        </w:tabs>
        <w:kinsoku/>
        <w:wordWrap/>
        <w:overflowPunct/>
        <w:topLinePunct w:val="0"/>
        <w:autoSpaceDE/>
        <w:autoSpaceDN/>
        <w:bidi w:val="0"/>
        <w:adjustRightInd/>
        <w:spacing w:line="360" w:lineRule="auto"/>
        <w:ind w:left="718" w:leftChars="342" w:right="-52" w:firstLine="3112" w:firstLineChars="1297"/>
        <w:textAlignment w:val="auto"/>
        <w:rPr>
          <w:rFonts w:hint="default" w:ascii="Times New Roman" w:hAnsi="Times New Roman" w:eastAsia="宋体" w:cs="Times New Roman"/>
          <w:color w:val="000000" w:themeColor="text1"/>
          <w:sz w:val="24"/>
          <w:szCs w:val="24"/>
          <w:highlight w:val="none"/>
          <w:shd w:val="clear" w:color="auto" w:fill="auto"/>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shd w:val="clear" w:color="auto" w:fill="auto"/>
          <w14:textFill>
            <w14:solidFill>
              <w14:schemeClr w14:val="tx1"/>
            </w14:solidFill>
          </w14:textFill>
        </w:rPr>
        <w:t>联系电话（手机号码）：</w:t>
      </w:r>
      <w:r>
        <w:rPr>
          <w:rFonts w:hint="default" w:ascii="Times New Roman" w:hAnsi="Times New Roman" w:eastAsia="宋体" w:cs="Times New Roman"/>
          <w:color w:val="000000" w:themeColor="text1"/>
          <w:sz w:val="24"/>
          <w:szCs w:val="24"/>
          <w:highlight w:val="none"/>
          <w:u w:val="single"/>
          <w14:textFill>
            <w14:solidFill>
              <w14:schemeClr w14:val="tx1"/>
            </w14:solidFill>
          </w14:textFill>
        </w:rPr>
        <w:t xml:space="preserve">                 </w:t>
      </w:r>
    </w:p>
    <w:p w14:paraId="2F638B00">
      <w:pPr>
        <w:keepNext w:val="0"/>
        <w:keepLines w:val="0"/>
        <w:pageBreakBefore w:val="0"/>
        <w:widowControl w:val="0"/>
        <w:kinsoku/>
        <w:wordWrap/>
        <w:overflowPunct/>
        <w:topLinePunct w:val="0"/>
        <w:autoSpaceDE/>
        <w:autoSpaceDN/>
        <w:bidi w:val="0"/>
        <w:adjustRightInd/>
        <w:spacing w:line="360" w:lineRule="auto"/>
        <w:ind w:firstLine="3840" w:firstLineChars="160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shd w:val="clear" w:color="auto" w:fill="auto"/>
          <w14:textFill>
            <w14:solidFill>
              <w14:schemeClr w14:val="tx1"/>
            </w14:solidFill>
          </w14:textFill>
        </w:rPr>
        <w:t>日期：</w:t>
      </w:r>
      <w:r>
        <w:rPr>
          <w:rFonts w:hint="default" w:ascii="Times New Roman" w:hAnsi="Times New Roman" w:eastAsia="宋体" w:cs="Times New Roman"/>
          <w:color w:val="000000" w:themeColor="text1"/>
          <w:sz w:val="24"/>
          <w:szCs w:val="24"/>
          <w:highlight w:val="none"/>
          <w:u w:val="single"/>
          <w14:textFill>
            <w14:solidFill>
              <w14:schemeClr w14:val="tx1"/>
            </w14:solidFill>
          </w14:textFill>
        </w:rPr>
        <w:t xml:space="preserve">      </w:t>
      </w:r>
      <w:r>
        <w:rPr>
          <w:rFonts w:hint="default" w:ascii="Times New Roman" w:hAnsi="Times New Roman" w:eastAsia="宋体" w:cs="Times New Roman"/>
          <w:color w:val="000000" w:themeColor="text1"/>
          <w:sz w:val="24"/>
          <w:szCs w:val="24"/>
          <w:highlight w:val="none"/>
          <w14:textFill>
            <w14:solidFill>
              <w14:schemeClr w14:val="tx1"/>
            </w14:solidFill>
          </w14:textFill>
        </w:rPr>
        <w:t>年</w:t>
      </w:r>
      <w:r>
        <w:rPr>
          <w:rFonts w:hint="default" w:ascii="Times New Roman" w:hAnsi="Times New Roman" w:eastAsia="宋体" w:cs="Times New Roman"/>
          <w:color w:val="000000" w:themeColor="text1"/>
          <w:sz w:val="24"/>
          <w:szCs w:val="24"/>
          <w:highlight w:val="none"/>
          <w:u w:val="single"/>
          <w14:textFill>
            <w14:solidFill>
              <w14:schemeClr w14:val="tx1"/>
            </w14:solidFill>
          </w14:textFill>
        </w:rPr>
        <w:t xml:space="preserve">    </w:t>
      </w:r>
      <w:r>
        <w:rPr>
          <w:rFonts w:hint="default" w:ascii="Times New Roman" w:hAnsi="Times New Roman" w:eastAsia="宋体" w:cs="Times New Roman"/>
          <w:color w:val="000000" w:themeColor="text1"/>
          <w:sz w:val="24"/>
          <w:szCs w:val="24"/>
          <w:highlight w:val="none"/>
          <w14:textFill>
            <w14:solidFill>
              <w14:schemeClr w14:val="tx1"/>
            </w14:solidFill>
          </w14:textFill>
        </w:rPr>
        <w:t>月</w:t>
      </w:r>
      <w:r>
        <w:rPr>
          <w:rFonts w:hint="default" w:ascii="Times New Roman" w:hAnsi="Times New Roman" w:eastAsia="宋体" w:cs="Times New Roman"/>
          <w:color w:val="000000" w:themeColor="text1"/>
          <w:sz w:val="24"/>
          <w:szCs w:val="24"/>
          <w:highlight w:val="none"/>
          <w:u w:val="single"/>
          <w14:textFill>
            <w14:solidFill>
              <w14:schemeClr w14:val="tx1"/>
            </w14:solidFill>
          </w14:textFill>
        </w:rPr>
        <w:t xml:space="preserve">    </w:t>
      </w:r>
      <w:r>
        <w:rPr>
          <w:rFonts w:hint="default" w:ascii="Times New Roman" w:hAnsi="Times New Roman" w:eastAsia="宋体" w:cs="Times New Roman"/>
          <w:color w:val="000000" w:themeColor="text1"/>
          <w:sz w:val="24"/>
          <w:szCs w:val="24"/>
          <w:highlight w:val="none"/>
          <w14:textFill>
            <w14:solidFill>
              <w14:schemeClr w14:val="tx1"/>
            </w14:solidFill>
          </w14:textFill>
        </w:rPr>
        <w:t>日</w:t>
      </w:r>
    </w:p>
    <w:p w14:paraId="1DBCBB8F">
      <w:pPr>
        <w:keepNext w:val="0"/>
        <w:keepLines w:val="0"/>
        <w:pageBreakBefore w:val="0"/>
        <w:widowControl w:val="0"/>
        <w:shd w:val="clear" w:color="auto" w:fill="FFFFFF"/>
        <w:kinsoku/>
        <w:bidi w:val="0"/>
        <w:spacing w:line="312" w:lineRule="auto"/>
        <w:jc w:val="left"/>
        <w:rPr>
          <w:rFonts w:hint="default" w:ascii="Times New Roman" w:hAnsi="Times New Roman" w:eastAsia="宋体" w:cs="Times New Roman"/>
          <w:color w:val="000000" w:themeColor="text1"/>
          <w:sz w:val="24"/>
          <w:szCs w:val="24"/>
          <w:highlight w:val="none"/>
          <w14:textFill>
            <w14:solidFill>
              <w14:schemeClr w14:val="tx1"/>
            </w14:solidFill>
          </w14:textFill>
        </w:rPr>
        <w:sectPr>
          <w:headerReference r:id="rId9" w:type="default"/>
          <w:footerReference r:id="rId10" w:type="default"/>
          <w:footerReference r:id="rId11" w:type="even"/>
          <w:pgSz w:w="11907" w:h="16840"/>
          <w:pgMar w:top="1440" w:right="1797" w:bottom="1440" w:left="1797" w:header="851" w:footer="992" w:gutter="0"/>
          <w:pgNumType w:fmt="decimal"/>
          <w:cols w:space="720" w:num="1"/>
          <w:docGrid w:type="lines" w:linePitch="312" w:charSpace="0"/>
        </w:sectPr>
      </w:pPr>
    </w:p>
    <w:p w14:paraId="7836D1FC">
      <w:pPr>
        <w:keepNext w:val="0"/>
        <w:keepLines w:val="0"/>
        <w:pageBreakBefore w:val="0"/>
        <w:widowControl w:val="0"/>
        <w:shd w:val="clear" w:color="auto"/>
        <w:kinsoku/>
        <w:bidi w:val="0"/>
        <w:spacing w:line="360" w:lineRule="auto"/>
        <w:jc w:val="left"/>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附件五</w:t>
      </w:r>
    </w:p>
    <w:p w14:paraId="6734756A">
      <w:pPr>
        <w:pStyle w:val="61"/>
        <w:keepNext w:val="0"/>
        <w:keepLines w:val="0"/>
        <w:pageBreakBefore w:val="0"/>
        <w:widowControl w:val="0"/>
        <w:kinsoku/>
        <w:bidi w:val="0"/>
        <w:spacing w:line="360" w:lineRule="auto"/>
        <w:jc w:val="center"/>
        <w:rPr>
          <w:rFonts w:hint="default" w:ascii="Times New Roman" w:hAnsi="Times New Roman" w:eastAsia="宋体" w:cs="Times New Roman"/>
          <w:b/>
          <w:bCs/>
          <w:color w:val="000000" w:themeColor="text1"/>
          <w:sz w:val="28"/>
          <w:szCs w:val="28"/>
          <w:highlight w:val="none"/>
          <w14:textFill>
            <w14:solidFill>
              <w14:schemeClr w14:val="tx1"/>
            </w14:solidFill>
          </w14:textFill>
        </w:rPr>
      </w:pPr>
      <w:bookmarkStart w:id="24" w:name="_Toc99380420"/>
      <w:r>
        <w:rPr>
          <w:rFonts w:hint="default" w:ascii="Times New Roman" w:hAnsi="Times New Roman" w:eastAsia="宋体" w:cs="Times New Roman"/>
          <w:b/>
          <w:bCs/>
          <w:color w:val="000000" w:themeColor="text1"/>
          <w:sz w:val="28"/>
          <w:szCs w:val="28"/>
          <w:highlight w:val="none"/>
          <w14:textFill>
            <w14:solidFill>
              <w14:schemeClr w14:val="tx1"/>
            </w14:solidFill>
          </w14:textFill>
        </w:rPr>
        <w:t>5.1 法定代表人证明书</w:t>
      </w:r>
      <w:bookmarkEnd w:id="24"/>
    </w:p>
    <w:p w14:paraId="5CC13C94">
      <w:pPr>
        <w:keepNext w:val="0"/>
        <w:keepLines w:val="0"/>
        <w:pageBreakBefore w:val="0"/>
        <w:widowControl w:val="0"/>
        <w:kinsoku/>
        <w:bidi w:val="0"/>
        <w:spacing w:line="360" w:lineRule="auto"/>
        <w:rPr>
          <w:rFonts w:hint="default" w:ascii="Times New Roman" w:hAnsi="Times New Roman" w:eastAsia="宋体" w:cs="Times New Roman"/>
          <w:b/>
          <w:color w:val="000000" w:themeColor="text1"/>
          <w:sz w:val="24"/>
          <w:szCs w:val="24"/>
          <w:highlight w:val="none"/>
          <w14:textFill>
            <w14:solidFill>
              <w14:schemeClr w14:val="tx1"/>
            </w14:solidFill>
          </w14:textFill>
        </w:rPr>
      </w:pPr>
    </w:p>
    <w:p w14:paraId="160416BA">
      <w:pPr>
        <w:keepNext w:val="0"/>
        <w:keepLines w:val="0"/>
        <w:pageBreakBefore w:val="0"/>
        <w:widowControl w:val="0"/>
        <w:kinsoku/>
        <w:bidi w:val="0"/>
        <w:spacing w:line="360" w:lineRule="auto"/>
        <w:rPr>
          <w:rFonts w:hint="default" w:ascii="Times New Roman" w:hAnsi="Times New Roman" w:eastAsia="宋体" w:cs="Times New Roman"/>
          <w:color w:val="000000" w:themeColor="text1"/>
          <w:sz w:val="24"/>
          <w:szCs w:val="24"/>
          <w:highlight w:val="none"/>
          <w:u w:val="singl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单位名称：</w:t>
      </w:r>
      <w:r>
        <w:rPr>
          <w:rFonts w:hint="default" w:ascii="Times New Roman" w:hAnsi="Times New Roman" w:eastAsia="宋体" w:cs="Times New Roman"/>
          <w:color w:val="000000" w:themeColor="text1"/>
          <w:sz w:val="24"/>
          <w:szCs w:val="24"/>
          <w:highlight w:val="none"/>
          <w:u w:val="single"/>
          <w14:textFill>
            <w14:solidFill>
              <w14:schemeClr w14:val="tx1"/>
            </w14:solidFill>
          </w14:textFill>
        </w:rPr>
        <w:t xml:space="preserve">                    </w:t>
      </w:r>
    </w:p>
    <w:p w14:paraId="4BA58C3C">
      <w:pPr>
        <w:keepNext w:val="0"/>
        <w:keepLines w:val="0"/>
        <w:pageBreakBefore w:val="0"/>
        <w:widowControl w:val="0"/>
        <w:kinsoku/>
        <w:bidi w:val="0"/>
        <w:spacing w:line="360" w:lineRule="auto"/>
        <w:rPr>
          <w:rFonts w:hint="default" w:ascii="Times New Roman" w:hAnsi="Times New Roman" w:eastAsia="宋体" w:cs="Times New Roman"/>
          <w:color w:val="000000" w:themeColor="text1"/>
          <w:sz w:val="24"/>
          <w:szCs w:val="24"/>
          <w:highlight w:val="none"/>
          <w:u w:val="singl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地址：</w:t>
      </w:r>
      <w:r>
        <w:rPr>
          <w:rFonts w:hint="default" w:ascii="Times New Roman" w:hAnsi="Times New Roman" w:eastAsia="宋体" w:cs="Times New Roman"/>
          <w:color w:val="000000" w:themeColor="text1"/>
          <w:sz w:val="24"/>
          <w:szCs w:val="24"/>
          <w:highlight w:val="none"/>
          <w:u w:val="single"/>
          <w14:textFill>
            <w14:solidFill>
              <w14:schemeClr w14:val="tx1"/>
            </w14:solidFill>
          </w14:textFill>
        </w:rPr>
        <w:t xml:space="preserve">                    </w:t>
      </w:r>
    </w:p>
    <w:p w14:paraId="6BBF2D20">
      <w:pPr>
        <w:keepNext w:val="0"/>
        <w:keepLines w:val="0"/>
        <w:pageBreakBefore w:val="0"/>
        <w:widowControl w:val="0"/>
        <w:kinsoku/>
        <w:bidi w:val="0"/>
        <w:spacing w:line="360" w:lineRule="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姓名：</w:t>
      </w:r>
      <w:r>
        <w:rPr>
          <w:rFonts w:hint="default" w:ascii="Times New Roman" w:hAnsi="Times New Roman" w:eastAsia="宋体" w:cs="Times New Roman"/>
          <w:color w:val="000000" w:themeColor="text1"/>
          <w:sz w:val="24"/>
          <w:szCs w:val="24"/>
          <w:highlight w:val="none"/>
          <w:u w:val="single"/>
          <w14:textFill>
            <w14:solidFill>
              <w14:schemeClr w14:val="tx1"/>
            </w14:solidFill>
          </w14:textFill>
        </w:rPr>
        <w:t xml:space="preserve">       </w:t>
      </w:r>
      <w:r>
        <w:rPr>
          <w:rFonts w:hint="default" w:ascii="Times New Roman" w:hAnsi="Times New Roman" w:eastAsia="宋体" w:cs="Times New Roman"/>
          <w:color w:val="000000" w:themeColor="text1"/>
          <w:sz w:val="24"/>
          <w:szCs w:val="24"/>
          <w:highlight w:val="none"/>
          <w14:textFill>
            <w14:solidFill>
              <w14:schemeClr w14:val="tx1"/>
            </w14:solidFill>
          </w14:textFill>
        </w:rPr>
        <w:t>，性别：</w:t>
      </w:r>
      <w:r>
        <w:rPr>
          <w:rFonts w:hint="default" w:ascii="Times New Roman" w:hAnsi="Times New Roman" w:eastAsia="宋体" w:cs="Times New Roman"/>
          <w:color w:val="000000" w:themeColor="text1"/>
          <w:sz w:val="24"/>
          <w:szCs w:val="24"/>
          <w:highlight w:val="none"/>
          <w:u w:val="single"/>
          <w14:textFill>
            <w14:solidFill>
              <w14:schemeClr w14:val="tx1"/>
            </w14:solidFill>
          </w14:textFill>
        </w:rPr>
        <w:t xml:space="preserve">     </w:t>
      </w:r>
      <w:r>
        <w:rPr>
          <w:rFonts w:hint="default" w:ascii="Times New Roman" w:hAnsi="Times New Roman" w:eastAsia="宋体" w:cs="Times New Roman"/>
          <w:color w:val="000000" w:themeColor="text1"/>
          <w:sz w:val="24"/>
          <w:szCs w:val="24"/>
          <w:highlight w:val="none"/>
          <w14:textFill>
            <w14:solidFill>
              <w14:schemeClr w14:val="tx1"/>
            </w14:solidFill>
          </w14:textFill>
        </w:rPr>
        <w:t>，年龄：</w:t>
      </w:r>
      <w:r>
        <w:rPr>
          <w:rFonts w:hint="default" w:ascii="Times New Roman" w:hAnsi="Times New Roman" w:eastAsia="宋体" w:cs="Times New Roman"/>
          <w:color w:val="000000" w:themeColor="text1"/>
          <w:sz w:val="24"/>
          <w:szCs w:val="24"/>
          <w:highlight w:val="none"/>
          <w:u w:val="single"/>
          <w14:textFill>
            <w14:solidFill>
              <w14:schemeClr w14:val="tx1"/>
            </w14:solidFill>
          </w14:textFill>
        </w:rPr>
        <w:t xml:space="preserve">      </w:t>
      </w:r>
      <w:r>
        <w:rPr>
          <w:rFonts w:hint="default" w:ascii="Times New Roman" w:hAnsi="Times New Roman" w:eastAsia="宋体" w:cs="Times New Roman"/>
          <w:color w:val="000000" w:themeColor="text1"/>
          <w:sz w:val="24"/>
          <w:szCs w:val="24"/>
          <w:highlight w:val="none"/>
          <w14:textFill>
            <w14:solidFill>
              <w14:schemeClr w14:val="tx1"/>
            </w14:solidFill>
          </w14:textFill>
        </w:rPr>
        <w:t>，职务：</w:t>
      </w:r>
      <w:r>
        <w:rPr>
          <w:rFonts w:hint="default" w:ascii="Times New Roman" w:hAnsi="Times New Roman" w:eastAsia="宋体" w:cs="Times New Roman"/>
          <w:color w:val="000000" w:themeColor="text1"/>
          <w:sz w:val="24"/>
          <w:szCs w:val="24"/>
          <w:highlight w:val="none"/>
          <w:u w:val="single"/>
          <w14:textFill>
            <w14:solidFill>
              <w14:schemeClr w14:val="tx1"/>
            </w14:solidFill>
          </w14:textFill>
        </w:rPr>
        <w:t xml:space="preserve">      </w:t>
      </w:r>
    </w:p>
    <w:p w14:paraId="1241F27E">
      <w:pPr>
        <w:keepNext w:val="0"/>
        <w:keepLines w:val="0"/>
        <w:pageBreakBefore w:val="0"/>
        <w:widowControl w:val="0"/>
        <w:kinsoku/>
        <w:bidi w:val="0"/>
        <w:spacing w:line="360" w:lineRule="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系</w:t>
      </w:r>
      <w:r>
        <w:rPr>
          <w:rFonts w:hint="default" w:ascii="Times New Roman" w:hAnsi="Times New Roman" w:eastAsia="宋体" w:cs="Times New Roman"/>
          <w:color w:val="000000" w:themeColor="text1"/>
          <w:sz w:val="24"/>
          <w:szCs w:val="24"/>
          <w:highlight w:val="none"/>
          <w:u w:val="single"/>
          <w14:textFill>
            <w14:solidFill>
              <w14:schemeClr w14:val="tx1"/>
            </w14:solidFill>
          </w14:textFill>
        </w:rPr>
        <w:t xml:space="preserve">      （单位名称）          </w:t>
      </w:r>
      <w:r>
        <w:rPr>
          <w:rFonts w:hint="default" w:ascii="Times New Roman" w:hAnsi="Times New Roman" w:eastAsia="宋体" w:cs="Times New Roman"/>
          <w:color w:val="000000" w:themeColor="text1"/>
          <w:sz w:val="24"/>
          <w:szCs w:val="24"/>
          <w:highlight w:val="none"/>
          <w14:textFill>
            <w14:solidFill>
              <w14:schemeClr w14:val="tx1"/>
            </w14:solidFill>
          </w14:textFill>
        </w:rPr>
        <w:t>的法定代表人。</w:t>
      </w:r>
    </w:p>
    <w:p w14:paraId="1DB583D4">
      <w:pPr>
        <w:keepNext w:val="0"/>
        <w:keepLines w:val="0"/>
        <w:pageBreakBefore w:val="0"/>
        <w:widowControl w:val="0"/>
        <w:kinsoku/>
        <w:bidi w:val="0"/>
        <w:spacing w:line="360" w:lineRule="auto"/>
        <w:rPr>
          <w:rFonts w:hint="default" w:ascii="Times New Roman" w:hAnsi="Times New Roman" w:eastAsia="宋体" w:cs="Times New Roman"/>
          <w:color w:val="000000" w:themeColor="text1"/>
          <w:sz w:val="24"/>
          <w:szCs w:val="24"/>
          <w:highlight w:val="none"/>
          <w14:textFill>
            <w14:solidFill>
              <w14:schemeClr w14:val="tx1"/>
            </w14:solidFill>
          </w14:textFill>
        </w:rPr>
      </w:pPr>
    </w:p>
    <w:p w14:paraId="066DB74E">
      <w:pPr>
        <w:pStyle w:val="2"/>
        <w:keepNext w:val="0"/>
        <w:keepLines w:val="0"/>
        <w:pageBreakBefore w:val="0"/>
        <w:widowControl w:val="0"/>
        <w:kinsoku/>
        <w:bidi w:val="0"/>
        <w:spacing w:line="360" w:lineRule="auto"/>
        <w:rPr>
          <w:rFonts w:hint="default" w:ascii="Times New Roman" w:hAnsi="Times New Roman" w:eastAsia="宋体" w:cs="Times New Roman"/>
          <w:color w:val="000000" w:themeColor="text1"/>
          <w:sz w:val="24"/>
          <w:szCs w:val="24"/>
          <w:highlight w:val="none"/>
          <w14:textFill>
            <w14:solidFill>
              <w14:schemeClr w14:val="tx1"/>
            </w14:solidFill>
          </w14:textFill>
        </w:rPr>
      </w:pPr>
    </w:p>
    <w:p w14:paraId="1E812CB2">
      <w:pPr>
        <w:pStyle w:val="2"/>
        <w:keepNext w:val="0"/>
        <w:keepLines w:val="0"/>
        <w:pageBreakBefore w:val="0"/>
        <w:widowControl w:val="0"/>
        <w:kinsoku/>
        <w:bidi w:val="0"/>
        <w:spacing w:line="360" w:lineRule="auto"/>
        <w:rPr>
          <w:rFonts w:hint="default" w:ascii="Times New Roman" w:hAnsi="Times New Roman" w:eastAsia="宋体" w:cs="Times New Roman"/>
          <w:color w:val="000000" w:themeColor="text1"/>
          <w:sz w:val="24"/>
          <w:szCs w:val="24"/>
          <w:highlight w:val="none"/>
          <w14:textFill>
            <w14:solidFill>
              <w14:schemeClr w14:val="tx1"/>
            </w14:solidFill>
          </w14:textFill>
        </w:rPr>
      </w:pPr>
    </w:p>
    <w:p w14:paraId="1DC20191">
      <w:pPr>
        <w:keepNext w:val="0"/>
        <w:keepLines w:val="0"/>
        <w:pageBreakBefore w:val="0"/>
        <w:widowControl w:val="0"/>
        <w:kinsoku/>
        <w:bidi w:val="0"/>
        <w:spacing w:line="360" w:lineRule="auto"/>
        <w:ind w:left="4200" w:leftChars="20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报价人：</w:t>
      </w:r>
      <w:r>
        <w:rPr>
          <w:rFonts w:hint="default" w:ascii="Times New Roman" w:hAnsi="Times New Roman" w:eastAsia="宋体" w:cs="Times New Roman"/>
          <w:color w:val="000000" w:themeColor="text1"/>
          <w:sz w:val="24"/>
          <w:szCs w:val="24"/>
          <w:highlight w:val="none"/>
          <w:u w:val="single"/>
          <w14:textFill>
            <w14:solidFill>
              <w14:schemeClr w14:val="tx1"/>
            </w14:solidFill>
          </w14:textFill>
        </w:rPr>
        <w:t xml:space="preserve">          </w:t>
      </w:r>
      <w:r>
        <w:rPr>
          <w:rFonts w:hint="default" w:ascii="Times New Roman" w:hAnsi="Times New Roman" w:eastAsia="宋体" w:cs="Times New Roman"/>
          <w:color w:val="000000" w:themeColor="text1"/>
          <w:sz w:val="24"/>
          <w:szCs w:val="24"/>
          <w:highlight w:val="none"/>
          <w14:textFill>
            <w14:solidFill>
              <w14:schemeClr w14:val="tx1"/>
            </w14:solidFill>
          </w14:textFill>
        </w:rPr>
        <w:t>（法人公章）</w:t>
      </w:r>
    </w:p>
    <w:p w14:paraId="5143832E">
      <w:pPr>
        <w:keepNext w:val="0"/>
        <w:keepLines w:val="0"/>
        <w:pageBreakBefore w:val="0"/>
        <w:widowControl w:val="0"/>
        <w:kinsoku/>
        <w:bidi w:val="0"/>
        <w:spacing w:line="360" w:lineRule="auto"/>
        <w:ind w:left="4200" w:leftChars="20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日期：</w:t>
      </w:r>
      <w:r>
        <w:rPr>
          <w:rFonts w:hint="default" w:ascii="Times New Roman" w:hAnsi="Times New Roman" w:eastAsia="宋体" w:cs="Times New Roman"/>
          <w:color w:val="000000" w:themeColor="text1"/>
          <w:sz w:val="24"/>
          <w:szCs w:val="24"/>
          <w:highlight w:val="none"/>
          <w:u w:val="single"/>
          <w14:textFill>
            <w14:solidFill>
              <w14:schemeClr w14:val="tx1"/>
            </w14:solidFill>
          </w14:textFill>
        </w:rPr>
        <w:t xml:space="preserve">     </w:t>
      </w:r>
      <w:r>
        <w:rPr>
          <w:rFonts w:hint="default" w:ascii="Times New Roman" w:hAnsi="Times New Roman" w:eastAsia="宋体" w:cs="Times New Roman"/>
          <w:color w:val="000000" w:themeColor="text1"/>
          <w:sz w:val="24"/>
          <w:szCs w:val="24"/>
          <w:highlight w:val="none"/>
          <w14:textFill>
            <w14:solidFill>
              <w14:schemeClr w14:val="tx1"/>
            </w14:solidFill>
          </w14:textFill>
        </w:rPr>
        <w:t>年</w:t>
      </w:r>
      <w:r>
        <w:rPr>
          <w:rFonts w:hint="default" w:ascii="Times New Roman" w:hAnsi="Times New Roman" w:eastAsia="宋体" w:cs="Times New Roman"/>
          <w:color w:val="000000" w:themeColor="text1"/>
          <w:sz w:val="24"/>
          <w:szCs w:val="24"/>
          <w:highlight w:val="none"/>
          <w:u w:val="single"/>
          <w14:textFill>
            <w14:solidFill>
              <w14:schemeClr w14:val="tx1"/>
            </w14:solidFill>
          </w14:textFill>
        </w:rPr>
        <w:t xml:space="preserve">    </w:t>
      </w:r>
      <w:r>
        <w:rPr>
          <w:rFonts w:hint="default" w:ascii="Times New Roman" w:hAnsi="Times New Roman" w:eastAsia="宋体" w:cs="Times New Roman"/>
          <w:color w:val="000000" w:themeColor="text1"/>
          <w:sz w:val="24"/>
          <w:szCs w:val="24"/>
          <w:highlight w:val="none"/>
          <w14:textFill>
            <w14:solidFill>
              <w14:schemeClr w14:val="tx1"/>
            </w14:solidFill>
          </w14:textFill>
        </w:rPr>
        <w:t>月</w:t>
      </w:r>
      <w:r>
        <w:rPr>
          <w:rFonts w:hint="default" w:ascii="Times New Roman" w:hAnsi="Times New Roman" w:eastAsia="宋体" w:cs="Times New Roman"/>
          <w:color w:val="000000" w:themeColor="text1"/>
          <w:sz w:val="24"/>
          <w:szCs w:val="24"/>
          <w:highlight w:val="none"/>
          <w:u w:val="single"/>
          <w14:textFill>
            <w14:solidFill>
              <w14:schemeClr w14:val="tx1"/>
            </w14:solidFill>
          </w14:textFill>
        </w:rPr>
        <w:t xml:space="preserve">     </w:t>
      </w:r>
      <w:r>
        <w:rPr>
          <w:rFonts w:hint="default" w:ascii="Times New Roman" w:hAnsi="Times New Roman" w:eastAsia="宋体" w:cs="Times New Roman"/>
          <w:color w:val="000000" w:themeColor="text1"/>
          <w:sz w:val="24"/>
          <w:szCs w:val="24"/>
          <w:highlight w:val="none"/>
          <w14:textFill>
            <w14:solidFill>
              <w14:schemeClr w14:val="tx1"/>
            </w14:solidFill>
          </w14:textFill>
        </w:rPr>
        <w:t>日</w:t>
      </w:r>
    </w:p>
    <w:p w14:paraId="76059E0B">
      <w:pPr>
        <w:keepNext w:val="0"/>
        <w:keepLines w:val="0"/>
        <w:pageBreakBefore w:val="0"/>
        <w:widowControl w:val="0"/>
        <w:kinsoku/>
        <w:bidi w:val="0"/>
        <w:spacing w:line="360" w:lineRule="auto"/>
        <w:rPr>
          <w:rFonts w:hint="default" w:ascii="Times New Roman" w:hAnsi="Times New Roman" w:eastAsia="宋体" w:cs="Times New Roman"/>
          <w:color w:val="000000" w:themeColor="text1"/>
          <w:sz w:val="24"/>
          <w:szCs w:val="24"/>
          <w:highlight w:val="none"/>
          <w14:textFill>
            <w14:solidFill>
              <w14:schemeClr w14:val="tx1"/>
            </w14:solidFill>
          </w14:textFill>
        </w:rPr>
      </w:pPr>
    </w:p>
    <w:p w14:paraId="06373CC5">
      <w:pPr>
        <w:keepNext w:val="0"/>
        <w:keepLines w:val="0"/>
        <w:pageBreakBefore w:val="0"/>
        <w:widowControl w:val="0"/>
        <w:kinsoku/>
        <w:bidi w:val="0"/>
        <w:snapToGrid w:val="0"/>
        <w:spacing w:line="360" w:lineRule="auto"/>
        <w:ind w:firstLine="576"/>
        <w:jc w:val="right"/>
        <w:rPr>
          <w:rFonts w:hint="default" w:ascii="Times New Roman" w:hAnsi="Times New Roman" w:eastAsia="宋体" w:cs="Times New Roman"/>
          <w:b/>
          <w:color w:val="000000" w:themeColor="text1"/>
          <w:sz w:val="24"/>
          <w:szCs w:val="24"/>
          <w:highlight w:val="none"/>
          <w14:textFill>
            <w14:solidFill>
              <w14:schemeClr w14:val="tx1"/>
            </w14:solidFill>
          </w14:textFill>
        </w:rPr>
      </w:pPr>
    </w:p>
    <w:p w14:paraId="39E6EA35">
      <w:pPr>
        <w:keepNext w:val="0"/>
        <w:keepLines w:val="0"/>
        <w:pageBreakBefore w:val="0"/>
        <w:widowControl w:val="0"/>
        <w:kinsoku/>
        <w:bidi w:val="0"/>
        <w:spacing w:line="440" w:lineRule="exact"/>
        <w:rPr>
          <w:rFonts w:hint="default" w:ascii="Times New Roman" w:hAnsi="Times New Roman" w:eastAsia="宋体" w:cs="Times New Roman"/>
          <w:b/>
          <w:color w:val="000000" w:themeColor="text1"/>
          <w:sz w:val="24"/>
          <w:szCs w:val="24"/>
          <w:highlight w:val="none"/>
          <w14:textFill>
            <w14:solidFill>
              <w14:schemeClr w14:val="tx1"/>
            </w14:solidFill>
          </w14:textFill>
        </w:rPr>
      </w:pPr>
      <w:r>
        <w:rPr>
          <w:rFonts w:hint="default" w:ascii="Times New Roman" w:hAnsi="Times New Roman" w:eastAsia="宋体" w:cs="Times New Roman"/>
          <w:b/>
          <w:color w:val="000000" w:themeColor="text1"/>
          <w:sz w:val="24"/>
          <w:szCs w:val="24"/>
          <w:highlight w:val="none"/>
          <w14:textFill>
            <w14:solidFill>
              <w14:schemeClr w14:val="tx1"/>
            </w14:solidFill>
          </w14:textFill>
        </w:rPr>
        <w:t>附法定代表人身份证复印件：</w:t>
      </w:r>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61"/>
        <w:gridCol w:w="4587"/>
      </w:tblGrid>
      <w:tr w14:paraId="7C9B1D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8" w:hRule="atLeast"/>
        </w:trPr>
        <w:tc>
          <w:tcPr>
            <w:tcW w:w="4461" w:type="dxa"/>
            <w:noWrap w:val="0"/>
            <w:vAlign w:val="top"/>
          </w:tcPr>
          <w:p w14:paraId="037C27DF">
            <w:pPr>
              <w:keepNext w:val="0"/>
              <w:keepLines w:val="0"/>
              <w:pageBreakBefore w:val="0"/>
              <w:widowControl w:val="0"/>
              <w:kinsoku/>
              <w:bidi w:val="0"/>
              <w:spacing w:line="360" w:lineRule="auto"/>
              <w:rPr>
                <w:rFonts w:hint="default" w:ascii="Times New Roman" w:hAnsi="Times New Roman" w:eastAsia="宋体" w:cs="Times New Roman"/>
                <w:color w:val="000000" w:themeColor="text1"/>
                <w:sz w:val="24"/>
                <w:szCs w:val="24"/>
                <w:highlight w:val="none"/>
                <w14:textFill>
                  <w14:solidFill>
                    <w14:schemeClr w14:val="tx1"/>
                  </w14:solidFill>
                </w14:textFill>
              </w:rPr>
            </w:pPr>
          </w:p>
        </w:tc>
        <w:tc>
          <w:tcPr>
            <w:tcW w:w="4587" w:type="dxa"/>
            <w:noWrap w:val="0"/>
            <w:vAlign w:val="top"/>
          </w:tcPr>
          <w:p w14:paraId="1FF75989">
            <w:pPr>
              <w:keepNext w:val="0"/>
              <w:keepLines w:val="0"/>
              <w:pageBreakBefore w:val="0"/>
              <w:widowControl w:val="0"/>
              <w:kinsoku/>
              <w:bidi w:val="0"/>
              <w:spacing w:line="360" w:lineRule="auto"/>
              <w:rPr>
                <w:rFonts w:hint="default" w:ascii="Times New Roman" w:hAnsi="Times New Roman" w:eastAsia="宋体" w:cs="Times New Roman"/>
                <w:color w:val="000000" w:themeColor="text1"/>
                <w:sz w:val="24"/>
                <w:szCs w:val="24"/>
                <w:highlight w:val="none"/>
                <w14:textFill>
                  <w14:solidFill>
                    <w14:schemeClr w14:val="tx1"/>
                  </w14:solidFill>
                </w14:textFill>
              </w:rPr>
            </w:pPr>
          </w:p>
        </w:tc>
      </w:tr>
    </w:tbl>
    <w:p w14:paraId="2B4B0C88">
      <w:pPr>
        <w:pStyle w:val="61"/>
        <w:keepNext w:val="0"/>
        <w:keepLines w:val="0"/>
        <w:pageBreakBefore w:val="0"/>
        <w:widowControl w:val="0"/>
        <w:kinsoku/>
        <w:bidi w:val="0"/>
        <w:spacing w:line="360" w:lineRule="auto"/>
        <w:jc w:val="center"/>
        <w:rPr>
          <w:rFonts w:hint="default" w:ascii="Times New Roman" w:hAnsi="Times New Roman" w:eastAsia="宋体" w:cs="Times New Roman"/>
          <w:b/>
          <w:bCs/>
          <w:color w:val="000000" w:themeColor="text1"/>
          <w:sz w:val="28"/>
          <w:szCs w:val="28"/>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br w:type="page"/>
      </w:r>
      <w:bookmarkStart w:id="25" w:name="_Toc99380421"/>
      <w:r>
        <w:rPr>
          <w:rFonts w:hint="default" w:ascii="Times New Roman" w:hAnsi="Times New Roman" w:eastAsia="宋体" w:cs="Times New Roman"/>
          <w:b/>
          <w:bCs/>
          <w:color w:val="000000" w:themeColor="text1"/>
          <w:sz w:val="28"/>
          <w:szCs w:val="28"/>
          <w:highlight w:val="none"/>
          <w14:textFill>
            <w14:solidFill>
              <w14:schemeClr w14:val="tx1"/>
            </w14:solidFill>
          </w14:textFill>
        </w:rPr>
        <w:t>5.2 法人授权委托书</w:t>
      </w:r>
      <w:bookmarkEnd w:id="25"/>
    </w:p>
    <w:p w14:paraId="695BD4C3">
      <w:pPr>
        <w:keepNext w:val="0"/>
        <w:keepLines w:val="0"/>
        <w:pageBreakBefore w:val="0"/>
        <w:widowControl w:val="0"/>
        <w:kinsoku/>
        <w:topLinePunct/>
        <w:bidi w:val="0"/>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p>
    <w:p w14:paraId="5521C7CF">
      <w:pPr>
        <w:keepNext w:val="0"/>
        <w:keepLines w:val="0"/>
        <w:pageBreakBefore w:val="0"/>
        <w:widowControl w:val="0"/>
        <w:kinsoku/>
        <w:bidi w:val="0"/>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本人</w:t>
      </w:r>
      <w:r>
        <w:rPr>
          <w:rFonts w:hint="default" w:ascii="Times New Roman" w:hAnsi="Times New Roman" w:eastAsia="宋体" w:cs="Times New Roman"/>
          <w:color w:val="000000" w:themeColor="text1"/>
          <w:sz w:val="24"/>
          <w:szCs w:val="24"/>
          <w:highlight w:val="none"/>
          <w:u w:val="single"/>
          <w14:textFill>
            <w14:solidFill>
              <w14:schemeClr w14:val="tx1"/>
            </w14:solidFill>
          </w14:textFill>
        </w:rPr>
        <w:t xml:space="preserve">      </w:t>
      </w:r>
      <w:r>
        <w:rPr>
          <w:rFonts w:hint="default" w:ascii="Times New Roman" w:hAnsi="Times New Roman" w:eastAsia="宋体" w:cs="Times New Roman"/>
          <w:color w:val="000000" w:themeColor="text1"/>
          <w:sz w:val="24"/>
          <w:szCs w:val="24"/>
          <w:highlight w:val="none"/>
          <w14:textFill>
            <w14:solidFill>
              <w14:schemeClr w14:val="tx1"/>
            </w14:solidFill>
          </w14:textFill>
        </w:rPr>
        <w:t>（姓名）系</w:t>
      </w:r>
      <w:r>
        <w:rPr>
          <w:rFonts w:hint="default" w:ascii="Times New Roman" w:hAnsi="Times New Roman" w:eastAsia="宋体" w:cs="Times New Roman"/>
          <w:color w:val="000000" w:themeColor="text1"/>
          <w:sz w:val="24"/>
          <w:szCs w:val="24"/>
          <w:highlight w:val="none"/>
          <w:u w:val="single"/>
          <w14:textFill>
            <w14:solidFill>
              <w14:schemeClr w14:val="tx1"/>
            </w14:solidFill>
          </w14:textFill>
        </w:rPr>
        <w:t xml:space="preserve">      （单位名称）          </w:t>
      </w:r>
      <w:r>
        <w:rPr>
          <w:rFonts w:hint="default" w:ascii="Times New Roman" w:hAnsi="Times New Roman" w:eastAsia="宋体" w:cs="Times New Roman"/>
          <w:color w:val="000000" w:themeColor="text1"/>
          <w:sz w:val="24"/>
          <w:szCs w:val="24"/>
          <w:highlight w:val="none"/>
          <w14:textFill>
            <w14:solidFill>
              <w14:schemeClr w14:val="tx1"/>
            </w14:solidFill>
          </w14:textFill>
        </w:rPr>
        <w:t>的法定代表人，现委托</w:t>
      </w:r>
      <w:r>
        <w:rPr>
          <w:rFonts w:hint="default" w:ascii="Times New Roman" w:hAnsi="Times New Roman" w:eastAsia="宋体" w:cs="Times New Roman"/>
          <w:color w:val="000000" w:themeColor="text1"/>
          <w:sz w:val="24"/>
          <w:szCs w:val="24"/>
          <w:highlight w:val="none"/>
          <w:u w:val="single"/>
          <w14:textFill>
            <w14:solidFill>
              <w14:schemeClr w14:val="tx1"/>
            </w14:solidFill>
          </w14:textFill>
        </w:rPr>
        <w:t xml:space="preserve">    </w:t>
      </w:r>
      <w:r>
        <w:rPr>
          <w:rFonts w:hint="default" w:ascii="Times New Roman" w:hAnsi="Times New Roman" w:eastAsia="宋体" w:cs="Times New Roman"/>
          <w:color w:val="000000" w:themeColor="text1"/>
          <w:sz w:val="24"/>
          <w:szCs w:val="24"/>
          <w:highlight w:val="none"/>
          <w14:textFill>
            <w14:solidFill>
              <w14:schemeClr w14:val="tx1"/>
            </w14:solidFill>
          </w14:textFill>
        </w:rPr>
        <w:t>（姓名）为我方代理人。代理人根据授权，以我方名义签署、澄清、说明、补正、递交、撤回、修改</w:t>
      </w:r>
      <w:r>
        <w:rPr>
          <w:rFonts w:hint="default" w:ascii="Times New Roman" w:hAnsi="Times New Roman" w:eastAsia="宋体" w:cs="Times New Roman"/>
          <w:color w:val="000000" w:themeColor="text1"/>
          <w:sz w:val="24"/>
          <w:szCs w:val="24"/>
          <w:highlight w:val="none"/>
          <w:u w:val="single"/>
          <w:lang w:eastAsia="zh-CN"/>
          <w14:textFill>
            <w14:solidFill>
              <w14:schemeClr w14:val="tx1"/>
            </w14:solidFill>
          </w14:textFill>
        </w:rPr>
        <w:t xml:space="preserve">西湾和苑人行天桥管线迁改设计施工总承包 </w:t>
      </w:r>
      <w:r>
        <w:rPr>
          <w:rFonts w:hint="default" w:ascii="Times New Roman" w:hAnsi="Times New Roman" w:eastAsia="宋体" w:cs="Times New Roman"/>
          <w:color w:val="000000" w:themeColor="text1"/>
          <w:sz w:val="24"/>
          <w:szCs w:val="24"/>
          <w:highlight w:val="none"/>
          <w14:textFill>
            <w14:solidFill>
              <w14:schemeClr w14:val="tx1"/>
            </w14:solidFill>
          </w14:textFill>
        </w:rPr>
        <w:t>报价文件等有关事宜，其法律后果由我方承担。</w:t>
      </w:r>
    </w:p>
    <w:p w14:paraId="3C6E7AED">
      <w:pPr>
        <w:keepNext w:val="0"/>
        <w:keepLines w:val="0"/>
        <w:pageBreakBefore w:val="0"/>
        <w:widowControl w:val="0"/>
        <w:kinsoku/>
        <w:bidi w:val="0"/>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委托期限：</w:t>
      </w:r>
      <w:r>
        <w:rPr>
          <w:rFonts w:hint="default" w:ascii="Times New Roman" w:hAnsi="Times New Roman" w:eastAsia="宋体" w:cs="Times New Roman"/>
          <w:color w:val="000000" w:themeColor="text1"/>
          <w:sz w:val="24"/>
          <w:szCs w:val="24"/>
          <w:highlight w:val="none"/>
          <w:u w:val="single"/>
          <w14:textFill>
            <w14:solidFill>
              <w14:schemeClr w14:val="tx1"/>
            </w14:solidFill>
          </w14:textFill>
        </w:rPr>
        <w:t xml:space="preserve">                      </w:t>
      </w:r>
      <w:r>
        <w:rPr>
          <w:rFonts w:hint="default" w:ascii="Times New Roman" w:hAnsi="Times New Roman" w:eastAsia="宋体" w:cs="Times New Roman"/>
          <w:color w:val="000000" w:themeColor="text1"/>
          <w:sz w:val="24"/>
          <w:szCs w:val="24"/>
          <w:highlight w:val="none"/>
          <w14:textFill>
            <w14:solidFill>
              <w14:schemeClr w14:val="tx1"/>
            </w14:solidFill>
          </w14:textFill>
        </w:rPr>
        <w:t>。</w:t>
      </w:r>
    </w:p>
    <w:p w14:paraId="30D14DE6">
      <w:pPr>
        <w:keepNext w:val="0"/>
        <w:keepLines w:val="0"/>
        <w:pageBreakBefore w:val="0"/>
        <w:widowControl w:val="0"/>
        <w:kinsoku/>
        <w:bidi w:val="0"/>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代理人无转委托权。</w:t>
      </w:r>
    </w:p>
    <w:p w14:paraId="46BFBD23">
      <w:pPr>
        <w:keepNext w:val="0"/>
        <w:keepLines w:val="0"/>
        <w:pageBreakBefore w:val="0"/>
        <w:widowControl w:val="0"/>
        <w:kinsoku/>
        <w:bidi w:val="0"/>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附：代理人身份证明</w:t>
      </w:r>
    </w:p>
    <w:p w14:paraId="37CAFACA">
      <w:pPr>
        <w:keepNext w:val="0"/>
        <w:keepLines w:val="0"/>
        <w:pageBreakBefore w:val="0"/>
        <w:widowControl w:val="0"/>
        <w:kinsoku/>
        <w:bidi w:val="0"/>
        <w:spacing w:line="360" w:lineRule="auto"/>
        <w:ind w:firstLine="3840" w:firstLineChars="1600"/>
        <w:rPr>
          <w:rFonts w:hint="default" w:ascii="Times New Roman" w:hAnsi="Times New Roman" w:eastAsia="宋体" w:cs="Times New Roman"/>
          <w:color w:val="000000" w:themeColor="text1"/>
          <w:sz w:val="24"/>
          <w:szCs w:val="24"/>
          <w:highlight w:val="none"/>
          <w14:textFill>
            <w14:solidFill>
              <w14:schemeClr w14:val="tx1"/>
            </w14:solidFill>
          </w14:textFill>
        </w:rPr>
      </w:pPr>
    </w:p>
    <w:p w14:paraId="0454EAC5">
      <w:pPr>
        <w:keepNext w:val="0"/>
        <w:keepLines w:val="0"/>
        <w:pageBreakBefore w:val="0"/>
        <w:widowControl w:val="0"/>
        <w:kinsoku/>
        <w:bidi w:val="0"/>
        <w:spacing w:line="360" w:lineRule="auto"/>
        <w:ind w:firstLine="3840" w:firstLineChars="16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报价人：</w:t>
      </w:r>
      <w:r>
        <w:rPr>
          <w:rFonts w:hint="default" w:ascii="Times New Roman" w:hAnsi="Times New Roman" w:eastAsia="宋体" w:cs="Times New Roman"/>
          <w:color w:val="000000" w:themeColor="text1"/>
          <w:sz w:val="24"/>
          <w:szCs w:val="24"/>
          <w:highlight w:val="none"/>
          <w:u w:val="single"/>
          <w14:textFill>
            <w14:solidFill>
              <w14:schemeClr w14:val="tx1"/>
            </w14:solidFill>
          </w14:textFill>
        </w:rPr>
        <w:t xml:space="preserve">                  </w:t>
      </w:r>
      <w:r>
        <w:rPr>
          <w:rFonts w:hint="default" w:ascii="Times New Roman" w:hAnsi="Times New Roman" w:eastAsia="宋体" w:cs="Times New Roman"/>
          <w:color w:val="000000" w:themeColor="text1"/>
          <w:sz w:val="24"/>
          <w:szCs w:val="24"/>
          <w:highlight w:val="none"/>
          <w14:textFill>
            <w14:solidFill>
              <w14:schemeClr w14:val="tx1"/>
            </w14:solidFill>
          </w14:textFill>
        </w:rPr>
        <w:t>（法人公章）</w:t>
      </w:r>
    </w:p>
    <w:p w14:paraId="08E44476">
      <w:pPr>
        <w:keepNext w:val="0"/>
        <w:keepLines w:val="0"/>
        <w:pageBreakBefore w:val="0"/>
        <w:widowControl w:val="0"/>
        <w:kinsoku/>
        <w:bidi w:val="0"/>
        <w:spacing w:line="360" w:lineRule="auto"/>
        <w:ind w:firstLine="3840" w:firstLineChars="16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法定代表人：</w:t>
      </w:r>
      <w:r>
        <w:rPr>
          <w:rFonts w:hint="default" w:ascii="Times New Roman" w:hAnsi="Times New Roman" w:eastAsia="宋体" w:cs="Times New Roman"/>
          <w:color w:val="000000" w:themeColor="text1"/>
          <w:sz w:val="24"/>
          <w:szCs w:val="24"/>
          <w:highlight w:val="none"/>
          <w:u w:val="single"/>
          <w14:textFill>
            <w14:solidFill>
              <w14:schemeClr w14:val="tx1"/>
            </w14:solidFill>
          </w14:textFill>
        </w:rPr>
        <w:t xml:space="preserve">                 </w:t>
      </w:r>
      <w:r>
        <w:rPr>
          <w:rFonts w:hint="default" w:ascii="Times New Roman" w:hAnsi="Times New Roman" w:eastAsia="宋体" w:cs="Times New Roman"/>
          <w:color w:val="000000" w:themeColor="text1"/>
          <w:sz w:val="24"/>
          <w:szCs w:val="24"/>
          <w:highlight w:val="none"/>
          <w14:textFill>
            <w14:solidFill>
              <w14:schemeClr w14:val="tx1"/>
            </w14:solidFill>
          </w14:textFill>
        </w:rPr>
        <w:t>（签字或盖章）</w:t>
      </w:r>
    </w:p>
    <w:p w14:paraId="70D1D4CA">
      <w:pPr>
        <w:keepNext w:val="0"/>
        <w:keepLines w:val="0"/>
        <w:pageBreakBefore w:val="0"/>
        <w:widowControl w:val="0"/>
        <w:kinsoku/>
        <w:bidi w:val="0"/>
        <w:spacing w:line="360" w:lineRule="auto"/>
        <w:ind w:firstLine="3840" w:firstLineChars="16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委托代理人：</w:t>
      </w:r>
      <w:r>
        <w:rPr>
          <w:rFonts w:hint="default" w:ascii="Times New Roman" w:hAnsi="Times New Roman" w:eastAsia="宋体" w:cs="Times New Roman"/>
          <w:color w:val="000000" w:themeColor="text1"/>
          <w:sz w:val="24"/>
          <w:szCs w:val="24"/>
          <w:highlight w:val="none"/>
          <w:u w:val="single"/>
          <w14:textFill>
            <w14:solidFill>
              <w14:schemeClr w14:val="tx1"/>
            </w14:solidFill>
          </w14:textFill>
        </w:rPr>
        <w:t xml:space="preserve">                </w:t>
      </w:r>
      <w:r>
        <w:rPr>
          <w:rFonts w:hint="default" w:ascii="Times New Roman" w:hAnsi="Times New Roman" w:eastAsia="宋体" w:cs="Times New Roman"/>
          <w:color w:val="000000" w:themeColor="text1"/>
          <w:sz w:val="24"/>
          <w:szCs w:val="24"/>
          <w:highlight w:val="none"/>
          <w14:textFill>
            <w14:solidFill>
              <w14:schemeClr w14:val="tx1"/>
            </w14:solidFill>
          </w14:textFill>
        </w:rPr>
        <w:t xml:space="preserve">（签字） </w:t>
      </w:r>
    </w:p>
    <w:p w14:paraId="321E5E92">
      <w:pPr>
        <w:keepNext w:val="0"/>
        <w:keepLines w:val="0"/>
        <w:pageBreakBefore w:val="0"/>
        <w:widowControl w:val="0"/>
        <w:kinsoku/>
        <w:bidi w:val="0"/>
        <w:spacing w:line="360" w:lineRule="auto"/>
        <w:ind w:left="3420" w:firstLine="42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日期：</w:t>
      </w:r>
      <w:r>
        <w:rPr>
          <w:rFonts w:hint="default" w:ascii="Times New Roman" w:hAnsi="Times New Roman" w:eastAsia="宋体" w:cs="Times New Roman"/>
          <w:color w:val="000000" w:themeColor="text1"/>
          <w:sz w:val="24"/>
          <w:szCs w:val="24"/>
          <w:highlight w:val="none"/>
          <w:u w:val="single"/>
          <w14:textFill>
            <w14:solidFill>
              <w14:schemeClr w14:val="tx1"/>
            </w14:solidFill>
          </w14:textFill>
        </w:rPr>
        <w:t xml:space="preserve">     </w:t>
      </w:r>
      <w:r>
        <w:rPr>
          <w:rFonts w:hint="default" w:ascii="Times New Roman" w:hAnsi="Times New Roman" w:eastAsia="宋体" w:cs="Times New Roman"/>
          <w:color w:val="000000" w:themeColor="text1"/>
          <w:sz w:val="24"/>
          <w:szCs w:val="24"/>
          <w:highlight w:val="none"/>
          <w14:textFill>
            <w14:solidFill>
              <w14:schemeClr w14:val="tx1"/>
            </w14:solidFill>
          </w14:textFill>
        </w:rPr>
        <w:t>年</w:t>
      </w:r>
      <w:r>
        <w:rPr>
          <w:rFonts w:hint="default" w:ascii="Times New Roman" w:hAnsi="Times New Roman" w:eastAsia="宋体" w:cs="Times New Roman"/>
          <w:color w:val="000000" w:themeColor="text1"/>
          <w:sz w:val="24"/>
          <w:szCs w:val="24"/>
          <w:highlight w:val="none"/>
          <w:u w:val="single"/>
          <w14:textFill>
            <w14:solidFill>
              <w14:schemeClr w14:val="tx1"/>
            </w14:solidFill>
          </w14:textFill>
        </w:rPr>
        <w:t xml:space="preserve">    </w:t>
      </w:r>
      <w:r>
        <w:rPr>
          <w:rFonts w:hint="default" w:ascii="Times New Roman" w:hAnsi="Times New Roman" w:eastAsia="宋体" w:cs="Times New Roman"/>
          <w:color w:val="000000" w:themeColor="text1"/>
          <w:sz w:val="24"/>
          <w:szCs w:val="24"/>
          <w:highlight w:val="none"/>
          <w14:textFill>
            <w14:solidFill>
              <w14:schemeClr w14:val="tx1"/>
            </w14:solidFill>
          </w14:textFill>
        </w:rPr>
        <w:t>月</w:t>
      </w:r>
      <w:r>
        <w:rPr>
          <w:rFonts w:hint="default" w:ascii="Times New Roman" w:hAnsi="Times New Roman" w:eastAsia="宋体" w:cs="Times New Roman"/>
          <w:color w:val="000000" w:themeColor="text1"/>
          <w:sz w:val="24"/>
          <w:szCs w:val="24"/>
          <w:highlight w:val="none"/>
          <w:u w:val="single"/>
          <w14:textFill>
            <w14:solidFill>
              <w14:schemeClr w14:val="tx1"/>
            </w14:solidFill>
          </w14:textFill>
        </w:rPr>
        <w:t xml:space="preserve">     </w:t>
      </w:r>
      <w:r>
        <w:rPr>
          <w:rFonts w:hint="default" w:ascii="Times New Roman" w:hAnsi="Times New Roman" w:eastAsia="宋体" w:cs="Times New Roman"/>
          <w:color w:val="000000" w:themeColor="text1"/>
          <w:sz w:val="24"/>
          <w:szCs w:val="24"/>
          <w:highlight w:val="none"/>
          <w14:textFill>
            <w14:solidFill>
              <w14:schemeClr w14:val="tx1"/>
            </w14:solidFill>
          </w14:textFill>
        </w:rPr>
        <w:t>日</w:t>
      </w:r>
    </w:p>
    <w:p w14:paraId="4D6BB92F">
      <w:pPr>
        <w:keepNext w:val="0"/>
        <w:keepLines w:val="0"/>
        <w:pageBreakBefore w:val="0"/>
        <w:widowControl w:val="0"/>
        <w:kinsoku/>
        <w:bidi w:val="0"/>
        <w:spacing w:line="360" w:lineRule="auto"/>
        <w:ind w:firstLine="3840" w:firstLineChars="1600"/>
        <w:rPr>
          <w:rFonts w:hint="default" w:ascii="Times New Roman" w:hAnsi="Times New Roman" w:eastAsia="宋体" w:cs="Times New Roman"/>
          <w:color w:val="000000" w:themeColor="text1"/>
          <w:sz w:val="24"/>
          <w:szCs w:val="24"/>
          <w:highlight w:val="none"/>
          <w:u w:val="singl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联系电话：</w:t>
      </w:r>
      <w:r>
        <w:rPr>
          <w:rFonts w:hint="default" w:ascii="Times New Roman" w:hAnsi="Times New Roman" w:eastAsia="宋体" w:cs="Times New Roman"/>
          <w:color w:val="000000" w:themeColor="text1"/>
          <w:sz w:val="24"/>
          <w:szCs w:val="24"/>
          <w:highlight w:val="none"/>
          <w:u w:val="single"/>
          <w14:textFill>
            <w14:solidFill>
              <w14:schemeClr w14:val="tx1"/>
            </w14:solidFill>
          </w14:textFill>
        </w:rPr>
        <w:t xml:space="preserve">                </w:t>
      </w:r>
    </w:p>
    <w:p w14:paraId="1E4B1DBD">
      <w:pPr>
        <w:keepNext w:val="0"/>
        <w:keepLines w:val="0"/>
        <w:pageBreakBefore w:val="0"/>
        <w:widowControl w:val="0"/>
        <w:kinsoku/>
        <w:bidi w:val="0"/>
        <w:spacing w:after="156" w:afterLines="50" w:line="360" w:lineRule="auto"/>
        <w:rPr>
          <w:rFonts w:hint="default" w:ascii="Times New Roman" w:hAnsi="Times New Roman" w:eastAsia="宋体" w:cs="Times New Roman"/>
          <w:color w:val="000000" w:themeColor="text1"/>
          <w:sz w:val="24"/>
          <w:szCs w:val="24"/>
          <w:highlight w:val="none"/>
          <w14:textFill>
            <w14:solidFill>
              <w14:schemeClr w14:val="tx1"/>
            </w14:solidFill>
          </w14:textFill>
        </w:rPr>
      </w:pPr>
    </w:p>
    <w:p w14:paraId="6A92DDA8">
      <w:pPr>
        <w:keepNext w:val="0"/>
        <w:keepLines w:val="0"/>
        <w:pageBreakBefore w:val="0"/>
        <w:widowControl w:val="0"/>
        <w:kinsoku/>
        <w:bidi w:val="0"/>
        <w:spacing w:line="360" w:lineRule="auto"/>
        <w:rPr>
          <w:rFonts w:hint="default" w:ascii="Times New Roman" w:hAnsi="Times New Roman" w:eastAsia="宋体" w:cs="Times New Roman"/>
          <w:b/>
          <w:color w:val="000000" w:themeColor="text1"/>
          <w:sz w:val="24"/>
          <w:szCs w:val="24"/>
          <w:highlight w:val="none"/>
          <w14:textFill>
            <w14:solidFill>
              <w14:schemeClr w14:val="tx1"/>
            </w14:solidFill>
          </w14:textFill>
        </w:rPr>
      </w:pPr>
      <w:r>
        <w:rPr>
          <w:rFonts w:hint="default" w:ascii="Times New Roman" w:hAnsi="Times New Roman" w:eastAsia="宋体" w:cs="Times New Roman"/>
          <w:b/>
          <w:color w:val="000000" w:themeColor="text1"/>
          <w:sz w:val="24"/>
          <w:szCs w:val="24"/>
          <w:highlight w:val="none"/>
          <w14:textFill>
            <w14:solidFill>
              <w14:schemeClr w14:val="tx1"/>
            </w14:solidFill>
          </w14:textFill>
        </w:rPr>
        <w:t>附委托代理人身份证复印件：</w:t>
      </w:r>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94"/>
        <w:gridCol w:w="4662"/>
      </w:tblGrid>
      <w:tr w14:paraId="2C6A37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7" w:hRule="atLeast"/>
        </w:trPr>
        <w:tc>
          <w:tcPr>
            <w:tcW w:w="4394" w:type="dxa"/>
            <w:noWrap w:val="0"/>
            <w:vAlign w:val="top"/>
          </w:tcPr>
          <w:p w14:paraId="079510C4">
            <w:pPr>
              <w:keepNext w:val="0"/>
              <w:keepLines w:val="0"/>
              <w:pageBreakBefore w:val="0"/>
              <w:widowControl w:val="0"/>
              <w:kinsoku/>
              <w:bidi w:val="0"/>
              <w:rPr>
                <w:rFonts w:hint="default" w:ascii="Times New Roman" w:hAnsi="Times New Roman" w:eastAsia="宋体" w:cs="Times New Roman"/>
                <w:color w:val="000000" w:themeColor="text1"/>
                <w:szCs w:val="21"/>
                <w:highlight w:val="none"/>
                <w14:textFill>
                  <w14:solidFill>
                    <w14:schemeClr w14:val="tx1"/>
                  </w14:solidFill>
                </w14:textFill>
              </w:rPr>
            </w:pPr>
          </w:p>
        </w:tc>
        <w:tc>
          <w:tcPr>
            <w:tcW w:w="4662" w:type="dxa"/>
            <w:noWrap w:val="0"/>
            <w:vAlign w:val="top"/>
          </w:tcPr>
          <w:p w14:paraId="55E6D676">
            <w:pPr>
              <w:keepNext w:val="0"/>
              <w:keepLines w:val="0"/>
              <w:pageBreakBefore w:val="0"/>
              <w:widowControl w:val="0"/>
              <w:kinsoku/>
              <w:bidi w:val="0"/>
              <w:rPr>
                <w:rFonts w:hint="default" w:ascii="Times New Roman" w:hAnsi="Times New Roman" w:eastAsia="宋体" w:cs="Times New Roman"/>
                <w:color w:val="000000" w:themeColor="text1"/>
                <w:szCs w:val="21"/>
                <w:highlight w:val="none"/>
                <w14:textFill>
                  <w14:solidFill>
                    <w14:schemeClr w14:val="tx1"/>
                  </w14:solidFill>
                </w14:textFill>
              </w:rPr>
            </w:pPr>
          </w:p>
        </w:tc>
      </w:tr>
    </w:tbl>
    <w:p w14:paraId="3BCF20B9">
      <w:pPr>
        <w:pStyle w:val="15"/>
        <w:keepNext w:val="0"/>
        <w:keepLines w:val="0"/>
        <w:pageBreakBefore w:val="0"/>
        <w:widowControl w:val="0"/>
        <w:kinsoku/>
        <w:bidi w:val="0"/>
        <w:adjustRightInd w:val="0"/>
        <w:snapToGrid w:val="0"/>
        <w:spacing w:line="360" w:lineRule="auto"/>
        <w:jc w:val="center"/>
        <w:rPr>
          <w:rFonts w:hint="default" w:ascii="Times New Roman" w:hAnsi="Times New Roman" w:eastAsia="宋体" w:cs="Times New Roman"/>
          <w:b/>
          <w:bCs/>
          <w:color w:val="000000" w:themeColor="text1"/>
          <w:sz w:val="24"/>
          <w:szCs w:val="24"/>
          <w:highlight w:val="none"/>
          <w14:textFill>
            <w14:solidFill>
              <w14:schemeClr w14:val="tx1"/>
            </w14:solidFill>
          </w14:textFill>
        </w:rPr>
        <w:sectPr>
          <w:headerReference r:id="rId12" w:type="default"/>
          <w:footerReference r:id="rId13" w:type="default"/>
          <w:pgSz w:w="11907" w:h="16840"/>
          <w:pgMar w:top="1440" w:right="1797" w:bottom="1440" w:left="1797" w:header="851" w:footer="992" w:gutter="0"/>
          <w:pgNumType w:fmt="decimal"/>
          <w:cols w:space="720" w:num="1"/>
          <w:docGrid w:type="lines" w:linePitch="312" w:charSpace="0"/>
        </w:sectPr>
      </w:pPr>
    </w:p>
    <w:p w14:paraId="54E2B3A0">
      <w:pPr>
        <w:spacing w:line="360" w:lineRule="auto"/>
        <w:jc w:val="left"/>
        <w:rPr>
          <w:rFonts w:hint="default" w:ascii="Times New Roman" w:hAnsi="Times New Roman" w:eastAsia="宋体" w:cs="Times New Roman"/>
          <w:caps w:val="0"/>
          <w:color w:val="000000" w:themeColor="text1"/>
          <w:sz w:val="24"/>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 w:val="24"/>
          <w:highlight w:val="none"/>
          <w:lang w:val="en-US" w:eastAsia="zh-CN"/>
          <w14:textFill>
            <w14:solidFill>
              <w14:schemeClr w14:val="tx1"/>
            </w14:solidFill>
          </w14:textFill>
        </w:rPr>
        <w:t>附件六</w:t>
      </w:r>
    </w:p>
    <w:p w14:paraId="6D2E2AC0">
      <w:pPr>
        <w:pStyle w:val="15"/>
        <w:adjustRightInd w:val="0"/>
        <w:snapToGrid w:val="0"/>
        <w:spacing w:line="360" w:lineRule="auto"/>
        <w:jc w:val="center"/>
        <w:rPr>
          <w:rFonts w:hint="default" w:ascii="Times New Roman" w:hAnsi="Times New Roman" w:eastAsia="宋体" w:cs="Times New Roman"/>
          <w:b/>
          <w:caps w:val="0"/>
          <w:color w:val="000000" w:themeColor="text1"/>
          <w:sz w:val="28"/>
          <w:szCs w:val="28"/>
          <w:highlight w:val="none"/>
          <w14:textFill>
            <w14:solidFill>
              <w14:schemeClr w14:val="tx1"/>
            </w14:solidFill>
          </w14:textFill>
        </w:rPr>
      </w:pPr>
      <w:r>
        <w:rPr>
          <w:rFonts w:hint="default" w:ascii="Times New Roman" w:hAnsi="Times New Roman" w:eastAsia="宋体" w:cs="Times New Roman"/>
          <w:b/>
          <w:bCs/>
          <w:caps w:val="0"/>
          <w:color w:val="000000" w:themeColor="text1"/>
          <w:sz w:val="28"/>
          <w:szCs w:val="28"/>
          <w:highlight w:val="none"/>
          <w14:textFill>
            <w14:solidFill>
              <w14:schemeClr w14:val="tx1"/>
            </w14:solidFill>
          </w14:textFill>
        </w:rPr>
        <w:t>业绩</w:t>
      </w:r>
      <w:r>
        <w:rPr>
          <w:rFonts w:hint="default" w:ascii="Times New Roman" w:hAnsi="Times New Roman" w:eastAsia="宋体" w:cs="Times New Roman"/>
          <w:b/>
          <w:caps w:val="0"/>
          <w:color w:val="000000" w:themeColor="text1"/>
          <w:sz w:val="28"/>
          <w:szCs w:val="28"/>
          <w:highlight w:val="none"/>
          <w14:textFill>
            <w14:solidFill>
              <w14:schemeClr w14:val="tx1"/>
            </w14:solidFill>
          </w14:textFill>
        </w:rPr>
        <w:t>情况汇总表</w:t>
      </w:r>
    </w:p>
    <w:p w14:paraId="17724C14">
      <w:pPr>
        <w:pStyle w:val="15"/>
        <w:adjustRightInd w:val="0"/>
        <w:snapToGrid w:val="0"/>
        <w:spacing w:line="360" w:lineRule="auto"/>
        <w:jc w:val="center"/>
        <w:rPr>
          <w:rFonts w:hint="default" w:ascii="Times New Roman" w:hAnsi="Times New Roman" w:eastAsia="宋体" w:cs="Times New Roman"/>
          <w:b/>
          <w:caps w:val="0"/>
          <w:color w:val="000000" w:themeColor="text1"/>
          <w:sz w:val="28"/>
          <w:szCs w:val="28"/>
          <w:highlight w:val="none"/>
          <w14:textFill>
            <w14:solidFill>
              <w14:schemeClr w14:val="tx1"/>
            </w14:solidFill>
          </w14:textFill>
        </w:rPr>
      </w:pPr>
      <w:r>
        <w:rPr>
          <w:rFonts w:hint="default" w:ascii="Times New Roman" w:hAnsi="Times New Roman" w:eastAsia="宋体" w:cs="Times New Roman"/>
          <w:b/>
          <w:caps w:val="0"/>
          <w:color w:val="000000" w:themeColor="text1"/>
          <w:sz w:val="28"/>
          <w:szCs w:val="28"/>
          <w:highlight w:val="none"/>
          <w14:textFill>
            <w14:solidFill>
              <w14:schemeClr w14:val="tx1"/>
            </w14:solidFill>
          </w14:textFill>
        </w:rPr>
        <w:t>（20</w:t>
      </w:r>
      <w:r>
        <w:rPr>
          <w:rFonts w:hint="default" w:ascii="Times New Roman" w:hAnsi="Times New Roman" w:eastAsia="宋体" w:cs="Times New Roman"/>
          <w:b/>
          <w:caps w:val="0"/>
          <w:color w:val="000000" w:themeColor="text1"/>
          <w:sz w:val="28"/>
          <w:szCs w:val="28"/>
          <w:highlight w:val="none"/>
          <w:lang w:val="en-US" w:eastAsia="zh-CN"/>
          <w14:textFill>
            <w14:solidFill>
              <w14:schemeClr w14:val="tx1"/>
            </w14:solidFill>
          </w14:textFill>
        </w:rPr>
        <w:t>2</w:t>
      </w:r>
      <w:r>
        <w:rPr>
          <w:rFonts w:hint="default" w:ascii="Times New Roman" w:hAnsi="Times New Roman" w:eastAsia="宋体" w:cs="Times New Roman"/>
          <w:b/>
          <w:caps w:val="0"/>
          <w:color w:val="000000" w:themeColor="text1"/>
          <w:sz w:val="28"/>
          <w:szCs w:val="28"/>
          <w:highlight w:val="none"/>
          <w:u w:val="single"/>
          <w:lang w:val="en-US" w:eastAsia="zh-CN"/>
          <w14:textFill>
            <w14:solidFill>
              <w14:schemeClr w14:val="tx1"/>
            </w14:solidFill>
          </w14:textFill>
        </w:rPr>
        <w:t xml:space="preserve">  </w:t>
      </w:r>
      <w:r>
        <w:rPr>
          <w:rFonts w:hint="default" w:ascii="Times New Roman" w:hAnsi="Times New Roman" w:eastAsia="宋体" w:cs="Times New Roman"/>
          <w:b/>
          <w:caps w:val="0"/>
          <w:color w:val="000000" w:themeColor="text1"/>
          <w:sz w:val="28"/>
          <w:szCs w:val="28"/>
          <w:highlight w:val="none"/>
          <w14:textFill>
            <w14:solidFill>
              <w14:schemeClr w14:val="tx1"/>
            </w14:solidFill>
          </w14:textFill>
        </w:rPr>
        <w:t>年1月1日至今）</w:t>
      </w:r>
    </w:p>
    <w:p w14:paraId="4CE2F405">
      <w:pPr>
        <w:pStyle w:val="15"/>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default" w:ascii="Times New Roman" w:hAnsi="Times New Roman" w:eastAsia="宋体" w:cs="Times New Roman"/>
          <w:b/>
          <w:caps w:val="0"/>
          <w:color w:val="000000" w:themeColor="text1"/>
          <w:sz w:val="24"/>
          <w:szCs w:val="24"/>
          <w:highlight w:val="none"/>
          <w14:textFill>
            <w14:solidFill>
              <w14:schemeClr w14:val="tx1"/>
            </w14:solidFill>
          </w14:textFill>
        </w:rPr>
      </w:pPr>
      <w:r>
        <w:rPr>
          <w:rFonts w:hint="default" w:ascii="Times New Roman" w:hAnsi="Times New Roman" w:eastAsia="宋体" w:cs="Times New Roman"/>
          <w:bCs/>
          <w:caps w:val="0"/>
          <w:color w:val="000000" w:themeColor="text1"/>
          <w:sz w:val="24"/>
          <w:szCs w:val="24"/>
          <w:highlight w:val="none"/>
          <w14:textFill>
            <w14:solidFill>
              <w14:schemeClr w14:val="tx1"/>
            </w14:solidFill>
          </w14:textFill>
        </w:rPr>
        <w:t>项目名称：</w:t>
      </w:r>
      <w:r>
        <w:rPr>
          <w:rFonts w:hint="default" w:ascii="Times New Roman" w:hAnsi="Times New Roman" w:eastAsia="宋体" w:cs="Times New Roman"/>
          <w:caps w:val="0"/>
          <w:color w:val="000000" w:themeColor="text1"/>
          <w:sz w:val="24"/>
          <w:szCs w:val="24"/>
          <w:highlight w:val="none"/>
          <w:u w:val="single"/>
          <w:lang w:eastAsia="zh-CN"/>
          <w14:textFill>
            <w14:solidFill>
              <w14:schemeClr w14:val="tx1"/>
            </w14:solidFill>
          </w14:textFill>
        </w:rPr>
        <w:t xml:space="preserve">西湾和苑人行天桥管线迁改设计施工总承包 </w:t>
      </w:r>
    </w:p>
    <w:tbl>
      <w:tblPr>
        <w:tblStyle w:val="29"/>
        <w:tblW w:w="89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1304"/>
        <w:gridCol w:w="1247"/>
        <w:gridCol w:w="1559"/>
        <w:gridCol w:w="2268"/>
        <w:gridCol w:w="1897"/>
      </w:tblGrid>
      <w:tr w14:paraId="6B1376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650" w:type="dxa"/>
            <w:noWrap w:val="0"/>
            <w:vAlign w:val="center"/>
          </w:tcPr>
          <w:p w14:paraId="3F0CF08D">
            <w:pPr>
              <w:jc w:val="center"/>
              <w:rPr>
                <w:rFonts w:hint="default" w:ascii="Times New Roman" w:hAnsi="Times New Roman" w:eastAsia="宋体" w:cs="Times New Roman"/>
                <w:b/>
                <w:bCs/>
                <w:caps w:val="0"/>
                <w:color w:val="000000" w:themeColor="text1"/>
                <w:sz w:val="24"/>
                <w:szCs w:val="24"/>
                <w:highlight w:val="none"/>
                <w14:textFill>
                  <w14:solidFill>
                    <w14:schemeClr w14:val="tx1"/>
                  </w14:solidFill>
                </w14:textFill>
              </w:rPr>
            </w:pPr>
            <w:r>
              <w:rPr>
                <w:rFonts w:hint="default" w:ascii="Times New Roman" w:hAnsi="Times New Roman" w:eastAsia="宋体" w:cs="Times New Roman"/>
                <w:b/>
                <w:bCs/>
                <w:caps w:val="0"/>
                <w:color w:val="000000" w:themeColor="text1"/>
                <w:sz w:val="24"/>
                <w:szCs w:val="24"/>
                <w:highlight w:val="none"/>
                <w14:textFill>
                  <w14:solidFill>
                    <w14:schemeClr w14:val="tx1"/>
                  </w14:solidFill>
                </w14:textFill>
              </w:rPr>
              <w:t>序号</w:t>
            </w:r>
          </w:p>
        </w:tc>
        <w:tc>
          <w:tcPr>
            <w:tcW w:w="1304" w:type="dxa"/>
            <w:noWrap w:val="0"/>
            <w:vAlign w:val="center"/>
          </w:tcPr>
          <w:p w14:paraId="24D90BBE">
            <w:pPr>
              <w:jc w:val="center"/>
              <w:rPr>
                <w:rFonts w:hint="default" w:ascii="Times New Roman" w:hAnsi="Times New Roman" w:eastAsia="宋体" w:cs="Times New Roman"/>
                <w:b/>
                <w:bCs/>
                <w:caps w:val="0"/>
                <w:color w:val="000000" w:themeColor="text1"/>
                <w:sz w:val="24"/>
                <w:szCs w:val="24"/>
                <w:highlight w:val="none"/>
                <w14:textFill>
                  <w14:solidFill>
                    <w14:schemeClr w14:val="tx1"/>
                  </w14:solidFill>
                </w14:textFill>
              </w:rPr>
            </w:pPr>
            <w:r>
              <w:rPr>
                <w:rFonts w:hint="default" w:ascii="Times New Roman" w:hAnsi="Times New Roman" w:eastAsia="宋体" w:cs="Times New Roman"/>
                <w:b/>
                <w:bCs/>
                <w:caps w:val="0"/>
                <w:color w:val="000000" w:themeColor="text1"/>
                <w:sz w:val="24"/>
                <w:szCs w:val="24"/>
                <w:highlight w:val="none"/>
                <w14:textFill>
                  <w14:solidFill>
                    <w14:schemeClr w14:val="tx1"/>
                  </w14:solidFill>
                </w14:textFill>
              </w:rPr>
              <w:t>项目名称</w:t>
            </w:r>
          </w:p>
        </w:tc>
        <w:tc>
          <w:tcPr>
            <w:tcW w:w="1247" w:type="dxa"/>
            <w:noWrap w:val="0"/>
            <w:vAlign w:val="center"/>
          </w:tcPr>
          <w:p w14:paraId="2E1EF507">
            <w:pPr>
              <w:jc w:val="center"/>
              <w:rPr>
                <w:rFonts w:hint="default" w:ascii="Times New Roman" w:hAnsi="Times New Roman" w:eastAsia="宋体" w:cs="Times New Roman"/>
                <w:b/>
                <w:bCs/>
                <w:caps w:val="0"/>
                <w:color w:val="000000" w:themeColor="text1"/>
                <w:sz w:val="24"/>
                <w:szCs w:val="24"/>
                <w:highlight w:val="none"/>
                <w14:textFill>
                  <w14:solidFill>
                    <w14:schemeClr w14:val="tx1"/>
                  </w14:solidFill>
                </w14:textFill>
              </w:rPr>
            </w:pPr>
            <w:r>
              <w:rPr>
                <w:rFonts w:hint="default" w:ascii="Times New Roman" w:hAnsi="Times New Roman" w:eastAsia="宋体" w:cs="Times New Roman"/>
                <w:b/>
                <w:bCs/>
                <w:caps w:val="0"/>
                <w:color w:val="000000" w:themeColor="text1"/>
                <w:sz w:val="24"/>
                <w:szCs w:val="24"/>
                <w:highlight w:val="none"/>
                <w14:textFill>
                  <w14:solidFill>
                    <w14:schemeClr w14:val="tx1"/>
                  </w14:solidFill>
                </w14:textFill>
              </w:rPr>
              <w:t>项目业主</w:t>
            </w:r>
          </w:p>
        </w:tc>
        <w:tc>
          <w:tcPr>
            <w:tcW w:w="1559" w:type="dxa"/>
            <w:noWrap w:val="0"/>
            <w:vAlign w:val="center"/>
          </w:tcPr>
          <w:p w14:paraId="6B0E2F0D">
            <w:pPr>
              <w:jc w:val="center"/>
              <w:rPr>
                <w:rFonts w:hint="default" w:ascii="Times New Roman" w:hAnsi="Times New Roman" w:eastAsia="宋体" w:cs="Times New Roman"/>
                <w:b/>
                <w:bCs/>
                <w:caps w:val="0"/>
                <w:color w:val="000000" w:themeColor="text1"/>
                <w:sz w:val="24"/>
                <w:szCs w:val="24"/>
                <w:highlight w:val="none"/>
                <w14:textFill>
                  <w14:solidFill>
                    <w14:schemeClr w14:val="tx1"/>
                  </w14:solidFill>
                </w14:textFill>
              </w:rPr>
            </w:pPr>
            <w:r>
              <w:rPr>
                <w:rFonts w:hint="default" w:ascii="Times New Roman" w:hAnsi="Times New Roman" w:eastAsia="宋体" w:cs="Times New Roman"/>
                <w:b/>
                <w:bCs/>
                <w:caps w:val="0"/>
                <w:color w:val="000000" w:themeColor="text1"/>
                <w:sz w:val="24"/>
                <w:szCs w:val="24"/>
                <w:highlight w:val="none"/>
                <w14:textFill>
                  <w14:solidFill>
                    <w14:schemeClr w14:val="tx1"/>
                  </w14:solidFill>
                </w14:textFill>
              </w:rPr>
              <w:t>合同价</w:t>
            </w:r>
          </w:p>
          <w:p w14:paraId="2FF93E28">
            <w:pPr>
              <w:jc w:val="center"/>
              <w:rPr>
                <w:rFonts w:hint="default" w:ascii="Times New Roman" w:hAnsi="Times New Roman" w:eastAsia="宋体" w:cs="Times New Roman"/>
                <w:b/>
                <w:bCs/>
                <w:caps w:val="0"/>
                <w:color w:val="000000" w:themeColor="text1"/>
                <w:sz w:val="24"/>
                <w:szCs w:val="24"/>
                <w:highlight w:val="none"/>
                <w14:textFill>
                  <w14:solidFill>
                    <w14:schemeClr w14:val="tx1"/>
                  </w14:solidFill>
                </w14:textFill>
              </w:rPr>
            </w:pPr>
            <w:r>
              <w:rPr>
                <w:rFonts w:hint="default" w:ascii="Times New Roman" w:hAnsi="Times New Roman" w:eastAsia="宋体" w:cs="Times New Roman"/>
                <w:b/>
                <w:bCs/>
                <w:caps w:val="0"/>
                <w:color w:val="000000" w:themeColor="text1"/>
                <w:sz w:val="24"/>
                <w:szCs w:val="24"/>
                <w:highlight w:val="none"/>
                <w14:textFill>
                  <w14:solidFill>
                    <w14:schemeClr w14:val="tx1"/>
                  </w14:solidFill>
                </w14:textFill>
              </w:rPr>
              <w:t>（万元）</w:t>
            </w:r>
          </w:p>
        </w:tc>
        <w:tc>
          <w:tcPr>
            <w:tcW w:w="2268" w:type="dxa"/>
            <w:noWrap w:val="0"/>
            <w:vAlign w:val="center"/>
          </w:tcPr>
          <w:p w14:paraId="5E11F699">
            <w:pPr>
              <w:jc w:val="center"/>
              <w:rPr>
                <w:rFonts w:hint="default" w:ascii="Times New Roman" w:hAnsi="Times New Roman" w:eastAsia="宋体" w:cs="Times New Roman"/>
                <w:b/>
                <w:bCs/>
                <w:caps w:val="0"/>
                <w:color w:val="000000" w:themeColor="text1"/>
                <w:sz w:val="24"/>
                <w:szCs w:val="24"/>
                <w:highlight w:val="none"/>
                <w14:textFill>
                  <w14:solidFill>
                    <w14:schemeClr w14:val="tx1"/>
                  </w14:solidFill>
                </w14:textFill>
              </w:rPr>
            </w:pPr>
            <w:r>
              <w:rPr>
                <w:rFonts w:hint="default" w:ascii="Times New Roman" w:hAnsi="Times New Roman" w:eastAsia="宋体" w:cs="Times New Roman"/>
                <w:b/>
                <w:bCs/>
                <w:caps w:val="0"/>
                <w:color w:val="000000" w:themeColor="text1"/>
                <w:sz w:val="24"/>
                <w:szCs w:val="24"/>
                <w:highlight w:val="none"/>
                <w14:textFill>
                  <w14:solidFill>
                    <w14:schemeClr w14:val="tx1"/>
                  </w14:solidFill>
                </w14:textFill>
              </w:rPr>
              <w:t>项目类型</w:t>
            </w:r>
          </w:p>
        </w:tc>
        <w:tc>
          <w:tcPr>
            <w:tcW w:w="1897" w:type="dxa"/>
            <w:noWrap w:val="0"/>
            <w:vAlign w:val="center"/>
          </w:tcPr>
          <w:p w14:paraId="2582A8B3">
            <w:pPr>
              <w:jc w:val="center"/>
              <w:rPr>
                <w:rFonts w:hint="default" w:ascii="Times New Roman" w:hAnsi="Times New Roman" w:eastAsia="宋体" w:cs="Times New Roman"/>
                <w:b/>
                <w:bCs/>
                <w:caps w:val="0"/>
                <w:color w:val="000000" w:themeColor="text1"/>
                <w:sz w:val="24"/>
                <w:szCs w:val="24"/>
                <w:highlight w:val="none"/>
                <w14:textFill>
                  <w14:solidFill>
                    <w14:schemeClr w14:val="tx1"/>
                  </w14:solidFill>
                </w14:textFill>
              </w:rPr>
            </w:pPr>
            <w:r>
              <w:rPr>
                <w:rFonts w:hint="default" w:ascii="Times New Roman" w:hAnsi="Times New Roman" w:eastAsia="宋体" w:cs="Times New Roman"/>
                <w:b/>
                <w:caps w:val="0"/>
                <w:color w:val="000000" w:themeColor="text1"/>
                <w:sz w:val="24"/>
                <w:szCs w:val="24"/>
                <w:highlight w:val="none"/>
                <w14:textFill>
                  <w14:solidFill>
                    <w14:schemeClr w14:val="tx1"/>
                  </w14:solidFill>
                </w14:textFill>
              </w:rPr>
              <w:t>建设单位联系人及电话</w:t>
            </w:r>
          </w:p>
        </w:tc>
      </w:tr>
      <w:tr w14:paraId="540D9C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650" w:type="dxa"/>
            <w:noWrap w:val="0"/>
            <w:vAlign w:val="center"/>
          </w:tcPr>
          <w:p w14:paraId="617D2D9D">
            <w:pPr>
              <w:jc w:val="center"/>
              <w:rPr>
                <w:rFonts w:hint="default" w:ascii="Times New Roman" w:hAnsi="Times New Roman" w:eastAsia="宋体" w:cs="Times New Roman"/>
                <w:bCs/>
                <w:caps w:val="0"/>
                <w:color w:val="000000" w:themeColor="text1"/>
                <w:sz w:val="24"/>
                <w:szCs w:val="24"/>
                <w:highlight w:val="none"/>
                <w14:textFill>
                  <w14:solidFill>
                    <w14:schemeClr w14:val="tx1"/>
                  </w14:solidFill>
                </w14:textFill>
              </w:rPr>
            </w:pPr>
            <w:r>
              <w:rPr>
                <w:rFonts w:hint="default" w:ascii="Times New Roman" w:hAnsi="Times New Roman" w:eastAsia="宋体" w:cs="Times New Roman"/>
                <w:bCs/>
                <w:caps w:val="0"/>
                <w:color w:val="000000" w:themeColor="text1"/>
                <w:sz w:val="24"/>
                <w:szCs w:val="24"/>
                <w:highlight w:val="none"/>
                <w14:textFill>
                  <w14:solidFill>
                    <w14:schemeClr w14:val="tx1"/>
                  </w14:solidFill>
                </w14:textFill>
              </w:rPr>
              <w:t>1</w:t>
            </w:r>
          </w:p>
        </w:tc>
        <w:tc>
          <w:tcPr>
            <w:tcW w:w="1304" w:type="dxa"/>
            <w:noWrap w:val="0"/>
            <w:vAlign w:val="center"/>
          </w:tcPr>
          <w:p w14:paraId="67E37DB7">
            <w:pPr>
              <w:jc w:val="center"/>
              <w:rPr>
                <w:rFonts w:hint="default" w:ascii="Times New Roman" w:hAnsi="Times New Roman" w:eastAsia="宋体" w:cs="Times New Roman"/>
                <w:bCs/>
                <w:caps w:val="0"/>
                <w:color w:val="000000" w:themeColor="text1"/>
                <w:sz w:val="24"/>
                <w:szCs w:val="24"/>
                <w:highlight w:val="none"/>
                <w14:textFill>
                  <w14:solidFill>
                    <w14:schemeClr w14:val="tx1"/>
                  </w14:solidFill>
                </w14:textFill>
              </w:rPr>
            </w:pPr>
          </w:p>
        </w:tc>
        <w:tc>
          <w:tcPr>
            <w:tcW w:w="1247" w:type="dxa"/>
            <w:noWrap w:val="0"/>
            <w:vAlign w:val="center"/>
          </w:tcPr>
          <w:p w14:paraId="325D445F">
            <w:pPr>
              <w:jc w:val="center"/>
              <w:rPr>
                <w:rFonts w:hint="default" w:ascii="Times New Roman" w:hAnsi="Times New Roman" w:eastAsia="宋体" w:cs="Times New Roman"/>
                <w:bCs/>
                <w:caps w:val="0"/>
                <w:color w:val="000000" w:themeColor="text1"/>
                <w:sz w:val="24"/>
                <w:szCs w:val="24"/>
                <w:highlight w:val="none"/>
                <w14:textFill>
                  <w14:solidFill>
                    <w14:schemeClr w14:val="tx1"/>
                  </w14:solidFill>
                </w14:textFill>
              </w:rPr>
            </w:pPr>
          </w:p>
        </w:tc>
        <w:tc>
          <w:tcPr>
            <w:tcW w:w="1559" w:type="dxa"/>
            <w:noWrap w:val="0"/>
            <w:vAlign w:val="center"/>
          </w:tcPr>
          <w:p w14:paraId="2ED3E82B">
            <w:pPr>
              <w:jc w:val="center"/>
              <w:rPr>
                <w:rFonts w:hint="default" w:ascii="Times New Roman" w:hAnsi="Times New Roman" w:eastAsia="宋体" w:cs="Times New Roman"/>
                <w:bCs/>
                <w:caps w:val="0"/>
                <w:color w:val="000000" w:themeColor="text1"/>
                <w:sz w:val="24"/>
                <w:szCs w:val="24"/>
                <w:highlight w:val="none"/>
                <w14:textFill>
                  <w14:solidFill>
                    <w14:schemeClr w14:val="tx1"/>
                  </w14:solidFill>
                </w14:textFill>
              </w:rPr>
            </w:pPr>
          </w:p>
        </w:tc>
        <w:tc>
          <w:tcPr>
            <w:tcW w:w="2268" w:type="dxa"/>
            <w:noWrap w:val="0"/>
            <w:vAlign w:val="center"/>
          </w:tcPr>
          <w:p w14:paraId="1DD0249D">
            <w:pPr>
              <w:jc w:val="center"/>
              <w:rPr>
                <w:rFonts w:hint="default" w:ascii="Times New Roman" w:hAnsi="Times New Roman" w:eastAsia="宋体" w:cs="Times New Roman"/>
                <w:bCs/>
                <w:caps w:val="0"/>
                <w:color w:val="000000" w:themeColor="text1"/>
                <w:sz w:val="24"/>
                <w:szCs w:val="24"/>
                <w:highlight w:val="none"/>
                <w14:textFill>
                  <w14:solidFill>
                    <w14:schemeClr w14:val="tx1"/>
                  </w14:solidFill>
                </w14:textFill>
              </w:rPr>
            </w:pPr>
          </w:p>
        </w:tc>
        <w:tc>
          <w:tcPr>
            <w:tcW w:w="1897" w:type="dxa"/>
            <w:noWrap w:val="0"/>
            <w:vAlign w:val="center"/>
          </w:tcPr>
          <w:p w14:paraId="37B7CC6B">
            <w:pPr>
              <w:jc w:val="center"/>
              <w:rPr>
                <w:rFonts w:hint="default" w:ascii="Times New Roman" w:hAnsi="Times New Roman" w:eastAsia="宋体" w:cs="Times New Roman"/>
                <w:bCs/>
                <w:caps w:val="0"/>
                <w:color w:val="000000" w:themeColor="text1"/>
                <w:sz w:val="24"/>
                <w:szCs w:val="24"/>
                <w:highlight w:val="none"/>
                <w14:textFill>
                  <w14:solidFill>
                    <w14:schemeClr w14:val="tx1"/>
                  </w14:solidFill>
                </w14:textFill>
              </w:rPr>
            </w:pPr>
          </w:p>
        </w:tc>
      </w:tr>
      <w:tr w14:paraId="67A5A5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650" w:type="dxa"/>
            <w:noWrap w:val="0"/>
            <w:vAlign w:val="center"/>
          </w:tcPr>
          <w:p w14:paraId="4D24D438">
            <w:pPr>
              <w:jc w:val="center"/>
              <w:rPr>
                <w:rFonts w:hint="default" w:ascii="Times New Roman" w:hAnsi="Times New Roman" w:eastAsia="宋体" w:cs="Times New Roman"/>
                <w:bCs/>
                <w:caps w:val="0"/>
                <w:color w:val="000000" w:themeColor="text1"/>
                <w:sz w:val="24"/>
                <w:szCs w:val="24"/>
                <w:highlight w:val="none"/>
                <w14:textFill>
                  <w14:solidFill>
                    <w14:schemeClr w14:val="tx1"/>
                  </w14:solidFill>
                </w14:textFill>
              </w:rPr>
            </w:pPr>
            <w:r>
              <w:rPr>
                <w:rFonts w:hint="default" w:ascii="Times New Roman" w:hAnsi="Times New Roman" w:eastAsia="宋体" w:cs="Times New Roman"/>
                <w:bCs/>
                <w:caps w:val="0"/>
                <w:color w:val="000000" w:themeColor="text1"/>
                <w:sz w:val="24"/>
                <w:szCs w:val="24"/>
                <w:highlight w:val="none"/>
                <w14:textFill>
                  <w14:solidFill>
                    <w14:schemeClr w14:val="tx1"/>
                  </w14:solidFill>
                </w14:textFill>
              </w:rPr>
              <w:t>2</w:t>
            </w:r>
          </w:p>
        </w:tc>
        <w:tc>
          <w:tcPr>
            <w:tcW w:w="1304" w:type="dxa"/>
            <w:noWrap w:val="0"/>
            <w:vAlign w:val="center"/>
          </w:tcPr>
          <w:p w14:paraId="63C3920A">
            <w:pPr>
              <w:jc w:val="center"/>
              <w:rPr>
                <w:rFonts w:hint="default" w:ascii="Times New Roman" w:hAnsi="Times New Roman" w:eastAsia="宋体" w:cs="Times New Roman"/>
                <w:bCs/>
                <w:caps w:val="0"/>
                <w:color w:val="000000" w:themeColor="text1"/>
                <w:sz w:val="24"/>
                <w:szCs w:val="24"/>
                <w:highlight w:val="none"/>
                <w14:textFill>
                  <w14:solidFill>
                    <w14:schemeClr w14:val="tx1"/>
                  </w14:solidFill>
                </w14:textFill>
              </w:rPr>
            </w:pPr>
          </w:p>
        </w:tc>
        <w:tc>
          <w:tcPr>
            <w:tcW w:w="1247" w:type="dxa"/>
            <w:noWrap w:val="0"/>
            <w:vAlign w:val="center"/>
          </w:tcPr>
          <w:p w14:paraId="74265B32">
            <w:pPr>
              <w:jc w:val="center"/>
              <w:rPr>
                <w:rFonts w:hint="default" w:ascii="Times New Roman" w:hAnsi="Times New Roman" w:eastAsia="宋体" w:cs="Times New Roman"/>
                <w:bCs/>
                <w:caps w:val="0"/>
                <w:color w:val="000000" w:themeColor="text1"/>
                <w:sz w:val="24"/>
                <w:szCs w:val="24"/>
                <w:highlight w:val="none"/>
                <w14:textFill>
                  <w14:solidFill>
                    <w14:schemeClr w14:val="tx1"/>
                  </w14:solidFill>
                </w14:textFill>
              </w:rPr>
            </w:pPr>
          </w:p>
        </w:tc>
        <w:tc>
          <w:tcPr>
            <w:tcW w:w="1559" w:type="dxa"/>
            <w:noWrap w:val="0"/>
            <w:vAlign w:val="center"/>
          </w:tcPr>
          <w:p w14:paraId="56B631CC">
            <w:pPr>
              <w:jc w:val="center"/>
              <w:rPr>
                <w:rFonts w:hint="default" w:ascii="Times New Roman" w:hAnsi="Times New Roman" w:eastAsia="宋体" w:cs="Times New Roman"/>
                <w:bCs/>
                <w:caps w:val="0"/>
                <w:color w:val="000000" w:themeColor="text1"/>
                <w:sz w:val="24"/>
                <w:szCs w:val="24"/>
                <w:highlight w:val="none"/>
                <w14:textFill>
                  <w14:solidFill>
                    <w14:schemeClr w14:val="tx1"/>
                  </w14:solidFill>
                </w14:textFill>
              </w:rPr>
            </w:pPr>
          </w:p>
        </w:tc>
        <w:tc>
          <w:tcPr>
            <w:tcW w:w="2268" w:type="dxa"/>
            <w:noWrap w:val="0"/>
            <w:vAlign w:val="center"/>
          </w:tcPr>
          <w:p w14:paraId="048B52C3">
            <w:pPr>
              <w:jc w:val="center"/>
              <w:rPr>
                <w:rFonts w:hint="default" w:ascii="Times New Roman" w:hAnsi="Times New Roman" w:eastAsia="宋体" w:cs="Times New Roman"/>
                <w:bCs/>
                <w:caps w:val="0"/>
                <w:color w:val="000000" w:themeColor="text1"/>
                <w:sz w:val="24"/>
                <w:szCs w:val="24"/>
                <w:highlight w:val="none"/>
                <w14:textFill>
                  <w14:solidFill>
                    <w14:schemeClr w14:val="tx1"/>
                  </w14:solidFill>
                </w14:textFill>
              </w:rPr>
            </w:pPr>
          </w:p>
        </w:tc>
        <w:tc>
          <w:tcPr>
            <w:tcW w:w="1897" w:type="dxa"/>
            <w:noWrap w:val="0"/>
            <w:vAlign w:val="center"/>
          </w:tcPr>
          <w:p w14:paraId="07C49AD2">
            <w:pPr>
              <w:jc w:val="center"/>
              <w:rPr>
                <w:rFonts w:hint="default" w:ascii="Times New Roman" w:hAnsi="Times New Roman" w:eastAsia="宋体" w:cs="Times New Roman"/>
                <w:bCs/>
                <w:caps w:val="0"/>
                <w:color w:val="000000" w:themeColor="text1"/>
                <w:sz w:val="24"/>
                <w:szCs w:val="24"/>
                <w:highlight w:val="none"/>
                <w14:textFill>
                  <w14:solidFill>
                    <w14:schemeClr w14:val="tx1"/>
                  </w14:solidFill>
                </w14:textFill>
              </w:rPr>
            </w:pPr>
          </w:p>
        </w:tc>
      </w:tr>
      <w:tr w14:paraId="0EAA4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650" w:type="dxa"/>
            <w:noWrap w:val="0"/>
            <w:vAlign w:val="center"/>
          </w:tcPr>
          <w:p w14:paraId="2AF5A851">
            <w:pPr>
              <w:jc w:val="center"/>
              <w:rPr>
                <w:rFonts w:hint="default" w:ascii="Times New Roman" w:hAnsi="Times New Roman" w:eastAsia="宋体" w:cs="Times New Roman"/>
                <w:bCs/>
                <w:caps w:val="0"/>
                <w:color w:val="000000" w:themeColor="text1"/>
                <w:sz w:val="24"/>
                <w:szCs w:val="24"/>
                <w:highlight w:val="none"/>
                <w14:textFill>
                  <w14:solidFill>
                    <w14:schemeClr w14:val="tx1"/>
                  </w14:solidFill>
                </w14:textFill>
              </w:rPr>
            </w:pPr>
            <w:r>
              <w:rPr>
                <w:rFonts w:hint="default" w:ascii="Times New Roman" w:hAnsi="Times New Roman" w:eastAsia="宋体" w:cs="Times New Roman"/>
                <w:bCs/>
                <w:caps w:val="0"/>
                <w:color w:val="000000" w:themeColor="text1"/>
                <w:sz w:val="24"/>
                <w:szCs w:val="24"/>
                <w:highlight w:val="none"/>
                <w14:textFill>
                  <w14:solidFill>
                    <w14:schemeClr w14:val="tx1"/>
                  </w14:solidFill>
                </w14:textFill>
              </w:rPr>
              <w:t>...</w:t>
            </w:r>
          </w:p>
        </w:tc>
        <w:tc>
          <w:tcPr>
            <w:tcW w:w="1304" w:type="dxa"/>
            <w:noWrap w:val="0"/>
            <w:vAlign w:val="center"/>
          </w:tcPr>
          <w:p w14:paraId="548D9D1A">
            <w:pPr>
              <w:jc w:val="center"/>
              <w:rPr>
                <w:rFonts w:hint="default" w:ascii="Times New Roman" w:hAnsi="Times New Roman" w:eastAsia="宋体" w:cs="Times New Roman"/>
                <w:bCs/>
                <w:caps w:val="0"/>
                <w:color w:val="000000" w:themeColor="text1"/>
                <w:sz w:val="24"/>
                <w:szCs w:val="24"/>
                <w:highlight w:val="none"/>
                <w14:textFill>
                  <w14:solidFill>
                    <w14:schemeClr w14:val="tx1"/>
                  </w14:solidFill>
                </w14:textFill>
              </w:rPr>
            </w:pPr>
          </w:p>
        </w:tc>
        <w:tc>
          <w:tcPr>
            <w:tcW w:w="1247" w:type="dxa"/>
            <w:noWrap w:val="0"/>
            <w:vAlign w:val="center"/>
          </w:tcPr>
          <w:p w14:paraId="234D33D0">
            <w:pPr>
              <w:jc w:val="center"/>
              <w:rPr>
                <w:rFonts w:hint="default" w:ascii="Times New Roman" w:hAnsi="Times New Roman" w:eastAsia="宋体" w:cs="Times New Roman"/>
                <w:bCs/>
                <w:caps w:val="0"/>
                <w:color w:val="000000" w:themeColor="text1"/>
                <w:sz w:val="24"/>
                <w:szCs w:val="24"/>
                <w:highlight w:val="none"/>
                <w14:textFill>
                  <w14:solidFill>
                    <w14:schemeClr w14:val="tx1"/>
                  </w14:solidFill>
                </w14:textFill>
              </w:rPr>
            </w:pPr>
          </w:p>
        </w:tc>
        <w:tc>
          <w:tcPr>
            <w:tcW w:w="1559" w:type="dxa"/>
            <w:noWrap w:val="0"/>
            <w:vAlign w:val="center"/>
          </w:tcPr>
          <w:p w14:paraId="19C4AF73">
            <w:pPr>
              <w:jc w:val="center"/>
              <w:rPr>
                <w:rFonts w:hint="default" w:ascii="Times New Roman" w:hAnsi="Times New Roman" w:eastAsia="宋体" w:cs="Times New Roman"/>
                <w:bCs/>
                <w:caps w:val="0"/>
                <w:color w:val="000000" w:themeColor="text1"/>
                <w:sz w:val="24"/>
                <w:szCs w:val="24"/>
                <w:highlight w:val="none"/>
                <w14:textFill>
                  <w14:solidFill>
                    <w14:schemeClr w14:val="tx1"/>
                  </w14:solidFill>
                </w14:textFill>
              </w:rPr>
            </w:pPr>
          </w:p>
        </w:tc>
        <w:tc>
          <w:tcPr>
            <w:tcW w:w="2268" w:type="dxa"/>
            <w:noWrap w:val="0"/>
            <w:vAlign w:val="center"/>
          </w:tcPr>
          <w:p w14:paraId="2E18338F">
            <w:pPr>
              <w:jc w:val="center"/>
              <w:rPr>
                <w:rFonts w:hint="default" w:ascii="Times New Roman" w:hAnsi="Times New Roman" w:eastAsia="宋体" w:cs="Times New Roman"/>
                <w:bCs/>
                <w:caps w:val="0"/>
                <w:color w:val="000000" w:themeColor="text1"/>
                <w:sz w:val="24"/>
                <w:szCs w:val="24"/>
                <w:highlight w:val="none"/>
                <w14:textFill>
                  <w14:solidFill>
                    <w14:schemeClr w14:val="tx1"/>
                  </w14:solidFill>
                </w14:textFill>
              </w:rPr>
            </w:pPr>
          </w:p>
        </w:tc>
        <w:tc>
          <w:tcPr>
            <w:tcW w:w="1897" w:type="dxa"/>
            <w:noWrap w:val="0"/>
            <w:vAlign w:val="center"/>
          </w:tcPr>
          <w:p w14:paraId="4DC5A0A0">
            <w:pPr>
              <w:jc w:val="center"/>
              <w:rPr>
                <w:rFonts w:hint="default" w:ascii="Times New Roman" w:hAnsi="Times New Roman" w:eastAsia="宋体" w:cs="Times New Roman"/>
                <w:bCs/>
                <w:caps w:val="0"/>
                <w:color w:val="000000" w:themeColor="text1"/>
                <w:sz w:val="24"/>
                <w:szCs w:val="24"/>
                <w:highlight w:val="none"/>
                <w14:textFill>
                  <w14:solidFill>
                    <w14:schemeClr w14:val="tx1"/>
                  </w14:solidFill>
                </w14:textFill>
              </w:rPr>
            </w:pPr>
          </w:p>
        </w:tc>
      </w:tr>
    </w:tbl>
    <w:p w14:paraId="4A6FA8DF">
      <w:pPr>
        <w:adjustRightInd w:val="0"/>
        <w:snapToGrid w:val="0"/>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bCs/>
          <w:caps w:val="0"/>
          <w:color w:val="000000" w:themeColor="text1"/>
          <w:szCs w:val="21"/>
          <w:highlight w:val="none"/>
          <w14:textFill>
            <w14:solidFill>
              <w14:schemeClr w14:val="tx1"/>
            </w14:solidFill>
          </w14:textFill>
        </w:rPr>
        <w:t>注：</w:t>
      </w:r>
      <w:r>
        <w:rPr>
          <w:rFonts w:hint="default" w:ascii="Times New Roman" w:hAnsi="Times New Roman" w:eastAsia="宋体" w:cs="Times New Roman"/>
          <w:caps w:val="0"/>
          <w:color w:val="000000" w:themeColor="text1"/>
          <w:szCs w:val="21"/>
          <w:highlight w:val="none"/>
          <w14:textFill>
            <w14:solidFill>
              <w14:schemeClr w14:val="tx1"/>
            </w14:solidFill>
          </w14:textFill>
        </w:rPr>
        <w:t>本表后应按综合评分表要求附相关证明文件复印件。</w:t>
      </w:r>
    </w:p>
    <w:p w14:paraId="305D1BA8">
      <w:pPr>
        <w:pStyle w:val="2"/>
        <w:rPr>
          <w:rFonts w:hint="default" w:ascii="Times New Roman" w:hAnsi="Times New Roman" w:eastAsia="宋体" w:cs="Times New Roman"/>
          <w:caps w:val="0"/>
          <w:color w:val="000000" w:themeColor="text1"/>
          <w:szCs w:val="21"/>
          <w:highlight w:val="none"/>
          <w14:textFill>
            <w14:solidFill>
              <w14:schemeClr w14:val="tx1"/>
            </w14:solidFill>
          </w14:textFill>
        </w:rPr>
      </w:pPr>
      <w:r>
        <w:rPr>
          <w:rFonts w:hint="default" w:ascii="Times New Roman" w:hAnsi="Times New Roman" w:eastAsia="宋体" w:cs="Times New Roman"/>
          <w:caps w:val="0"/>
          <w:color w:val="000000" w:themeColor="text1"/>
          <w:szCs w:val="21"/>
          <w:highlight w:val="none"/>
          <w14:textFill>
            <w14:solidFill>
              <w14:schemeClr w14:val="tx1"/>
            </w14:solidFill>
          </w14:textFill>
        </w:rPr>
        <w:t xml:space="preserve"> </w:t>
      </w:r>
    </w:p>
    <w:p w14:paraId="19D10354">
      <w:pPr>
        <w:tabs>
          <w:tab w:val="left" w:pos="13320"/>
        </w:tabs>
        <w:snapToGrid w:val="0"/>
        <w:spacing w:line="360" w:lineRule="auto"/>
        <w:ind w:left="718" w:leftChars="342" w:right="-52" w:firstLine="2397" w:firstLineChars="999"/>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p>
    <w:p w14:paraId="71B5D6A1">
      <w:pPr>
        <w:tabs>
          <w:tab w:val="left" w:pos="13320"/>
        </w:tabs>
        <w:snapToGrid w:val="0"/>
        <w:spacing w:line="360" w:lineRule="auto"/>
        <w:ind w:left="718" w:leftChars="342" w:right="-52" w:firstLine="2397" w:firstLineChars="999"/>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p>
    <w:p w14:paraId="227C1831">
      <w:pPr>
        <w:tabs>
          <w:tab w:val="left" w:pos="13320"/>
        </w:tabs>
        <w:snapToGrid w:val="0"/>
        <w:spacing w:line="360" w:lineRule="auto"/>
        <w:ind w:left="718" w:leftChars="342" w:right="-52" w:firstLine="2397" w:firstLineChars="999"/>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p>
    <w:p w14:paraId="06BB108A">
      <w:pPr>
        <w:tabs>
          <w:tab w:val="left" w:pos="13320"/>
        </w:tabs>
        <w:snapToGrid w:val="0"/>
        <w:spacing w:line="360" w:lineRule="auto"/>
        <w:ind w:left="718" w:leftChars="342" w:right="-52" w:firstLine="2397" w:firstLineChars="999"/>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p>
    <w:p w14:paraId="0C2FFAF0">
      <w:pPr>
        <w:tabs>
          <w:tab w:val="left" w:pos="13320"/>
        </w:tabs>
        <w:snapToGrid w:val="0"/>
        <w:spacing w:line="360" w:lineRule="auto"/>
        <w:ind w:left="718" w:leftChars="342" w:right="-52" w:firstLine="2397" w:firstLineChars="999"/>
        <w:rPr>
          <w:rFonts w:hint="default" w:ascii="Times New Roman" w:hAnsi="Times New Roman" w:eastAsia="宋体" w:cs="Times New Roman"/>
          <w:caps w:val="0"/>
          <w:color w:val="000000" w:themeColor="text1"/>
          <w:sz w:val="24"/>
          <w:szCs w:val="24"/>
          <w:highlight w:val="none"/>
          <w:u w:val="single"/>
          <w14:textFill>
            <w14:solidFill>
              <w14:schemeClr w14:val="tx1"/>
            </w14:solidFill>
          </w14:textFill>
        </w:rPr>
      </w:pPr>
      <w:r>
        <w:rPr>
          <w:rFonts w:hint="default" w:ascii="Times New Roman" w:hAnsi="Times New Roman" w:eastAsia="宋体" w:cs="Times New Roman"/>
          <w:caps w:val="0"/>
          <w:color w:val="000000" w:themeColor="text1"/>
          <w:sz w:val="24"/>
          <w:szCs w:val="24"/>
          <w:highlight w:val="none"/>
          <w14:textFill>
            <w14:solidFill>
              <w14:schemeClr w14:val="tx1"/>
            </w14:solidFill>
          </w14:textFill>
        </w:rPr>
        <w:t>报价人（法人公章）：</w:t>
      </w:r>
      <w:r>
        <w:rPr>
          <w:rFonts w:hint="default" w:ascii="Times New Roman" w:hAnsi="Times New Roman" w:eastAsia="宋体" w:cs="Times New Roman"/>
          <w:caps w:val="0"/>
          <w:color w:val="000000" w:themeColor="text1"/>
          <w:sz w:val="24"/>
          <w:szCs w:val="24"/>
          <w:highlight w:val="none"/>
          <w:u w:val="single"/>
          <w14:textFill>
            <w14:solidFill>
              <w14:schemeClr w14:val="tx1"/>
            </w14:solidFill>
          </w14:textFill>
        </w:rPr>
        <w:t xml:space="preserve">                        </w:t>
      </w:r>
    </w:p>
    <w:p w14:paraId="094A94D1">
      <w:pPr>
        <w:tabs>
          <w:tab w:val="left" w:pos="13320"/>
        </w:tabs>
        <w:snapToGrid w:val="0"/>
        <w:spacing w:line="360" w:lineRule="auto"/>
        <w:ind w:left="718" w:leftChars="342" w:right="-52" w:firstLine="2397" w:firstLineChars="999"/>
        <w:rPr>
          <w:rFonts w:hint="default" w:ascii="Times New Roman" w:hAnsi="Times New Roman" w:eastAsia="宋体" w:cs="Times New Roman"/>
          <w:caps w:val="0"/>
          <w:color w:val="000000" w:themeColor="text1"/>
          <w:sz w:val="24"/>
          <w:szCs w:val="24"/>
          <w:highlight w:val="none"/>
          <w:u w:val="single"/>
          <w14:textFill>
            <w14:solidFill>
              <w14:schemeClr w14:val="tx1"/>
            </w14:solidFill>
          </w14:textFill>
        </w:rPr>
      </w:pPr>
      <w:r>
        <w:rPr>
          <w:rFonts w:hint="default" w:ascii="Times New Roman" w:hAnsi="Times New Roman" w:eastAsia="宋体" w:cs="Times New Roman"/>
          <w:caps w:val="0"/>
          <w:color w:val="000000" w:themeColor="text1"/>
          <w:sz w:val="24"/>
          <w:szCs w:val="24"/>
          <w:highlight w:val="none"/>
          <w14:textFill>
            <w14:solidFill>
              <w14:schemeClr w14:val="tx1"/>
            </w14:solidFill>
          </w14:textFill>
        </w:rPr>
        <w:t>法定代表人或授权代表（签字或盖章）：</w:t>
      </w:r>
      <w:r>
        <w:rPr>
          <w:rFonts w:hint="default" w:ascii="Times New Roman" w:hAnsi="Times New Roman" w:eastAsia="宋体" w:cs="Times New Roman"/>
          <w:caps w:val="0"/>
          <w:color w:val="000000" w:themeColor="text1"/>
          <w:sz w:val="24"/>
          <w:szCs w:val="24"/>
          <w:highlight w:val="none"/>
          <w:u w:val="single"/>
          <w14:textFill>
            <w14:solidFill>
              <w14:schemeClr w14:val="tx1"/>
            </w14:solidFill>
          </w14:textFill>
        </w:rPr>
        <w:t xml:space="preserve">     </w:t>
      </w:r>
      <w:r>
        <w:rPr>
          <w:rFonts w:hint="default" w:ascii="Times New Roman" w:hAnsi="Times New Roman" w:eastAsia="宋体" w:cs="Times New Roman"/>
          <w:caps w:val="0"/>
          <w:color w:val="000000" w:themeColor="text1"/>
          <w:sz w:val="24"/>
          <w:szCs w:val="24"/>
          <w:highlight w:val="none"/>
          <w:u w:val="single"/>
          <w:lang w:val="en-US" w:eastAsia="zh-CN"/>
          <w14:textFill>
            <w14:solidFill>
              <w14:schemeClr w14:val="tx1"/>
            </w14:solidFill>
          </w14:textFill>
        </w:rPr>
        <w:t xml:space="preserve">   </w:t>
      </w:r>
      <w:r>
        <w:rPr>
          <w:rFonts w:hint="default" w:ascii="Times New Roman" w:hAnsi="Times New Roman" w:eastAsia="宋体" w:cs="Times New Roman"/>
          <w:caps w:val="0"/>
          <w:color w:val="000000" w:themeColor="text1"/>
          <w:sz w:val="24"/>
          <w:szCs w:val="24"/>
          <w:highlight w:val="none"/>
          <w:u w:val="single"/>
          <w14:textFill>
            <w14:solidFill>
              <w14:schemeClr w14:val="tx1"/>
            </w14:solidFill>
          </w14:textFill>
        </w:rPr>
        <w:t xml:space="preserve">  </w:t>
      </w:r>
    </w:p>
    <w:p w14:paraId="14E55EA9">
      <w:pPr>
        <w:tabs>
          <w:tab w:val="left" w:pos="13320"/>
        </w:tabs>
        <w:snapToGrid w:val="0"/>
        <w:spacing w:line="360" w:lineRule="auto"/>
        <w:ind w:left="718" w:leftChars="342" w:right="-52" w:firstLine="2397" w:firstLineChars="999"/>
        <w:rPr>
          <w:rFonts w:hint="default" w:ascii="Times New Roman" w:hAnsi="Times New Roman" w:eastAsia="宋体" w:cs="Times New Roman"/>
          <w:caps w:val="0"/>
          <w:color w:val="000000" w:themeColor="text1"/>
          <w:highlight w:val="none"/>
          <w14:textFill>
            <w14:solidFill>
              <w14:schemeClr w14:val="tx1"/>
            </w14:solidFill>
          </w14:textFill>
        </w:rPr>
      </w:pPr>
      <w:r>
        <w:rPr>
          <w:rFonts w:hint="default" w:ascii="Times New Roman" w:hAnsi="Times New Roman" w:eastAsia="宋体" w:cs="Times New Roman"/>
          <w:caps w:val="0"/>
          <w:color w:val="000000" w:themeColor="text1"/>
          <w:sz w:val="24"/>
          <w:szCs w:val="24"/>
          <w:highlight w:val="none"/>
          <w14:textFill>
            <w14:solidFill>
              <w14:schemeClr w14:val="tx1"/>
            </w14:solidFill>
          </w14:textFill>
        </w:rPr>
        <w:t>日期：_____年______月______日</w:t>
      </w:r>
    </w:p>
    <w:p w14:paraId="43E84289">
      <w:pPr>
        <w:adjustRightInd w:val="0"/>
        <w:snapToGrid w:val="0"/>
        <w:spacing w:line="360" w:lineRule="auto"/>
        <w:jc w:val="center"/>
        <w:rPr>
          <w:rFonts w:hint="default" w:ascii="Times New Roman" w:hAnsi="Times New Roman" w:eastAsia="宋体" w:cs="Times New Roman"/>
          <w:bCs/>
          <w:caps w:val="0"/>
          <w:color w:val="000000" w:themeColor="text1"/>
          <w:sz w:val="28"/>
          <w:szCs w:val="28"/>
          <w:highlight w:val="none"/>
          <w14:textFill>
            <w14:solidFill>
              <w14:schemeClr w14:val="tx1"/>
            </w14:solidFill>
          </w14:textFill>
        </w:rPr>
      </w:pPr>
    </w:p>
    <w:p w14:paraId="4970900A">
      <w:pPr>
        <w:pStyle w:val="15"/>
        <w:adjustRightInd w:val="0"/>
        <w:snapToGrid w:val="0"/>
        <w:spacing w:line="360" w:lineRule="auto"/>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p>
    <w:p w14:paraId="3B5A9583">
      <w:pPr>
        <w:pStyle w:val="15"/>
        <w:adjustRightInd w:val="0"/>
        <w:snapToGrid w:val="0"/>
        <w:spacing w:line="360" w:lineRule="auto"/>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p>
    <w:p w14:paraId="516471FB">
      <w:pPr>
        <w:pStyle w:val="15"/>
        <w:adjustRightInd w:val="0"/>
        <w:snapToGrid w:val="0"/>
        <w:spacing w:line="360" w:lineRule="auto"/>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p>
    <w:p w14:paraId="6FF281D5">
      <w:pPr>
        <w:pStyle w:val="15"/>
        <w:adjustRightInd w:val="0"/>
        <w:snapToGrid w:val="0"/>
        <w:spacing w:line="360" w:lineRule="auto"/>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p>
    <w:p w14:paraId="20C94DBE">
      <w:pPr>
        <w:pStyle w:val="15"/>
        <w:adjustRightInd w:val="0"/>
        <w:snapToGrid w:val="0"/>
        <w:spacing w:line="360" w:lineRule="auto"/>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p>
    <w:p w14:paraId="4CC43D8D">
      <w:pPr>
        <w:rPr>
          <w:rFonts w:hint="default" w:ascii="Times New Roman" w:hAnsi="Times New Roman" w:eastAsia="宋体" w:cs="Times New Roman"/>
          <w:caps w:val="0"/>
          <w:color w:val="000000" w:themeColor="text1"/>
          <w:highlight w:val="none"/>
          <w14:textFill>
            <w14:solidFill>
              <w14:schemeClr w14:val="tx1"/>
            </w14:solidFill>
          </w14:textFill>
        </w:rPr>
      </w:pPr>
    </w:p>
    <w:p w14:paraId="0964FF3A">
      <w:pPr>
        <w:pStyle w:val="15"/>
        <w:adjustRightInd w:val="0"/>
        <w:snapToGrid w:val="0"/>
        <w:spacing w:line="360" w:lineRule="auto"/>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p>
    <w:p w14:paraId="09A85A49">
      <w:pPr>
        <w:pStyle w:val="15"/>
        <w:adjustRightInd w:val="0"/>
        <w:snapToGrid w:val="0"/>
        <w:spacing w:line="360" w:lineRule="auto"/>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p>
    <w:p w14:paraId="09E19ABB">
      <w:pPr>
        <w:rPr>
          <w:rFonts w:hint="default" w:ascii="Times New Roman" w:hAnsi="Times New Roman" w:eastAsia="宋体" w:cs="Times New Roman"/>
          <w:caps w:val="0"/>
          <w:color w:val="000000" w:themeColor="text1"/>
          <w:highlight w:val="none"/>
          <w14:textFill>
            <w14:solidFill>
              <w14:schemeClr w14:val="tx1"/>
            </w14:solidFill>
          </w14:textFill>
        </w:rPr>
      </w:pPr>
    </w:p>
    <w:p w14:paraId="292C7F48">
      <w:pPr>
        <w:pStyle w:val="2"/>
        <w:rPr>
          <w:rFonts w:hint="default"/>
        </w:rPr>
      </w:pPr>
    </w:p>
    <w:p w14:paraId="06009EA9">
      <w:pPr>
        <w:pStyle w:val="15"/>
        <w:adjustRightInd w:val="0"/>
        <w:snapToGrid w:val="0"/>
        <w:spacing w:line="360" w:lineRule="auto"/>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p>
    <w:p w14:paraId="23B59541">
      <w:pPr>
        <w:pStyle w:val="1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r>
        <w:rPr>
          <w:rFonts w:hint="default" w:ascii="Times New Roman" w:hAnsi="Times New Roman" w:eastAsia="宋体" w:cs="Times New Roman"/>
          <w:caps w:val="0"/>
          <w:color w:val="000000" w:themeColor="text1"/>
          <w:sz w:val="24"/>
          <w:szCs w:val="24"/>
          <w:highlight w:val="none"/>
          <w14:textFill>
            <w14:solidFill>
              <w14:schemeClr w14:val="tx1"/>
            </w14:solidFill>
          </w14:textFill>
        </w:rPr>
        <w:t>附件</w:t>
      </w:r>
      <w:r>
        <w:rPr>
          <w:rFonts w:hint="default" w:ascii="Times New Roman" w:hAnsi="Times New Roman" w:eastAsia="宋体" w:cs="Times New Roman"/>
          <w:caps w:val="0"/>
          <w:color w:val="000000" w:themeColor="text1"/>
          <w:sz w:val="24"/>
          <w:szCs w:val="24"/>
          <w:highlight w:val="none"/>
          <w:lang w:val="en-US" w:eastAsia="zh-CN"/>
          <w14:textFill>
            <w14:solidFill>
              <w14:schemeClr w14:val="tx1"/>
            </w14:solidFill>
          </w14:textFill>
        </w:rPr>
        <w:t>七</w:t>
      </w:r>
    </w:p>
    <w:p w14:paraId="3259D6BC">
      <w:pPr>
        <w:pStyle w:val="15"/>
        <w:adjustRightInd w:val="0"/>
        <w:snapToGrid w:val="0"/>
        <w:spacing w:line="360" w:lineRule="auto"/>
        <w:jc w:val="center"/>
        <w:rPr>
          <w:rFonts w:hint="default" w:ascii="Times New Roman" w:hAnsi="Times New Roman" w:eastAsia="宋体" w:cs="Times New Roman"/>
          <w:b/>
          <w:caps w:val="0"/>
          <w:color w:val="000000" w:themeColor="text1"/>
          <w:sz w:val="28"/>
          <w:szCs w:val="28"/>
          <w:highlight w:val="none"/>
          <w14:textFill>
            <w14:solidFill>
              <w14:schemeClr w14:val="tx1"/>
            </w14:solidFill>
          </w14:textFill>
        </w:rPr>
      </w:pPr>
      <w:r>
        <w:rPr>
          <w:rFonts w:hint="default" w:ascii="Times New Roman" w:hAnsi="Times New Roman" w:eastAsia="宋体" w:cs="Times New Roman"/>
          <w:b/>
          <w:caps w:val="0"/>
          <w:color w:val="000000" w:themeColor="text1"/>
          <w:sz w:val="28"/>
          <w:szCs w:val="28"/>
          <w:highlight w:val="none"/>
          <w14:textFill>
            <w14:solidFill>
              <w14:schemeClr w14:val="tx1"/>
            </w14:solidFill>
          </w14:textFill>
        </w:rPr>
        <w:t>项目负责人及配备人员情况表</w:t>
      </w:r>
    </w:p>
    <w:p w14:paraId="7C9568A2">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
          <w:caps w:val="0"/>
          <w:color w:val="000000" w:themeColor="text1"/>
          <w:sz w:val="24"/>
          <w:szCs w:val="24"/>
          <w:highlight w:val="none"/>
          <w14:textFill>
            <w14:solidFill>
              <w14:schemeClr w14:val="tx1"/>
            </w14:solidFill>
          </w14:textFill>
        </w:rPr>
      </w:pPr>
      <w:r>
        <w:rPr>
          <w:rFonts w:hint="default" w:ascii="Times New Roman" w:hAnsi="Times New Roman" w:eastAsia="宋体" w:cs="Times New Roman"/>
          <w:caps w:val="0"/>
          <w:color w:val="000000" w:themeColor="text1"/>
          <w:sz w:val="24"/>
          <w:szCs w:val="24"/>
          <w:highlight w:val="none"/>
          <w:shd w:val="clear" w:color="auto" w:fill="FFFFFF"/>
          <w14:textFill>
            <w14:solidFill>
              <w14:schemeClr w14:val="tx1"/>
            </w14:solidFill>
          </w14:textFill>
        </w:rPr>
        <w:t>项目名称：</w:t>
      </w:r>
      <w:r>
        <w:rPr>
          <w:rFonts w:hint="default" w:ascii="Times New Roman" w:hAnsi="Times New Roman" w:eastAsia="宋体" w:cs="Times New Roman"/>
          <w:caps w:val="0"/>
          <w:color w:val="000000" w:themeColor="text1"/>
          <w:sz w:val="24"/>
          <w:szCs w:val="24"/>
          <w:highlight w:val="none"/>
          <w:u w:val="single"/>
          <w:shd w:val="clear" w:color="auto" w:fill="FFFFFF"/>
          <w:lang w:val="en-US" w:eastAsia="zh-CN"/>
          <w14:textFill>
            <w14:solidFill>
              <w14:schemeClr w14:val="tx1"/>
            </w14:solidFill>
          </w14:textFill>
        </w:rPr>
        <w:t xml:space="preserve">西湾和苑人行天桥管线迁改设计施工总承包 </w:t>
      </w:r>
    </w:p>
    <w:tbl>
      <w:tblPr>
        <w:tblStyle w:val="29"/>
        <w:tblW w:w="91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8"/>
        <w:gridCol w:w="1500"/>
        <w:gridCol w:w="1765"/>
        <w:gridCol w:w="1424"/>
        <w:gridCol w:w="1399"/>
        <w:gridCol w:w="2269"/>
      </w:tblGrid>
      <w:tr w14:paraId="3ACF6E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jc w:val="center"/>
        </w:trPr>
        <w:tc>
          <w:tcPr>
            <w:tcW w:w="758" w:type="dxa"/>
            <w:vAlign w:val="center"/>
          </w:tcPr>
          <w:p w14:paraId="5E92C7B7">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b/>
                <w:bCs/>
                <w:caps w:val="0"/>
                <w:color w:val="000000" w:themeColor="text1"/>
                <w:kern w:val="0"/>
                <w:sz w:val="24"/>
                <w:szCs w:val="24"/>
                <w:highlight w:val="none"/>
                <w14:textFill>
                  <w14:solidFill>
                    <w14:schemeClr w14:val="tx1"/>
                  </w14:solidFill>
                </w14:textFill>
              </w:rPr>
            </w:pPr>
            <w:r>
              <w:rPr>
                <w:rFonts w:hint="default" w:ascii="Times New Roman" w:hAnsi="Times New Roman" w:eastAsia="宋体" w:cs="Times New Roman"/>
                <w:b/>
                <w:bCs/>
                <w:caps w:val="0"/>
                <w:color w:val="000000" w:themeColor="text1"/>
                <w:kern w:val="0"/>
                <w:sz w:val="24"/>
                <w:szCs w:val="24"/>
                <w:highlight w:val="none"/>
                <w14:textFill>
                  <w14:solidFill>
                    <w14:schemeClr w14:val="tx1"/>
                  </w14:solidFill>
                </w14:textFill>
              </w:rPr>
              <w:t>序号</w:t>
            </w:r>
          </w:p>
        </w:tc>
        <w:tc>
          <w:tcPr>
            <w:tcW w:w="1500" w:type="dxa"/>
            <w:vAlign w:val="center"/>
          </w:tcPr>
          <w:p w14:paraId="608B3B45">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b/>
                <w:bCs/>
                <w:caps w:val="0"/>
                <w:color w:val="000000" w:themeColor="text1"/>
                <w:kern w:val="0"/>
                <w:sz w:val="24"/>
                <w:szCs w:val="24"/>
                <w:highlight w:val="none"/>
                <w14:textFill>
                  <w14:solidFill>
                    <w14:schemeClr w14:val="tx1"/>
                  </w14:solidFill>
                </w14:textFill>
              </w:rPr>
            </w:pPr>
            <w:r>
              <w:rPr>
                <w:rFonts w:hint="default" w:ascii="Times New Roman" w:hAnsi="Times New Roman" w:eastAsia="宋体" w:cs="Times New Roman"/>
                <w:b/>
                <w:bCs/>
                <w:caps w:val="0"/>
                <w:color w:val="000000" w:themeColor="text1"/>
                <w:kern w:val="0"/>
                <w:sz w:val="24"/>
                <w:szCs w:val="24"/>
                <w:highlight w:val="none"/>
                <w14:textFill>
                  <w14:solidFill>
                    <w14:schemeClr w14:val="tx1"/>
                  </w14:solidFill>
                </w14:textFill>
              </w:rPr>
              <w:t>职责</w:t>
            </w:r>
          </w:p>
          <w:p w14:paraId="326A19D3">
            <w:pPr>
              <w:keepNext w:val="0"/>
              <w:keepLines w:val="0"/>
              <w:pageBreakBefore w:val="0"/>
              <w:widowControl w:val="0"/>
              <w:tabs>
                <w:tab w:val="left" w:pos="1322"/>
              </w:tabs>
              <w:kinsoku/>
              <w:wordWrap/>
              <w:overflowPunct/>
              <w:topLinePunct w:val="0"/>
              <w:bidi w:val="0"/>
              <w:snapToGrid/>
              <w:spacing w:line="240" w:lineRule="auto"/>
              <w:jc w:val="center"/>
              <w:textAlignment w:val="auto"/>
              <w:rPr>
                <w:rFonts w:hint="default" w:ascii="Times New Roman" w:hAnsi="Times New Roman" w:eastAsia="宋体" w:cs="Times New Roman"/>
                <w:caps w:val="0"/>
                <w:color w:val="000000" w:themeColor="text1"/>
                <w:sz w:val="24"/>
                <w:szCs w:val="24"/>
                <w:highlight w:val="none"/>
                <w:lang w:val="en-GB"/>
                <w14:textFill>
                  <w14:solidFill>
                    <w14:schemeClr w14:val="tx1"/>
                  </w14:solidFill>
                </w14:textFill>
              </w:rPr>
            </w:pPr>
            <w:r>
              <w:rPr>
                <w:rFonts w:hint="default" w:ascii="Times New Roman" w:hAnsi="Times New Roman" w:eastAsia="宋体" w:cs="Times New Roman"/>
                <w:b/>
                <w:bCs/>
                <w:caps w:val="0"/>
                <w:color w:val="000000" w:themeColor="text1"/>
                <w:kern w:val="0"/>
                <w:sz w:val="24"/>
                <w:szCs w:val="24"/>
                <w:highlight w:val="none"/>
                <w14:textFill>
                  <w14:solidFill>
                    <w14:schemeClr w14:val="tx1"/>
                  </w14:solidFill>
                </w14:textFill>
              </w:rPr>
              <w:t>分工</w:t>
            </w:r>
          </w:p>
        </w:tc>
        <w:tc>
          <w:tcPr>
            <w:tcW w:w="1765" w:type="dxa"/>
            <w:vAlign w:val="center"/>
          </w:tcPr>
          <w:p w14:paraId="5B2D4729">
            <w:pPr>
              <w:keepNext w:val="0"/>
              <w:keepLines w:val="0"/>
              <w:pageBreakBefore w:val="0"/>
              <w:widowControl w:val="0"/>
              <w:tabs>
                <w:tab w:val="left" w:pos="1322"/>
              </w:tabs>
              <w:kinsoku/>
              <w:wordWrap/>
              <w:overflowPunct/>
              <w:topLinePunct w:val="0"/>
              <w:bidi w:val="0"/>
              <w:snapToGrid/>
              <w:spacing w:line="240" w:lineRule="auto"/>
              <w:jc w:val="center"/>
              <w:textAlignment w:val="auto"/>
              <w:rPr>
                <w:rFonts w:hint="default" w:ascii="Times New Roman" w:hAnsi="Times New Roman" w:eastAsia="宋体" w:cs="Times New Roman"/>
                <w:caps w:val="0"/>
                <w:color w:val="000000" w:themeColor="text1"/>
                <w:sz w:val="24"/>
                <w:szCs w:val="24"/>
                <w:highlight w:val="none"/>
                <w:lang w:val="en-GB"/>
                <w14:textFill>
                  <w14:solidFill>
                    <w14:schemeClr w14:val="tx1"/>
                  </w14:solidFill>
                </w14:textFill>
              </w:rPr>
            </w:pPr>
            <w:r>
              <w:rPr>
                <w:rFonts w:hint="default" w:ascii="Times New Roman" w:hAnsi="Times New Roman" w:eastAsia="宋体" w:cs="Times New Roman"/>
                <w:b/>
                <w:bCs/>
                <w:caps w:val="0"/>
                <w:color w:val="000000" w:themeColor="text1"/>
                <w:kern w:val="0"/>
                <w:sz w:val="24"/>
                <w:szCs w:val="24"/>
                <w:highlight w:val="none"/>
                <w14:textFill>
                  <w14:solidFill>
                    <w14:schemeClr w14:val="tx1"/>
                  </w14:solidFill>
                </w14:textFill>
              </w:rPr>
              <w:t>姓名</w:t>
            </w:r>
          </w:p>
        </w:tc>
        <w:tc>
          <w:tcPr>
            <w:tcW w:w="1424" w:type="dxa"/>
            <w:vAlign w:val="center"/>
          </w:tcPr>
          <w:p w14:paraId="0F0E8FF5">
            <w:pPr>
              <w:keepNext w:val="0"/>
              <w:keepLines w:val="0"/>
              <w:pageBreakBefore w:val="0"/>
              <w:widowControl w:val="0"/>
              <w:tabs>
                <w:tab w:val="left" w:pos="1322"/>
              </w:tabs>
              <w:kinsoku/>
              <w:wordWrap/>
              <w:overflowPunct/>
              <w:topLinePunct w:val="0"/>
              <w:bidi w:val="0"/>
              <w:snapToGrid/>
              <w:spacing w:line="240" w:lineRule="auto"/>
              <w:jc w:val="center"/>
              <w:textAlignment w:val="auto"/>
              <w:rPr>
                <w:rFonts w:hint="default" w:ascii="Times New Roman" w:hAnsi="Times New Roman" w:eastAsia="宋体" w:cs="Times New Roman"/>
                <w:b/>
                <w:bCs/>
                <w:caps w:val="0"/>
                <w:color w:val="000000" w:themeColor="text1"/>
                <w:kern w:val="0"/>
                <w:sz w:val="24"/>
                <w:szCs w:val="24"/>
                <w:highlight w:val="none"/>
                <w14:textFill>
                  <w14:solidFill>
                    <w14:schemeClr w14:val="tx1"/>
                  </w14:solidFill>
                </w14:textFill>
              </w:rPr>
            </w:pPr>
            <w:r>
              <w:rPr>
                <w:rFonts w:hint="default" w:ascii="Times New Roman" w:hAnsi="Times New Roman" w:eastAsia="宋体" w:cs="Times New Roman"/>
                <w:b/>
                <w:bCs/>
                <w:caps w:val="0"/>
                <w:color w:val="000000" w:themeColor="text1"/>
                <w:kern w:val="0"/>
                <w:sz w:val="24"/>
                <w:szCs w:val="24"/>
                <w:highlight w:val="none"/>
                <w14:textFill>
                  <w14:solidFill>
                    <w14:schemeClr w14:val="tx1"/>
                  </w14:solidFill>
                </w14:textFill>
              </w:rPr>
              <w:t>学历</w:t>
            </w:r>
          </w:p>
        </w:tc>
        <w:tc>
          <w:tcPr>
            <w:tcW w:w="1399" w:type="dxa"/>
            <w:vAlign w:val="center"/>
          </w:tcPr>
          <w:p w14:paraId="4F36B692">
            <w:pPr>
              <w:keepNext w:val="0"/>
              <w:keepLines w:val="0"/>
              <w:pageBreakBefore w:val="0"/>
              <w:widowControl w:val="0"/>
              <w:tabs>
                <w:tab w:val="left" w:pos="1322"/>
              </w:tabs>
              <w:kinsoku/>
              <w:wordWrap/>
              <w:overflowPunct/>
              <w:topLinePunct w:val="0"/>
              <w:bidi w:val="0"/>
              <w:snapToGrid/>
              <w:spacing w:line="240" w:lineRule="auto"/>
              <w:jc w:val="center"/>
              <w:textAlignment w:val="auto"/>
              <w:rPr>
                <w:rFonts w:hint="default" w:ascii="Times New Roman" w:hAnsi="Times New Roman" w:eastAsia="宋体" w:cs="Times New Roman"/>
                <w:b/>
                <w:bCs/>
                <w:caps w:val="0"/>
                <w:color w:val="000000" w:themeColor="text1"/>
                <w:kern w:val="0"/>
                <w:sz w:val="24"/>
                <w:szCs w:val="24"/>
                <w:highlight w:val="none"/>
                <w14:textFill>
                  <w14:solidFill>
                    <w14:schemeClr w14:val="tx1"/>
                  </w14:solidFill>
                </w14:textFill>
              </w:rPr>
            </w:pPr>
            <w:r>
              <w:rPr>
                <w:rFonts w:hint="default" w:ascii="Times New Roman" w:hAnsi="Times New Roman" w:eastAsia="宋体" w:cs="Times New Roman"/>
                <w:b/>
                <w:bCs/>
                <w:caps w:val="0"/>
                <w:color w:val="000000" w:themeColor="text1"/>
                <w:kern w:val="0"/>
                <w:sz w:val="24"/>
                <w:szCs w:val="24"/>
                <w:highlight w:val="none"/>
                <w14:textFill>
                  <w14:solidFill>
                    <w14:schemeClr w14:val="tx1"/>
                  </w14:solidFill>
                </w14:textFill>
              </w:rPr>
              <w:t>职称/注册执业资格</w:t>
            </w:r>
          </w:p>
        </w:tc>
        <w:tc>
          <w:tcPr>
            <w:tcW w:w="2269" w:type="dxa"/>
            <w:vAlign w:val="center"/>
          </w:tcPr>
          <w:p w14:paraId="78676079">
            <w:pPr>
              <w:keepNext w:val="0"/>
              <w:keepLines w:val="0"/>
              <w:pageBreakBefore w:val="0"/>
              <w:widowControl w:val="0"/>
              <w:tabs>
                <w:tab w:val="left" w:pos="1322"/>
              </w:tabs>
              <w:kinsoku/>
              <w:wordWrap/>
              <w:overflowPunct/>
              <w:topLinePunct w:val="0"/>
              <w:bidi w:val="0"/>
              <w:snapToGrid/>
              <w:spacing w:line="240" w:lineRule="auto"/>
              <w:jc w:val="center"/>
              <w:textAlignment w:val="auto"/>
              <w:rPr>
                <w:rFonts w:hint="default" w:ascii="Times New Roman" w:hAnsi="Times New Roman" w:eastAsia="宋体" w:cs="Times New Roman"/>
                <w:caps w:val="0"/>
                <w:color w:val="000000" w:themeColor="text1"/>
                <w:sz w:val="24"/>
                <w:szCs w:val="24"/>
                <w:highlight w:val="none"/>
                <w:lang w:val="en-GB"/>
                <w14:textFill>
                  <w14:solidFill>
                    <w14:schemeClr w14:val="tx1"/>
                  </w14:solidFill>
                </w14:textFill>
              </w:rPr>
            </w:pPr>
            <w:r>
              <w:rPr>
                <w:rFonts w:hint="default" w:ascii="Times New Roman" w:hAnsi="Times New Roman" w:eastAsia="宋体" w:cs="Times New Roman"/>
                <w:b/>
                <w:bCs/>
                <w:caps w:val="0"/>
                <w:color w:val="000000" w:themeColor="text1"/>
                <w:kern w:val="0"/>
                <w:sz w:val="24"/>
                <w:szCs w:val="24"/>
                <w:highlight w:val="none"/>
                <w14:textFill>
                  <w14:solidFill>
                    <w14:schemeClr w14:val="tx1"/>
                  </w14:solidFill>
                </w14:textFill>
              </w:rPr>
              <w:t>证书编号（如有）</w:t>
            </w:r>
          </w:p>
        </w:tc>
      </w:tr>
      <w:tr w14:paraId="1515D2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jc w:val="center"/>
        </w:trPr>
        <w:tc>
          <w:tcPr>
            <w:tcW w:w="758" w:type="dxa"/>
            <w:vAlign w:val="center"/>
          </w:tcPr>
          <w:p w14:paraId="52C0AF73">
            <w:pPr>
              <w:keepNext w:val="0"/>
              <w:keepLines w:val="0"/>
              <w:pageBreakBefore w:val="0"/>
              <w:widowControl w:val="0"/>
              <w:tabs>
                <w:tab w:val="left" w:pos="1322"/>
              </w:tabs>
              <w:kinsoku/>
              <w:wordWrap/>
              <w:overflowPunct/>
              <w:topLinePunct w:val="0"/>
              <w:bidi w:val="0"/>
              <w:snapToGrid/>
              <w:spacing w:line="240" w:lineRule="auto"/>
              <w:jc w:val="center"/>
              <w:textAlignment w:val="auto"/>
              <w:rPr>
                <w:rFonts w:hint="default" w:ascii="Times New Roman" w:hAnsi="Times New Roman" w:eastAsia="宋体" w:cs="Times New Roman"/>
                <w:caps w:val="0"/>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宋体" w:cs="Times New Roman"/>
                <w:caps w:val="0"/>
                <w:color w:val="000000" w:themeColor="text1"/>
                <w:kern w:val="0"/>
                <w:sz w:val="24"/>
                <w:szCs w:val="24"/>
                <w:highlight w:val="none"/>
                <w14:textFill>
                  <w14:solidFill>
                    <w14:schemeClr w14:val="tx1"/>
                  </w14:solidFill>
                </w14:textFill>
              </w:rPr>
              <w:t>1</w:t>
            </w:r>
          </w:p>
        </w:tc>
        <w:tc>
          <w:tcPr>
            <w:tcW w:w="1500" w:type="dxa"/>
            <w:vAlign w:val="center"/>
          </w:tcPr>
          <w:p w14:paraId="4AB74483">
            <w:pPr>
              <w:keepNext w:val="0"/>
              <w:keepLines w:val="0"/>
              <w:pageBreakBefore w:val="0"/>
              <w:widowControl w:val="0"/>
              <w:tabs>
                <w:tab w:val="left" w:pos="1322"/>
              </w:tabs>
              <w:kinsoku/>
              <w:wordWrap/>
              <w:overflowPunct/>
              <w:topLinePunct w:val="0"/>
              <w:bidi w:val="0"/>
              <w:snapToGrid/>
              <w:spacing w:line="240" w:lineRule="auto"/>
              <w:jc w:val="center"/>
              <w:textAlignment w:val="auto"/>
              <w:rPr>
                <w:rFonts w:hint="default" w:ascii="Times New Roman" w:hAnsi="Times New Roman" w:eastAsia="宋体" w:cs="Times New Roman"/>
                <w:caps w:val="0"/>
                <w:color w:val="000000" w:themeColor="text1"/>
                <w:kern w:val="2"/>
                <w:sz w:val="24"/>
                <w:szCs w:val="24"/>
                <w:highlight w:val="none"/>
                <w:lang w:val="en-GB" w:eastAsia="zh-CN" w:bidi="ar-SA"/>
                <w14:textFill>
                  <w14:solidFill>
                    <w14:schemeClr w14:val="tx1"/>
                  </w14:solidFill>
                </w14:textFill>
              </w:rPr>
            </w:pPr>
            <w:r>
              <w:rPr>
                <w:rFonts w:hint="default" w:ascii="Times New Roman" w:hAnsi="Times New Roman" w:eastAsia="宋体" w:cs="Times New Roman"/>
                <w:caps w:val="0"/>
                <w:color w:val="000000" w:themeColor="text1"/>
                <w:kern w:val="0"/>
                <w:sz w:val="24"/>
                <w:szCs w:val="24"/>
                <w:highlight w:val="none"/>
                <w14:textFill>
                  <w14:solidFill>
                    <w14:schemeClr w14:val="tx1"/>
                  </w14:solidFill>
                </w14:textFill>
              </w:rPr>
              <w:t>项目负责人</w:t>
            </w:r>
          </w:p>
        </w:tc>
        <w:tc>
          <w:tcPr>
            <w:tcW w:w="1765" w:type="dxa"/>
            <w:vAlign w:val="center"/>
          </w:tcPr>
          <w:p w14:paraId="2388797D">
            <w:pPr>
              <w:keepNext w:val="0"/>
              <w:keepLines w:val="0"/>
              <w:pageBreakBefore w:val="0"/>
              <w:widowControl w:val="0"/>
              <w:tabs>
                <w:tab w:val="left" w:pos="1322"/>
              </w:tabs>
              <w:kinsoku/>
              <w:wordWrap/>
              <w:overflowPunct/>
              <w:topLinePunct w:val="0"/>
              <w:bidi w:val="0"/>
              <w:snapToGrid/>
              <w:spacing w:line="240" w:lineRule="auto"/>
              <w:jc w:val="center"/>
              <w:textAlignment w:val="auto"/>
              <w:rPr>
                <w:rFonts w:hint="default" w:ascii="Times New Roman" w:hAnsi="Times New Roman" w:eastAsia="宋体" w:cs="Times New Roman"/>
                <w:caps w:val="0"/>
                <w:color w:val="000000" w:themeColor="text1"/>
                <w:kern w:val="2"/>
                <w:sz w:val="24"/>
                <w:szCs w:val="24"/>
                <w:highlight w:val="none"/>
                <w:lang w:val="en-GB" w:eastAsia="zh-CN" w:bidi="ar-SA"/>
                <w14:textFill>
                  <w14:solidFill>
                    <w14:schemeClr w14:val="tx1"/>
                  </w14:solidFill>
                </w14:textFill>
              </w:rPr>
            </w:pPr>
          </w:p>
        </w:tc>
        <w:tc>
          <w:tcPr>
            <w:tcW w:w="1424" w:type="dxa"/>
            <w:vAlign w:val="center"/>
          </w:tcPr>
          <w:p w14:paraId="57609A0C">
            <w:pPr>
              <w:keepNext w:val="0"/>
              <w:keepLines w:val="0"/>
              <w:pageBreakBefore w:val="0"/>
              <w:widowControl w:val="0"/>
              <w:tabs>
                <w:tab w:val="left" w:pos="1322"/>
              </w:tabs>
              <w:kinsoku/>
              <w:wordWrap/>
              <w:overflowPunct/>
              <w:topLinePunct w:val="0"/>
              <w:bidi w:val="0"/>
              <w:snapToGrid/>
              <w:spacing w:line="240" w:lineRule="auto"/>
              <w:jc w:val="center"/>
              <w:textAlignment w:val="auto"/>
              <w:rPr>
                <w:rFonts w:hint="default" w:ascii="Times New Roman" w:hAnsi="Times New Roman" w:eastAsia="宋体" w:cs="Times New Roman"/>
                <w:caps w:val="0"/>
                <w:color w:val="000000" w:themeColor="text1"/>
                <w:kern w:val="2"/>
                <w:sz w:val="24"/>
                <w:szCs w:val="24"/>
                <w:highlight w:val="none"/>
                <w:lang w:val="en-GB" w:eastAsia="zh-CN" w:bidi="ar-SA"/>
                <w14:textFill>
                  <w14:solidFill>
                    <w14:schemeClr w14:val="tx1"/>
                  </w14:solidFill>
                </w14:textFill>
              </w:rPr>
            </w:pPr>
          </w:p>
        </w:tc>
        <w:tc>
          <w:tcPr>
            <w:tcW w:w="1399" w:type="dxa"/>
            <w:vAlign w:val="center"/>
          </w:tcPr>
          <w:p w14:paraId="3E89799F">
            <w:pPr>
              <w:keepNext w:val="0"/>
              <w:keepLines w:val="0"/>
              <w:pageBreakBefore w:val="0"/>
              <w:widowControl w:val="0"/>
              <w:tabs>
                <w:tab w:val="left" w:pos="1322"/>
              </w:tabs>
              <w:kinsoku/>
              <w:wordWrap/>
              <w:overflowPunct/>
              <w:topLinePunct w:val="0"/>
              <w:bidi w:val="0"/>
              <w:snapToGrid/>
              <w:spacing w:line="240" w:lineRule="auto"/>
              <w:jc w:val="center"/>
              <w:textAlignment w:val="auto"/>
              <w:rPr>
                <w:rFonts w:hint="default" w:ascii="Times New Roman" w:hAnsi="Times New Roman" w:eastAsia="宋体" w:cs="Times New Roman"/>
                <w:caps w:val="0"/>
                <w:color w:val="000000" w:themeColor="text1"/>
                <w:kern w:val="2"/>
                <w:sz w:val="24"/>
                <w:szCs w:val="24"/>
                <w:highlight w:val="none"/>
                <w:lang w:val="en-GB" w:eastAsia="zh-CN" w:bidi="ar-SA"/>
                <w14:textFill>
                  <w14:solidFill>
                    <w14:schemeClr w14:val="tx1"/>
                  </w14:solidFill>
                </w14:textFill>
              </w:rPr>
            </w:pPr>
          </w:p>
        </w:tc>
        <w:tc>
          <w:tcPr>
            <w:tcW w:w="2269" w:type="dxa"/>
            <w:vAlign w:val="center"/>
          </w:tcPr>
          <w:p w14:paraId="43D3D0B8">
            <w:pPr>
              <w:keepNext w:val="0"/>
              <w:keepLines w:val="0"/>
              <w:pageBreakBefore w:val="0"/>
              <w:widowControl w:val="0"/>
              <w:tabs>
                <w:tab w:val="left" w:pos="1322"/>
              </w:tabs>
              <w:kinsoku/>
              <w:wordWrap/>
              <w:overflowPunct/>
              <w:topLinePunct w:val="0"/>
              <w:bidi w:val="0"/>
              <w:snapToGrid/>
              <w:spacing w:line="240" w:lineRule="auto"/>
              <w:jc w:val="center"/>
              <w:textAlignment w:val="auto"/>
              <w:rPr>
                <w:rFonts w:hint="default" w:ascii="Times New Roman" w:hAnsi="Times New Roman" w:eastAsia="宋体" w:cs="Times New Roman"/>
                <w:caps w:val="0"/>
                <w:color w:val="000000" w:themeColor="text1"/>
                <w:kern w:val="2"/>
                <w:sz w:val="24"/>
                <w:szCs w:val="24"/>
                <w:highlight w:val="none"/>
                <w:lang w:val="en-GB" w:eastAsia="zh-CN" w:bidi="ar-SA"/>
                <w14:textFill>
                  <w14:solidFill>
                    <w14:schemeClr w14:val="tx1"/>
                  </w14:solidFill>
                </w14:textFill>
              </w:rPr>
            </w:pPr>
          </w:p>
        </w:tc>
      </w:tr>
      <w:tr w14:paraId="28B28A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jc w:val="center"/>
        </w:trPr>
        <w:tc>
          <w:tcPr>
            <w:tcW w:w="758" w:type="dxa"/>
            <w:vAlign w:val="center"/>
          </w:tcPr>
          <w:p w14:paraId="1B69E580">
            <w:pPr>
              <w:keepNext w:val="0"/>
              <w:keepLines w:val="0"/>
              <w:pageBreakBefore w:val="0"/>
              <w:widowControl w:val="0"/>
              <w:tabs>
                <w:tab w:val="left" w:pos="1322"/>
              </w:tabs>
              <w:kinsoku/>
              <w:wordWrap/>
              <w:overflowPunct/>
              <w:topLinePunct w:val="0"/>
              <w:bidi w:val="0"/>
              <w:snapToGrid/>
              <w:spacing w:line="240" w:lineRule="auto"/>
              <w:jc w:val="center"/>
              <w:textAlignment w:val="auto"/>
              <w:rPr>
                <w:rFonts w:hint="default" w:ascii="Times New Roman" w:hAnsi="Times New Roman" w:eastAsia="宋体" w:cs="Times New Roman"/>
                <w:caps w:val="0"/>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 w:val="24"/>
                <w:szCs w:val="24"/>
                <w:highlight w:val="none"/>
                <w:lang w:val="en-US" w:eastAsia="zh-CN"/>
                <w14:textFill>
                  <w14:solidFill>
                    <w14:schemeClr w14:val="tx1"/>
                  </w14:solidFill>
                </w14:textFill>
              </w:rPr>
              <w:t>2</w:t>
            </w:r>
          </w:p>
        </w:tc>
        <w:tc>
          <w:tcPr>
            <w:tcW w:w="1500" w:type="dxa"/>
            <w:vAlign w:val="center"/>
          </w:tcPr>
          <w:p w14:paraId="31DADCDB">
            <w:pPr>
              <w:keepNext w:val="0"/>
              <w:keepLines w:val="0"/>
              <w:pageBreakBefore w:val="0"/>
              <w:widowControl w:val="0"/>
              <w:tabs>
                <w:tab w:val="left" w:pos="1322"/>
              </w:tabs>
              <w:kinsoku/>
              <w:wordWrap/>
              <w:overflowPunct/>
              <w:topLinePunct w:val="0"/>
              <w:bidi w:val="0"/>
              <w:snapToGrid/>
              <w:spacing w:line="240" w:lineRule="auto"/>
              <w:jc w:val="center"/>
              <w:textAlignment w:val="auto"/>
              <w:rPr>
                <w:rFonts w:hint="default" w:ascii="Times New Roman" w:hAnsi="Times New Roman" w:eastAsia="宋体" w:cs="Times New Roman"/>
                <w:caps w:val="0"/>
                <w:color w:val="000000" w:themeColor="text1"/>
                <w:sz w:val="24"/>
                <w:szCs w:val="24"/>
                <w:highlight w:val="none"/>
                <w:lang w:val="en-US"/>
                <w14:textFill>
                  <w14:solidFill>
                    <w14:schemeClr w14:val="tx1"/>
                  </w14:solidFill>
                </w14:textFill>
              </w:rPr>
            </w:pPr>
            <w:r>
              <w:rPr>
                <w:rFonts w:hint="default" w:ascii="Times New Roman" w:hAnsi="Times New Roman" w:cs="Times New Roman"/>
                <w:color w:val="auto"/>
                <w:sz w:val="24"/>
                <w:szCs w:val="24"/>
                <w:highlight w:val="none"/>
              </w:rPr>
              <w:t>设计负责人</w:t>
            </w:r>
          </w:p>
        </w:tc>
        <w:tc>
          <w:tcPr>
            <w:tcW w:w="1765" w:type="dxa"/>
            <w:vAlign w:val="center"/>
          </w:tcPr>
          <w:p w14:paraId="5534E1C0">
            <w:pPr>
              <w:keepNext w:val="0"/>
              <w:keepLines w:val="0"/>
              <w:pageBreakBefore w:val="0"/>
              <w:widowControl w:val="0"/>
              <w:tabs>
                <w:tab w:val="left" w:pos="1322"/>
              </w:tabs>
              <w:kinsoku/>
              <w:wordWrap/>
              <w:overflowPunct/>
              <w:topLinePunct w:val="0"/>
              <w:bidi w:val="0"/>
              <w:snapToGrid/>
              <w:spacing w:line="240" w:lineRule="auto"/>
              <w:jc w:val="center"/>
              <w:textAlignment w:val="auto"/>
              <w:rPr>
                <w:rFonts w:hint="default" w:ascii="Times New Roman" w:hAnsi="Times New Roman" w:eastAsia="宋体" w:cs="Times New Roman"/>
                <w:caps w:val="0"/>
                <w:color w:val="000000" w:themeColor="text1"/>
                <w:sz w:val="24"/>
                <w:szCs w:val="24"/>
                <w:highlight w:val="none"/>
                <w:lang w:val="en-GB"/>
                <w14:textFill>
                  <w14:solidFill>
                    <w14:schemeClr w14:val="tx1"/>
                  </w14:solidFill>
                </w14:textFill>
              </w:rPr>
            </w:pPr>
          </w:p>
        </w:tc>
        <w:tc>
          <w:tcPr>
            <w:tcW w:w="1424" w:type="dxa"/>
            <w:vAlign w:val="center"/>
          </w:tcPr>
          <w:p w14:paraId="65B9EF36">
            <w:pPr>
              <w:keepNext w:val="0"/>
              <w:keepLines w:val="0"/>
              <w:pageBreakBefore w:val="0"/>
              <w:widowControl w:val="0"/>
              <w:tabs>
                <w:tab w:val="left" w:pos="1322"/>
              </w:tabs>
              <w:kinsoku/>
              <w:wordWrap/>
              <w:overflowPunct/>
              <w:topLinePunct w:val="0"/>
              <w:bidi w:val="0"/>
              <w:snapToGrid/>
              <w:spacing w:line="240" w:lineRule="auto"/>
              <w:jc w:val="center"/>
              <w:textAlignment w:val="auto"/>
              <w:rPr>
                <w:rFonts w:hint="default" w:ascii="Times New Roman" w:hAnsi="Times New Roman" w:eastAsia="宋体" w:cs="Times New Roman"/>
                <w:caps w:val="0"/>
                <w:color w:val="000000" w:themeColor="text1"/>
                <w:sz w:val="24"/>
                <w:szCs w:val="24"/>
                <w:highlight w:val="none"/>
                <w:lang w:val="en-GB"/>
                <w14:textFill>
                  <w14:solidFill>
                    <w14:schemeClr w14:val="tx1"/>
                  </w14:solidFill>
                </w14:textFill>
              </w:rPr>
            </w:pPr>
          </w:p>
        </w:tc>
        <w:tc>
          <w:tcPr>
            <w:tcW w:w="1399" w:type="dxa"/>
            <w:vAlign w:val="center"/>
          </w:tcPr>
          <w:p w14:paraId="7680CC12">
            <w:pPr>
              <w:keepNext w:val="0"/>
              <w:keepLines w:val="0"/>
              <w:pageBreakBefore w:val="0"/>
              <w:widowControl w:val="0"/>
              <w:tabs>
                <w:tab w:val="left" w:pos="1322"/>
              </w:tabs>
              <w:kinsoku/>
              <w:wordWrap/>
              <w:overflowPunct/>
              <w:topLinePunct w:val="0"/>
              <w:bidi w:val="0"/>
              <w:snapToGrid/>
              <w:spacing w:line="240" w:lineRule="auto"/>
              <w:jc w:val="center"/>
              <w:textAlignment w:val="auto"/>
              <w:rPr>
                <w:rFonts w:hint="default" w:ascii="Times New Roman" w:hAnsi="Times New Roman" w:eastAsia="宋体" w:cs="Times New Roman"/>
                <w:caps w:val="0"/>
                <w:color w:val="000000" w:themeColor="text1"/>
                <w:sz w:val="24"/>
                <w:szCs w:val="24"/>
                <w:highlight w:val="none"/>
                <w:lang w:val="en-GB"/>
                <w14:textFill>
                  <w14:solidFill>
                    <w14:schemeClr w14:val="tx1"/>
                  </w14:solidFill>
                </w14:textFill>
              </w:rPr>
            </w:pPr>
          </w:p>
        </w:tc>
        <w:tc>
          <w:tcPr>
            <w:tcW w:w="2269" w:type="dxa"/>
            <w:vAlign w:val="center"/>
          </w:tcPr>
          <w:p w14:paraId="622D7DF2">
            <w:pPr>
              <w:keepNext w:val="0"/>
              <w:keepLines w:val="0"/>
              <w:pageBreakBefore w:val="0"/>
              <w:widowControl w:val="0"/>
              <w:tabs>
                <w:tab w:val="left" w:pos="1322"/>
              </w:tabs>
              <w:kinsoku/>
              <w:wordWrap/>
              <w:overflowPunct/>
              <w:topLinePunct w:val="0"/>
              <w:bidi w:val="0"/>
              <w:snapToGrid/>
              <w:spacing w:line="240" w:lineRule="auto"/>
              <w:jc w:val="center"/>
              <w:textAlignment w:val="auto"/>
              <w:rPr>
                <w:rFonts w:hint="default" w:ascii="Times New Roman" w:hAnsi="Times New Roman" w:eastAsia="宋体" w:cs="Times New Roman"/>
                <w:caps w:val="0"/>
                <w:color w:val="000000" w:themeColor="text1"/>
                <w:sz w:val="24"/>
                <w:szCs w:val="24"/>
                <w:highlight w:val="none"/>
                <w:lang w:val="en-GB"/>
                <w14:textFill>
                  <w14:solidFill>
                    <w14:schemeClr w14:val="tx1"/>
                  </w14:solidFill>
                </w14:textFill>
              </w:rPr>
            </w:pPr>
          </w:p>
        </w:tc>
      </w:tr>
      <w:tr w14:paraId="393423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jc w:val="center"/>
        </w:trPr>
        <w:tc>
          <w:tcPr>
            <w:tcW w:w="758" w:type="dxa"/>
            <w:vAlign w:val="center"/>
          </w:tcPr>
          <w:p w14:paraId="103DB9B1">
            <w:pPr>
              <w:keepNext w:val="0"/>
              <w:keepLines w:val="0"/>
              <w:pageBreakBefore w:val="0"/>
              <w:widowControl w:val="0"/>
              <w:tabs>
                <w:tab w:val="left" w:pos="1322"/>
              </w:tabs>
              <w:kinsoku/>
              <w:wordWrap/>
              <w:overflowPunct/>
              <w:topLinePunct w:val="0"/>
              <w:bidi w:val="0"/>
              <w:snapToGrid/>
              <w:spacing w:line="240" w:lineRule="auto"/>
              <w:jc w:val="center"/>
              <w:textAlignment w:val="auto"/>
              <w:rPr>
                <w:rFonts w:hint="default" w:ascii="Times New Roman" w:hAnsi="Times New Roman" w:eastAsia="宋体" w:cs="Times New Roman"/>
                <w:caps w:val="0"/>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 w:val="24"/>
                <w:szCs w:val="24"/>
                <w:highlight w:val="none"/>
                <w:lang w:val="en-US" w:eastAsia="zh-CN"/>
                <w14:textFill>
                  <w14:solidFill>
                    <w14:schemeClr w14:val="tx1"/>
                  </w14:solidFill>
                </w14:textFill>
              </w:rPr>
              <w:t>3</w:t>
            </w:r>
          </w:p>
        </w:tc>
        <w:tc>
          <w:tcPr>
            <w:tcW w:w="1500" w:type="dxa"/>
            <w:vAlign w:val="center"/>
          </w:tcPr>
          <w:p w14:paraId="2A255061">
            <w:pPr>
              <w:keepNext w:val="0"/>
              <w:keepLines w:val="0"/>
              <w:pageBreakBefore w:val="0"/>
              <w:widowControl w:val="0"/>
              <w:tabs>
                <w:tab w:val="left" w:pos="1322"/>
              </w:tabs>
              <w:kinsoku/>
              <w:wordWrap/>
              <w:overflowPunct/>
              <w:topLinePunct w:val="0"/>
              <w:bidi w:val="0"/>
              <w:snapToGrid/>
              <w:spacing w:line="240" w:lineRule="auto"/>
              <w:jc w:val="center"/>
              <w:textAlignment w:val="auto"/>
              <w:rPr>
                <w:rFonts w:hint="default" w:ascii="Times New Roman" w:hAnsi="Times New Roman" w:eastAsia="宋体" w:cs="Times New Roman"/>
                <w:caps w:val="0"/>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color w:val="auto"/>
                <w:sz w:val="24"/>
                <w:szCs w:val="24"/>
                <w:highlight w:val="none"/>
              </w:rPr>
              <w:t>专职安全员</w:t>
            </w:r>
          </w:p>
        </w:tc>
        <w:tc>
          <w:tcPr>
            <w:tcW w:w="1765" w:type="dxa"/>
            <w:vAlign w:val="center"/>
          </w:tcPr>
          <w:p w14:paraId="5D792E2B">
            <w:pPr>
              <w:keepNext w:val="0"/>
              <w:keepLines w:val="0"/>
              <w:pageBreakBefore w:val="0"/>
              <w:widowControl w:val="0"/>
              <w:tabs>
                <w:tab w:val="left" w:pos="1322"/>
              </w:tabs>
              <w:kinsoku/>
              <w:wordWrap/>
              <w:overflowPunct/>
              <w:topLinePunct w:val="0"/>
              <w:bidi w:val="0"/>
              <w:snapToGrid/>
              <w:spacing w:line="240" w:lineRule="auto"/>
              <w:jc w:val="center"/>
              <w:textAlignment w:val="auto"/>
              <w:rPr>
                <w:rFonts w:hint="default" w:ascii="Times New Roman" w:hAnsi="Times New Roman" w:eastAsia="宋体" w:cs="Times New Roman"/>
                <w:caps w:val="0"/>
                <w:color w:val="000000" w:themeColor="text1"/>
                <w:sz w:val="24"/>
                <w:szCs w:val="24"/>
                <w:highlight w:val="none"/>
                <w:lang w:val="en-GB"/>
                <w14:textFill>
                  <w14:solidFill>
                    <w14:schemeClr w14:val="tx1"/>
                  </w14:solidFill>
                </w14:textFill>
              </w:rPr>
            </w:pPr>
          </w:p>
        </w:tc>
        <w:tc>
          <w:tcPr>
            <w:tcW w:w="1424" w:type="dxa"/>
            <w:vAlign w:val="center"/>
          </w:tcPr>
          <w:p w14:paraId="269C3816">
            <w:pPr>
              <w:keepNext w:val="0"/>
              <w:keepLines w:val="0"/>
              <w:pageBreakBefore w:val="0"/>
              <w:widowControl w:val="0"/>
              <w:tabs>
                <w:tab w:val="left" w:pos="1322"/>
              </w:tabs>
              <w:kinsoku/>
              <w:wordWrap/>
              <w:overflowPunct/>
              <w:topLinePunct w:val="0"/>
              <w:bidi w:val="0"/>
              <w:snapToGrid/>
              <w:spacing w:line="240" w:lineRule="auto"/>
              <w:jc w:val="center"/>
              <w:textAlignment w:val="auto"/>
              <w:rPr>
                <w:rFonts w:hint="default" w:ascii="Times New Roman" w:hAnsi="Times New Roman" w:eastAsia="宋体" w:cs="Times New Roman"/>
                <w:caps w:val="0"/>
                <w:color w:val="000000" w:themeColor="text1"/>
                <w:sz w:val="24"/>
                <w:szCs w:val="24"/>
                <w:highlight w:val="none"/>
                <w:lang w:val="en-GB"/>
                <w14:textFill>
                  <w14:solidFill>
                    <w14:schemeClr w14:val="tx1"/>
                  </w14:solidFill>
                </w14:textFill>
              </w:rPr>
            </w:pPr>
          </w:p>
        </w:tc>
        <w:tc>
          <w:tcPr>
            <w:tcW w:w="1399" w:type="dxa"/>
            <w:vAlign w:val="center"/>
          </w:tcPr>
          <w:p w14:paraId="52739930">
            <w:pPr>
              <w:keepNext w:val="0"/>
              <w:keepLines w:val="0"/>
              <w:pageBreakBefore w:val="0"/>
              <w:widowControl w:val="0"/>
              <w:tabs>
                <w:tab w:val="left" w:pos="1322"/>
              </w:tabs>
              <w:kinsoku/>
              <w:wordWrap/>
              <w:overflowPunct/>
              <w:topLinePunct w:val="0"/>
              <w:bidi w:val="0"/>
              <w:snapToGrid/>
              <w:spacing w:line="240" w:lineRule="auto"/>
              <w:jc w:val="center"/>
              <w:textAlignment w:val="auto"/>
              <w:rPr>
                <w:rFonts w:hint="default" w:ascii="Times New Roman" w:hAnsi="Times New Roman" w:eastAsia="宋体" w:cs="Times New Roman"/>
                <w:caps w:val="0"/>
                <w:color w:val="000000" w:themeColor="text1"/>
                <w:sz w:val="24"/>
                <w:szCs w:val="24"/>
                <w:highlight w:val="none"/>
                <w:lang w:val="en-GB"/>
                <w14:textFill>
                  <w14:solidFill>
                    <w14:schemeClr w14:val="tx1"/>
                  </w14:solidFill>
                </w14:textFill>
              </w:rPr>
            </w:pPr>
          </w:p>
        </w:tc>
        <w:tc>
          <w:tcPr>
            <w:tcW w:w="2269" w:type="dxa"/>
            <w:vAlign w:val="center"/>
          </w:tcPr>
          <w:p w14:paraId="7A3D4807">
            <w:pPr>
              <w:keepNext w:val="0"/>
              <w:keepLines w:val="0"/>
              <w:pageBreakBefore w:val="0"/>
              <w:widowControl w:val="0"/>
              <w:tabs>
                <w:tab w:val="left" w:pos="1322"/>
              </w:tabs>
              <w:kinsoku/>
              <w:wordWrap/>
              <w:overflowPunct/>
              <w:topLinePunct w:val="0"/>
              <w:bidi w:val="0"/>
              <w:snapToGrid/>
              <w:spacing w:line="240" w:lineRule="auto"/>
              <w:jc w:val="center"/>
              <w:textAlignment w:val="auto"/>
              <w:rPr>
                <w:rFonts w:hint="default" w:ascii="Times New Roman" w:hAnsi="Times New Roman" w:eastAsia="宋体" w:cs="Times New Roman"/>
                <w:caps w:val="0"/>
                <w:color w:val="000000" w:themeColor="text1"/>
                <w:sz w:val="24"/>
                <w:szCs w:val="24"/>
                <w:highlight w:val="none"/>
                <w:lang w:val="en-GB"/>
                <w14:textFill>
                  <w14:solidFill>
                    <w14:schemeClr w14:val="tx1"/>
                  </w14:solidFill>
                </w14:textFill>
              </w:rPr>
            </w:pPr>
          </w:p>
        </w:tc>
      </w:tr>
      <w:tr w14:paraId="06CA69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jc w:val="center"/>
        </w:trPr>
        <w:tc>
          <w:tcPr>
            <w:tcW w:w="758" w:type="dxa"/>
            <w:vAlign w:val="center"/>
          </w:tcPr>
          <w:p w14:paraId="00F59564">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caps w:val="0"/>
                <w:color w:val="000000" w:themeColor="text1"/>
                <w:kern w:val="0"/>
                <w:sz w:val="24"/>
                <w:szCs w:val="24"/>
                <w:highlight w:val="none"/>
                <w:lang w:eastAsia="zh-CN"/>
                <w14:textFill>
                  <w14:solidFill>
                    <w14:schemeClr w14:val="tx1"/>
                  </w14:solidFill>
                </w14:textFill>
              </w:rPr>
            </w:pPr>
            <w:r>
              <w:rPr>
                <w:rFonts w:hint="default" w:ascii="Times New Roman" w:hAnsi="Times New Roman" w:eastAsia="宋体" w:cs="Times New Roman"/>
                <w:caps w:val="0"/>
                <w:color w:val="000000" w:themeColor="text1"/>
                <w:kern w:val="0"/>
                <w:sz w:val="24"/>
                <w:szCs w:val="24"/>
                <w:highlight w:val="none"/>
                <w:lang w:val="en-US" w:eastAsia="zh-CN"/>
                <w14:textFill>
                  <w14:solidFill>
                    <w14:schemeClr w14:val="tx1"/>
                  </w14:solidFill>
                </w14:textFill>
              </w:rPr>
              <w:t>4</w:t>
            </w:r>
          </w:p>
        </w:tc>
        <w:tc>
          <w:tcPr>
            <w:tcW w:w="1500" w:type="dxa"/>
            <w:vMerge w:val="restart"/>
            <w:vAlign w:val="center"/>
          </w:tcPr>
          <w:p w14:paraId="3CF46E50">
            <w:pPr>
              <w:keepNext w:val="0"/>
              <w:keepLines w:val="0"/>
              <w:pageBreakBefore w:val="0"/>
              <w:widowControl w:val="0"/>
              <w:tabs>
                <w:tab w:val="left" w:pos="1322"/>
              </w:tabs>
              <w:kinsoku/>
              <w:wordWrap/>
              <w:overflowPunct/>
              <w:topLinePunct w:val="0"/>
              <w:bidi w:val="0"/>
              <w:snapToGrid/>
              <w:spacing w:line="240" w:lineRule="auto"/>
              <w:jc w:val="center"/>
              <w:textAlignment w:val="auto"/>
              <w:rPr>
                <w:rFonts w:hint="default" w:ascii="Times New Roman" w:hAnsi="Times New Roman" w:eastAsia="宋体" w:cs="Times New Roman"/>
                <w:caps w:val="0"/>
                <w:color w:val="000000" w:themeColor="text1"/>
                <w:sz w:val="24"/>
                <w:szCs w:val="24"/>
                <w:highlight w:val="none"/>
                <w:lang w:val="en-US"/>
                <w14:textFill>
                  <w14:solidFill>
                    <w14:schemeClr w14:val="tx1"/>
                  </w14:solidFill>
                </w14:textFill>
              </w:rPr>
            </w:pPr>
            <w:r>
              <w:rPr>
                <w:rFonts w:hint="default" w:ascii="Times New Roman" w:hAnsi="Times New Roman" w:cs="Times New Roman"/>
                <w:color w:val="auto"/>
                <w:sz w:val="24"/>
                <w:szCs w:val="24"/>
                <w:highlight w:val="none"/>
              </w:rPr>
              <w:t>其他专业技术人员</w:t>
            </w:r>
          </w:p>
        </w:tc>
        <w:tc>
          <w:tcPr>
            <w:tcW w:w="1765" w:type="dxa"/>
            <w:vAlign w:val="center"/>
          </w:tcPr>
          <w:p w14:paraId="280DA40A">
            <w:pPr>
              <w:keepNext w:val="0"/>
              <w:keepLines w:val="0"/>
              <w:pageBreakBefore w:val="0"/>
              <w:widowControl w:val="0"/>
              <w:tabs>
                <w:tab w:val="left" w:pos="1322"/>
              </w:tabs>
              <w:kinsoku/>
              <w:wordWrap/>
              <w:overflowPunct/>
              <w:topLinePunct w:val="0"/>
              <w:bidi w:val="0"/>
              <w:snapToGrid/>
              <w:spacing w:line="240" w:lineRule="auto"/>
              <w:jc w:val="center"/>
              <w:textAlignment w:val="auto"/>
              <w:rPr>
                <w:rFonts w:hint="default" w:ascii="Times New Roman" w:hAnsi="Times New Roman" w:eastAsia="宋体" w:cs="Times New Roman"/>
                <w:caps w:val="0"/>
                <w:color w:val="000000" w:themeColor="text1"/>
                <w:sz w:val="24"/>
                <w:szCs w:val="24"/>
                <w:highlight w:val="none"/>
                <w:lang w:val="en-GB"/>
                <w14:textFill>
                  <w14:solidFill>
                    <w14:schemeClr w14:val="tx1"/>
                  </w14:solidFill>
                </w14:textFill>
              </w:rPr>
            </w:pPr>
          </w:p>
        </w:tc>
        <w:tc>
          <w:tcPr>
            <w:tcW w:w="1424" w:type="dxa"/>
            <w:vAlign w:val="center"/>
          </w:tcPr>
          <w:p w14:paraId="38E7FA20">
            <w:pPr>
              <w:keepNext w:val="0"/>
              <w:keepLines w:val="0"/>
              <w:pageBreakBefore w:val="0"/>
              <w:widowControl w:val="0"/>
              <w:tabs>
                <w:tab w:val="left" w:pos="1322"/>
              </w:tabs>
              <w:kinsoku/>
              <w:wordWrap/>
              <w:overflowPunct/>
              <w:topLinePunct w:val="0"/>
              <w:bidi w:val="0"/>
              <w:snapToGrid/>
              <w:spacing w:line="240" w:lineRule="auto"/>
              <w:jc w:val="center"/>
              <w:textAlignment w:val="auto"/>
              <w:rPr>
                <w:rFonts w:hint="default" w:ascii="Times New Roman" w:hAnsi="Times New Roman" w:eastAsia="宋体" w:cs="Times New Roman"/>
                <w:caps w:val="0"/>
                <w:color w:val="000000" w:themeColor="text1"/>
                <w:sz w:val="24"/>
                <w:szCs w:val="24"/>
                <w:highlight w:val="none"/>
                <w:lang w:val="en-GB"/>
                <w14:textFill>
                  <w14:solidFill>
                    <w14:schemeClr w14:val="tx1"/>
                  </w14:solidFill>
                </w14:textFill>
              </w:rPr>
            </w:pPr>
          </w:p>
        </w:tc>
        <w:tc>
          <w:tcPr>
            <w:tcW w:w="1399" w:type="dxa"/>
            <w:vAlign w:val="center"/>
          </w:tcPr>
          <w:p w14:paraId="2266A02E">
            <w:pPr>
              <w:keepNext w:val="0"/>
              <w:keepLines w:val="0"/>
              <w:pageBreakBefore w:val="0"/>
              <w:widowControl w:val="0"/>
              <w:tabs>
                <w:tab w:val="left" w:pos="1322"/>
              </w:tabs>
              <w:kinsoku/>
              <w:wordWrap/>
              <w:overflowPunct/>
              <w:topLinePunct w:val="0"/>
              <w:bidi w:val="0"/>
              <w:snapToGrid/>
              <w:spacing w:line="240" w:lineRule="auto"/>
              <w:jc w:val="center"/>
              <w:textAlignment w:val="auto"/>
              <w:rPr>
                <w:rFonts w:hint="default" w:ascii="Times New Roman" w:hAnsi="Times New Roman" w:eastAsia="宋体" w:cs="Times New Roman"/>
                <w:caps w:val="0"/>
                <w:color w:val="000000" w:themeColor="text1"/>
                <w:sz w:val="24"/>
                <w:szCs w:val="24"/>
                <w:highlight w:val="none"/>
                <w:lang w:val="en-GB"/>
                <w14:textFill>
                  <w14:solidFill>
                    <w14:schemeClr w14:val="tx1"/>
                  </w14:solidFill>
                </w14:textFill>
              </w:rPr>
            </w:pPr>
          </w:p>
        </w:tc>
        <w:tc>
          <w:tcPr>
            <w:tcW w:w="2269" w:type="dxa"/>
            <w:vAlign w:val="center"/>
          </w:tcPr>
          <w:p w14:paraId="647F1777">
            <w:pPr>
              <w:keepNext w:val="0"/>
              <w:keepLines w:val="0"/>
              <w:pageBreakBefore w:val="0"/>
              <w:widowControl w:val="0"/>
              <w:tabs>
                <w:tab w:val="left" w:pos="1322"/>
              </w:tabs>
              <w:kinsoku/>
              <w:wordWrap/>
              <w:overflowPunct/>
              <w:topLinePunct w:val="0"/>
              <w:bidi w:val="0"/>
              <w:snapToGrid/>
              <w:spacing w:line="240" w:lineRule="auto"/>
              <w:jc w:val="center"/>
              <w:textAlignment w:val="auto"/>
              <w:rPr>
                <w:rFonts w:hint="default" w:ascii="Times New Roman" w:hAnsi="Times New Roman" w:eastAsia="宋体" w:cs="Times New Roman"/>
                <w:caps w:val="0"/>
                <w:color w:val="000000" w:themeColor="text1"/>
                <w:sz w:val="24"/>
                <w:szCs w:val="24"/>
                <w:highlight w:val="none"/>
                <w:lang w:val="en-GB"/>
                <w14:textFill>
                  <w14:solidFill>
                    <w14:schemeClr w14:val="tx1"/>
                  </w14:solidFill>
                </w14:textFill>
              </w:rPr>
            </w:pPr>
          </w:p>
        </w:tc>
      </w:tr>
      <w:tr w14:paraId="76E83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jc w:val="center"/>
        </w:trPr>
        <w:tc>
          <w:tcPr>
            <w:tcW w:w="758" w:type="dxa"/>
            <w:vAlign w:val="center"/>
          </w:tcPr>
          <w:p w14:paraId="14477394">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caps w:val="0"/>
                <w:color w:val="000000" w:themeColor="text1"/>
                <w:kern w:val="0"/>
                <w:sz w:val="24"/>
                <w:szCs w:val="24"/>
                <w:highlight w:val="none"/>
                <w:lang w:eastAsia="zh-CN"/>
                <w14:textFill>
                  <w14:solidFill>
                    <w14:schemeClr w14:val="tx1"/>
                  </w14:solidFill>
                </w14:textFill>
              </w:rPr>
            </w:pPr>
            <w:r>
              <w:rPr>
                <w:rFonts w:hint="default" w:ascii="Times New Roman" w:hAnsi="Times New Roman" w:eastAsia="宋体" w:cs="Times New Roman"/>
                <w:caps w:val="0"/>
                <w:color w:val="000000" w:themeColor="text1"/>
                <w:kern w:val="0"/>
                <w:sz w:val="24"/>
                <w:szCs w:val="24"/>
                <w:highlight w:val="none"/>
                <w:lang w:val="en-US" w:eastAsia="zh-CN"/>
                <w14:textFill>
                  <w14:solidFill>
                    <w14:schemeClr w14:val="tx1"/>
                  </w14:solidFill>
                </w14:textFill>
              </w:rPr>
              <w:t>5</w:t>
            </w:r>
          </w:p>
        </w:tc>
        <w:tc>
          <w:tcPr>
            <w:tcW w:w="1500" w:type="dxa"/>
            <w:vMerge w:val="continue"/>
            <w:vAlign w:val="center"/>
          </w:tcPr>
          <w:p w14:paraId="74051A71">
            <w:pPr>
              <w:keepNext w:val="0"/>
              <w:keepLines w:val="0"/>
              <w:pageBreakBefore w:val="0"/>
              <w:widowControl w:val="0"/>
              <w:tabs>
                <w:tab w:val="left" w:pos="1322"/>
              </w:tabs>
              <w:kinsoku/>
              <w:wordWrap/>
              <w:overflowPunct/>
              <w:topLinePunct w:val="0"/>
              <w:bidi w:val="0"/>
              <w:snapToGrid/>
              <w:spacing w:line="240" w:lineRule="auto"/>
              <w:jc w:val="center"/>
              <w:textAlignment w:val="auto"/>
              <w:rPr>
                <w:rFonts w:hint="default" w:ascii="Times New Roman" w:hAnsi="Times New Roman" w:eastAsia="宋体" w:cs="Times New Roman"/>
                <w:caps w:val="0"/>
                <w:color w:val="000000" w:themeColor="text1"/>
                <w:kern w:val="0"/>
                <w:sz w:val="24"/>
                <w:szCs w:val="24"/>
                <w:highlight w:val="none"/>
                <w14:textFill>
                  <w14:solidFill>
                    <w14:schemeClr w14:val="tx1"/>
                  </w14:solidFill>
                </w14:textFill>
              </w:rPr>
            </w:pPr>
          </w:p>
        </w:tc>
        <w:tc>
          <w:tcPr>
            <w:tcW w:w="1765" w:type="dxa"/>
            <w:vAlign w:val="center"/>
          </w:tcPr>
          <w:p w14:paraId="69EED1A3">
            <w:pPr>
              <w:keepNext w:val="0"/>
              <w:keepLines w:val="0"/>
              <w:pageBreakBefore w:val="0"/>
              <w:widowControl w:val="0"/>
              <w:tabs>
                <w:tab w:val="left" w:pos="1322"/>
              </w:tabs>
              <w:kinsoku/>
              <w:wordWrap/>
              <w:overflowPunct/>
              <w:topLinePunct w:val="0"/>
              <w:bidi w:val="0"/>
              <w:snapToGrid/>
              <w:spacing w:line="240" w:lineRule="auto"/>
              <w:jc w:val="center"/>
              <w:textAlignment w:val="auto"/>
              <w:rPr>
                <w:rFonts w:hint="default" w:ascii="Times New Roman" w:hAnsi="Times New Roman" w:eastAsia="宋体" w:cs="Times New Roman"/>
                <w:caps w:val="0"/>
                <w:color w:val="000000" w:themeColor="text1"/>
                <w:sz w:val="24"/>
                <w:szCs w:val="24"/>
                <w:highlight w:val="none"/>
                <w:lang w:val="en-GB"/>
                <w14:textFill>
                  <w14:solidFill>
                    <w14:schemeClr w14:val="tx1"/>
                  </w14:solidFill>
                </w14:textFill>
              </w:rPr>
            </w:pPr>
          </w:p>
        </w:tc>
        <w:tc>
          <w:tcPr>
            <w:tcW w:w="1424" w:type="dxa"/>
            <w:vAlign w:val="center"/>
          </w:tcPr>
          <w:p w14:paraId="42D5F692">
            <w:pPr>
              <w:keepNext w:val="0"/>
              <w:keepLines w:val="0"/>
              <w:pageBreakBefore w:val="0"/>
              <w:widowControl w:val="0"/>
              <w:tabs>
                <w:tab w:val="left" w:pos="1322"/>
              </w:tabs>
              <w:kinsoku/>
              <w:wordWrap/>
              <w:overflowPunct/>
              <w:topLinePunct w:val="0"/>
              <w:bidi w:val="0"/>
              <w:snapToGrid/>
              <w:spacing w:line="240" w:lineRule="auto"/>
              <w:jc w:val="center"/>
              <w:textAlignment w:val="auto"/>
              <w:rPr>
                <w:rFonts w:hint="default" w:ascii="Times New Roman" w:hAnsi="Times New Roman" w:eastAsia="宋体" w:cs="Times New Roman"/>
                <w:caps w:val="0"/>
                <w:color w:val="000000" w:themeColor="text1"/>
                <w:sz w:val="24"/>
                <w:szCs w:val="24"/>
                <w:highlight w:val="none"/>
                <w:lang w:val="en-GB"/>
                <w14:textFill>
                  <w14:solidFill>
                    <w14:schemeClr w14:val="tx1"/>
                  </w14:solidFill>
                </w14:textFill>
              </w:rPr>
            </w:pPr>
          </w:p>
        </w:tc>
        <w:tc>
          <w:tcPr>
            <w:tcW w:w="1399" w:type="dxa"/>
            <w:vAlign w:val="center"/>
          </w:tcPr>
          <w:p w14:paraId="381E8940">
            <w:pPr>
              <w:keepNext w:val="0"/>
              <w:keepLines w:val="0"/>
              <w:pageBreakBefore w:val="0"/>
              <w:widowControl w:val="0"/>
              <w:tabs>
                <w:tab w:val="left" w:pos="1322"/>
              </w:tabs>
              <w:kinsoku/>
              <w:wordWrap/>
              <w:overflowPunct/>
              <w:topLinePunct w:val="0"/>
              <w:bidi w:val="0"/>
              <w:snapToGrid/>
              <w:spacing w:line="240" w:lineRule="auto"/>
              <w:jc w:val="center"/>
              <w:textAlignment w:val="auto"/>
              <w:rPr>
                <w:rFonts w:hint="default" w:ascii="Times New Roman" w:hAnsi="Times New Roman" w:eastAsia="宋体" w:cs="Times New Roman"/>
                <w:caps w:val="0"/>
                <w:color w:val="000000" w:themeColor="text1"/>
                <w:sz w:val="24"/>
                <w:szCs w:val="24"/>
                <w:highlight w:val="none"/>
                <w:lang w:val="en-GB"/>
                <w14:textFill>
                  <w14:solidFill>
                    <w14:schemeClr w14:val="tx1"/>
                  </w14:solidFill>
                </w14:textFill>
              </w:rPr>
            </w:pPr>
          </w:p>
        </w:tc>
        <w:tc>
          <w:tcPr>
            <w:tcW w:w="2269" w:type="dxa"/>
            <w:vAlign w:val="center"/>
          </w:tcPr>
          <w:p w14:paraId="79E598C9">
            <w:pPr>
              <w:keepNext w:val="0"/>
              <w:keepLines w:val="0"/>
              <w:pageBreakBefore w:val="0"/>
              <w:widowControl w:val="0"/>
              <w:tabs>
                <w:tab w:val="left" w:pos="1322"/>
              </w:tabs>
              <w:kinsoku/>
              <w:wordWrap/>
              <w:overflowPunct/>
              <w:topLinePunct w:val="0"/>
              <w:bidi w:val="0"/>
              <w:snapToGrid/>
              <w:spacing w:line="240" w:lineRule="auto"/>
              <w:jc w:val="center"/>
              <w:textAlignment w:val="auto"/>
              <w:rPr>
                <w:rFonts w:hint="default" w:ascii="Times New Roman" w:hAnsi="Times New Roman" w:eastAsia="宋体" w:cs="Times New Roman"/>
                <w:caps w:val="0"/>
                <w:color w:val="000000" w:themeColor="text1"/>
                <w:sz w:val="24"/>
                <w:szCs w:val="24"/>
                <w:highlight w:val="none"/>
                <w:lang w:val="en-GB"/>
                <w14:textFill>
                  <w14:solidFill>
                    <w14:schemeClr w14:val="tx1"/>
                  </w14:solidFill>
                </w14:textFill>
              </w:rPr>
            </w:pPr>
          </w:p>
        </w:tc>
      </w:tr>
      <w:tr w14:paraId="1B7D9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jc w:val="center"/>
        </w:trPr>
        <w:tc>
          <w:tcPr>
            <w:tcW w:w="758" w:type="dxa"/>
            <w:vAlign w:val="center"/>
          </w:tcPr>
          <w:p w14:paraId="680DAF83">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caps w:val="0"/>
                <w:color w:val="000000" w:themeColor="text1"/>
                <w:kern w:val="0"/>
                <w:sz w:val="24"/>
                <w:szCs w:val="24"/>
                <w:highlight w:val="none"/>
                <w:lang w:eastAsia="zh-CN"/>
                <w14:textFill>
                  <w14:solidFill>
                    <w14:schemeClr w14:val="tx1"/>
                  </w14:solidFill>
                </w14:textFill>
              </w:rPr>
            </w:pPr>
            <w:r>
              <w:rPr>
                <w:rFonts w:hint="default" w:ascii="Times New Roman" w:hAnsi="Times New Roman" w:eastAsia="宋体" w:cs="Times New Roman"/>
                <w:caps w:val="0"/>
                <w:color w:val="000000" w:themeColor="text1"/>
                <w:kern w:val="0"/>
                <w:sz w:val="24"/>
                <w:szCs w:val="24"/>
                <w:highlight w:val="none"/>
                <w:lang w:val="en-US" w:eastAsia="zh-CN"/>
                <w14:textFill>
                  <w14:solidFill>
                    <w14:schemeClr w14:val="tx1"/>
                  </w14:solidFill>
                </w14:textFill>
              </w:rPr>
              <w:t>6</w:t>
            </w:r>
          </w:p>
        </w:tc>
        <w:tc>
          <w:tcPr>
            <w:tcW w:w="1500" w:type="dxa"/>
            <w:vMerge w:val="continue"/>
            <w:vAlign w:val="center"/>
          </w:tcPr>
          <w:p w14:paraId="65F52A9F">
            <w:pPr>
              <w:keepNext w:val="0"/>
              <w:keepLines w:val="0"/>
              <w:pageBreakBefore w:val="0"/>
              <w:widowControl w:val="0"/>
              <w:tabs>
                <w:tab w:val="left" w:pos="1322"/>
              </w:tabs>
              <w:kinsoku/>
              <w:wordWrap/>
              <w:overflowPunct/>
              <w:topLinePunct w:val="0"/>
              <w:bidi w:val="0"/>
              <w:snapToGrid/>
              <w:spacing w:line="240" w:lineRule="auto"/>
              <w:jc w:val="center"/>
              <w:textAlignment w:val="auto"/>
              <w:rPr>
                <w:rFonts w:hint="default" w:ascii="Times New Roman" w:hAnsi="Times New Roman" w:eastAsia="宋体" w:cs="Times New Roman"/>
                <w:caps w:val="0"/>
                <w:color w:val="000000" w:themeColor="text1"/>
                <w:kern w:val="0"/>
                <w:sz w:val="24"/>
                <w:szCs w:val="24"/>
                <w:highlight w:val="none"/>
                <w14:textFill>
                  <w14:solidFill>
                    <w14:schemeClr w14:val="tx1"/>
                  </w14:solidFill>
                </w14:textFill>
              </w:rPr>
            </w:pPr>
          </w:p>
        </w:tc>
        <w:tc>
          <w:tcPr>
            <w:tcW w:w="1765" w:type="dxa"/>
            <w:vAlign w:val="center"/>
          </w:tcPr>
          <w:p w14:paraId="2EAB30DB">
            <w:pPr>
              <w:keepNext w:val="0"/>
              <w:keepLines w:val="0"/>
              <w:pageBreakBefore w:val="0"/>
              <w:widowControl w:val="0"/>
              <w:tabs>
                <w:tab w:val="left" w:pos="1322"/>
              </w:tabs>
              <w:kinsoku/>
              <w:wordWrap/>
              <w:overflowPunct/>
              <w:topLinePunct w:val="0"/>
              <w:bidi w:val="0"/>
              <w:snapToGrid/>
              <w:spacing w:line="240" w:lineRule="auto"/>
              <w:jc w:val="center"/>
              <w:textAlignment w:val="auto"/>
              <w:rPr>
                <w:rFonts w:hint="default" w:ascii="Times New Roman" w:hAnsi="Times New Roman" w:eastAsia="宋体" w:cs="Times New Roman"/>
                <w:caps w:val="0"/>
                <w:color w:val="000000" w:themeColor="text1"/>
                <w:sz w:val="24"/>
                <w:szCs w:val="24"/>
                <w:highlight w:val="none"/>
                <w:lang w:val="en-GB"/>
                <w14:textFill>
                  <w14:solidFill>
                    <w14:schemeClr w14:val="tx1"/>
                  </w14:solidFill>
                </w14:textFill>
              </w:rPr>
            </w:pPr>
          </w:p>
        </w:tc>
        <w:tc>
          <w:tcPr>
            <w:tcW w:w="1424" w:type="dxa"/>
            <w:vAlign w:val="center"/>
          </w:tcPr>
          <w:p w14:paraId="4ED40B7B">
            <w:pPr>
              <w:keepNext w:val="0"/>
              <w:keepLines w:val="0"/>
              <w:pageBreakBefore w:val="0"/>
              <w:widowControl w:val="0"/>
              <w:tabs>
                <w:tab w:val="left" w:pos="1322"/>
              </w:tabs>
              <w:kinsoku/>
              <w:wordWrap/>
              <w:overflowPunct/>
              <w:topLinePunct w:val="0"/>
              <w:bidi w:val="0"/>
              <w:snapToGrid/>
              <w:spacing w:line="240" w:lineRule="auto"/>
              <w:jc w:val="center"/>
              <w:textAlignment w:val="auto"/>
              <w:rPr>
                <w:rFonts w:hint="default" w:ascii="Times New Roman" w:hAnsi="Times New Roman" w:eastAsia="宋体" w:cs="Times New Roman"/>
                <w:caps w:val="0"/>
                <w:color w:val="000000" w:themeColor="text1"/>
                <w:sz w:val="24"/>
                <w:szCs w:val="24"/>
                <w:highlight w:val="none"/>
                <w:lang w:val="en-GB"/>
                <w14:textFill>
                  <w14:solidFill>
                    <w14:schemeClr w14:val="tx1"/>
                  </w14:solidFill>
                </w14:textFill>
              </w:rPr>
            </w:pPr>
          </w:p>
        </w:tc>
        <w:tc>
          <w:tcPr>
            <w:tcW w:w="1399" w:type="dxa"/>
            <w:vAlign w:val="center"/>
          </w:tcPr>
          <w:p w14:paraId="65A3CD3E">
            <w:pPr>
              <w:keepNext w:val="0"/>
              <w:keepLines w:val="0"/>
              <w:pageBreakBefore w:val="0"/>
              <w:widowControl w:val="0"/>
              <w:tabs>
                <w:tab w:val="left" w:pos="1322"/>
              </w:tabs>
              <w:kinsoku/>
              <w:wordWrap/>
              <w:overflowPunct/>
              <w:topLinePunct w:val="0"/>
              <w:bidi w:val="0"/>
              <w:snapToGrid/>
              <w:spacing w:line="240" w:lineRule="auto"/>
              <w:jc w:val="center"/>
              <w:textAlignment w:val="auto"/>
              <w:rPr>
                <w:rFonts w:hint="default" w:ascii="Times New Roman" w:hAnsi="Times New Roman" w:eastAsia="宋体" w:cs="Times New Roman"/>
                <w:caps w:val="0"/>
                <w:color w:val="000000" w:themeColor="text1"/>
                <w:sz w:val="24"/>
                <w:szCs w:val="24"/>
                <w:highlight w:val="none"/>
                <w:lang w:val="en-GB"/>
                <w14:textFill>
                  <w14:solidFill>
                    <w14:schemeClr w14:val="tx1"/>
                  </w14:solidFill>
                </w14:textFill>
              </w:rPr>
            </w:pPr>
          </w:p>
        </w:tc>
        <w:tc>
          <w:tcPr>
            <w:tcW w:w="2269" w:type="dxa"/>
            <w:vAlign w:val="center"/>
          </w:tcPr>
          <w:p w14:paraId="08B59BD0">
            <w:pPr>
              <w:keepNext w:val="0"/>
              <w:keepLines w:val="0"/>
              <w:pageBreakBefore w:val="0"/>
              <w:widowControl w:val="0"/>
              <w:tabs>
                <w:tab w:val="left" w:pos="1322"/>
              </w:tabs>
              <w:kinsoku/>
              <w:wordWrap/>
              <w:overflowPunct/>
              <w:topLinePunct w:val="0"/>
              <w:bidi w:val="0"/>
              <w:snapToGrid/>
              <w:spacing w:line="240" w:lineRule="auto"/>
              <w:jc w:val="center"/>
              <w:textAlignment w:val="auto"/>
              <w:rPr>
                <w:rFonts w:hint="default" w:ascii="Times New Roman" w:hAnsi="Times New Roman" w:eastAsia="宋体" w:cs="Times New Roman"/>
                <w:caps w:val="0"/>
                <w:color w:val="000000" w:themeColor="text1"/>
                <w:sz w:val="24"/>
                <w:szCs w:val="24"/>
                <w:highlight w:val="none"/>
                <w:lang w:val="en-GB"/>
                <w14:textFill>
                  <w14:solidFill>
                    <w14:schemeClr w14:val="tx1"/>
                  </w14:solidFill>
                </w14:textFill>
              </w:rPr>
            </w:pPr>
          </w:p>
        </w:tc>
      </w:tr>
      <w:tr w14:paraId="74B456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jc w:val="center"/>
        </w:trPr>
        <w:tc>
          <w:tcPr>
            <w:tcW w:w="758" w:type="dxa"/>
            <w:vAlign w:val="center"/>
          </w:tcPr>
          <w:p w14:paraId="79CEB1DD">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caps w:val="0"/>
                <w:color w:val="000000" w:themeColor="text1"/>
                <w:kern w:val="0"/>
                <w:sz w:val="24"/>
                <w:szCs w:val="24"/>
                <w:highlight w:val="none"/>
                <w14:textFill>
                  <w14:solidFill>
                    <w14:schemeClr w14:val="tx1"/>
                  </w14:solidFill>
                </w14:textFill>
              </w:rPr>
            </w:pPr>
            <w:r>
              <w:rPr>
                <w:rFonts w:hint="default" w:ascii="Times New Roman" w:hAnsi="Times New Roman" w:eastAsia="宋体" w:cs="Times New Roman"/>
                <w:caps w:val="0"/>
                <w:color w:val="000000" w:themeColor="text1"/>
                <w:kern w:val="0"/>
                <w:sz w:val="24"/>
                <w:szCs w:val="24"/>
                <w:highlight w:val="none"/>
                <w14:textFill>
                  <w14:solidFill>
                    <w14:schemeClr w14:val="tx1"/>
                  </w14:solidFill>
                </w14:textFill>
              </w:rPr>
              <w:t>…</w:t>
            </w:r>
          </w:p>
        </w:tc>
        <w:tc>
          <w:tcPr>
            <w:tcW w:w="1500" w:type="dxa"/>
            <w:vMerge w:val="continue"/>
            <w:vAlign w:val="center"/>
          </w:tcPr>
          <w:p w14:paraId="11AA0707">
            <w:pPr>
              <w:keepNext w:val="0"/>
              <w:keepLines w:val="0"/>
              <w:pageBreakBefore w:val="0"/>
              <w:widowControl w:val="0"/>
              <w:tabs>
                <w:tab w:val="left" w:pos="1322"/>
              </w:tabs>
              <w:kinsoku/>
              <w:wordWrap/>
              <w:overflowPunct/>
              <w:topLinePunct w:val="0"/>
              <w:bidi w:val="0"/>
              <w:snapToGrid/>
              <w:spacing w:line="240" w:lineRule="auto"/>
              <w:jc w:val="center"/>
              <w:textAlignment w:val="auto"/>
              <w:rPr>
                <w:rFonts w:hint="default" w:ascii="Times New Roman" w:hAnsi="Times New Roman" w:eastAsia="宋体" w:cs="Times New Roman"/>
                <w:caps w:val="0"/>
                <w:color w:val="000000" w:themeColor="text1"/>
                <w:kern w:val="0"/>
                <w:sz w:val="24"/>
                <w:szCs w:val="24"/>
                <w:highlight w:val="none"/>
                <w14:textFill>
                  <w14:solidFill>
                    <w14:schemeClr w14:val="tx1"/>
                  </w14:solidFill>
                </w14:textFill>
              </w:rPr>
            </w:pPr>
          </w:p>
        </w:tc>
        <w:tc>
          <w:tcPr>
            <w:tcW w:w="1765" w:type="dxa"/>
            <w:vAlign w:val="center"/>
          </w:tcPr>
          <w:p w14:paraId="53558BF2">
            <w:pPr>
              <w:keepNext w:val="0"/>
              <w:keepLines w:val="0"/>
              <w:pageBreakBefore w:val="0"/>
              <w:widowControl w:val="0"/>
              <w:tabs>
                <w:tab w:val="left" w:pos="1322"/>
              </w:tabs>
              <w:kinsoku/>
              <w:wordWrap/>
              <w:overflowPunct/>
              <w:topLinePunct w:val="0"/>
              <w:bidi w:val="0"/>
              <w:snapToGrid/>
              <w:spacing w:line="240" w:lineRule="auto"/>
              <w:jc w:val="center"/>
              <w:textAlignment w:val="auto"/>
              <w:rPr>
                <w:rFonts w:hint="default" w:ascii="Times New Roman" w:hAnsi="Times New Roman" w:eastAsia="宋体" w:cs="Times New Roman"/>
                <w:caps w:val="0"/>
                <w:color w:val="000000" w:themeColor="text1"/>
                <w:sz w:val="24"/>
                <w:szCs w:val="24"/>
                <w:highlight w:val="none"/>
                <w:lang w:val="en-GB"/>
                <w14:textFill>
                  <w14:solidFill>
                    <w14:schemeClr w14:val="tx1"/>
                  </w14:solidFill>
                </w14:textFill>
              </w:rPr>
            </w:pPr>
          </w:p>
        </w:tc>
        <w:tc>
          <w:tcPr>
            <w:tcW w:w="1424" w:type="dxa"/>
            <w:vAlign w:val="center"/>
          </w:tcPr>
          <w:p w14:paraId="0EB4B3D0">
            <w:pPr>
              <w:keepNext w:val="0"/>
              <w:keepLines w:val="0"/>
              <w:pageBreakBefore w:val="0"/>
              <w:widowControl w:val="0"/>
              <w:tabs>
                <w:tab w:val="left" w:pos="1322"/>
              </w:tabs>
              <w:kinsoku/>
              <w:wordWrap/>
              <w:overflowPunct/>
              <w:topLinePunct w:val="0"/>
              <w:bidi w:val="0"/>
              <w:snapToGrid/>
              <w:spacing w:line="240" w:lineRule="auto"/>
              <w:jc w:val="center"/>
              <w:textAlignment w:val="auto"/>
              <w:rPr>
                <w:rFonts w:hint="default" w:ascii="Times New Roman" w:hAnsi="Times New Roman" w:eastAsia="宋体" w:cs="Times New Roman"/>
                <w:caps w:val="0"/>
                <w:color w:val="000000" w:themeColor="text1"/>
                <w:sz w:val="24"/>
                <w:szCs w:val="24"/>
                <w:highlight w:val="none"/>
                <w:lang w:val="en-GB"/>
                <w14:textFill>
                  <w14:solidFill>
                    <w14:schemeClr w14:val="tx1"/>
                  </w14:solidFill>
                </w14:textFill>
              </w:rPr>
            </w:pPr>
          </w:p>
        </w:tc>
        <w:tc>
          <w:tcPr>
            <w:tcW w:w="1399" w:type="dxa"/>
            <w:vAlign w:val="center"/>
          </w:tcPr>
          <w:p w14:paraId="1FBE8593">
            <w:pPr>
              <w:keepNext w:val="0"/>
              <w:keepLines w:val="0"/>
              <w:pageBreakBefore w:val="0"/>
              <w:widowControl w:val="0"/>
              <w:tabs>
                <w:tab w:val="left" w:pos="1322"/>
              </w:tabs>
              <w:kinsoku/>
              <w:wordWrap/>
              <w:overflowPunct/>
              <w:topLinePunct w:val="0"/>
              <w:bidi w:val="0"/>
              <w:snapToGrid/>
              <w:spacing w:line="240" w:lineRule="auto"/>
              <w:jc w:val="center"/>
              <w:textAlignment w:val="auto"/>
              <w:rPr>
                <w:rFonts w:hint="default" w:ascii="Times New Roman" w:hAnsi="Times New Roman" w:eastAsia="宋体" w:cs="Times New Roman"/>
                <w:caps w:val="0"/>
                <w:color w:val="000000" w:themeColor="text1"/>
                <w:sz w:val="24"/>
                <w:szCs w:val="24"/>
                <w:highlight w:val="none"/>
                <w:lang w:val="en-GB"/>
                <w14:textFill>
                  <w14:solidFill>
                    <w14:schemeClr w14:val="tx1"/>
                  </w14:solidFill>
                </w14:textFill>
              </w:rPr>
            </w:pPr>
          </w:p>
        </w:tc>
        <w:tc>
          <w:tcPr>
            <w:tcW w:w="2269" w:type="dxa"/>
            <w:vAlign w:val="center"/>
          </w:tcPr>
          <w:p w14:paraId="687BAC9B">
            <w:pPr>
              <w:keepNext w:val="0"/>
              <w:keepLines w:val="0"/>
              <w:pageBreakBefore w:val="0"/>
              <w:widowControl w:val="0"/>
              <w:tabs>
                <w:tab w:val="left" w:pos="1322"/>
              </w:tabs>
              <w:kinsoku/>
              <w:wordWrap/>
              <w:overflowPunct/>
              <w:topLinePunct w:val="0"/>
              <w:bidi w:val="0"/>
              <w:snapToGrid/>
              <w:spacing w:line="240" w:lineRule="auto"/>
              <w:jc w:val="center"/>
              <w:textAlignment w:val="auto"/>
              <w:rPr>
                <w:rFonts w:hint="default" w:ascii="Times New Roman" w:hAnsi="Times New Roman" w:eastAsia="宋体" w:cs="Times New Roman"/>
                <w:caps w:val="0"/>
                <w:color w:val="000000" w:themeColor="text1"/>
                <w:sz w:val="24"/>
                <w:szCs w:val="24"/>
                <w:highlight w:val="none"/>
                <w:lang w:val="en-GB"/>
                <w14:textFill>
                  <w14:solidFill>
                    <w14:schemeClr w14:val="tx1"/>
                  </w14:solidFill>
                </w14:textFill>
              </w:rPr>
            </w:pPr>
          </w:p>
        </w:tc>
      </w:tr>
    </w:tbl>
    <w:p w14:paraId="1F977F87">
      <w:pPr>
        <w:adjustRightInd w:val="0"/>
        <w:snapToGrid w:val="0"/>
        <w:spacing w:line="240" w:lineRule="auto"/>
        <w:rPr>
          <w:rFonts w:hint="default" w:ascii="Times New Roman" w:hAnsi="Times New Roman" w:eastAsia="宋体" w:cs="Times New Roman"/>
          <w:bCs/>
          <w:caps w:val="0"/>
          <w:color w:val="000000" w:themeColor="text1"/>
          <w:kern w:val="0"/>
          <w:sz w:val="24"/>
          <w:szCs w:val="24"/>
          <w:highlight w:val="none"/>
          <w14:textFill>
            <w14:solidFill>
              <w14:schemeClr w14:val="tx1"/>
            </w14:solidFill>
          </w14:textFill>
        </w:rPr>
      </w:pPr>
      <w:r>
        <w:rPr>
          <w:rFonts w:hint="default" w:ascii="Times New Roman" w:hAnsi="Times New Roman" w:eastAsia="宋体" w:cs="Times New Roman"/>
          <w:bCs/>
          <w:caps w:val="0"/>
          <w:color w:val="000000" w:themeColor="text1"/>
          <w:kern w:val="0"/>
          <w:sz w:val="24"/>
          <w:szCs w:val="24"/>
          <w:highlight w:val="none"/>
          <w14:textFill>
            <w14:solidFill>
              <w14:schemeClr w14:val="tx1"/>
            </w14:solidFill>
          </w14:textFill>
        </w:rPr>
        <w:t>注：本表后应按综合评分表要求附相关证明文件复印件</w:t>
      </w:r>
    </w:p>
    <w:p w14:paraId="7857931A">
      <w:pPr>
        <w:pStyle w:val="2"/>
        <w:spacing w:line="360" w:lineRule="auto"/>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p>
    <w:p w14:paraId="03C40FD8">
      <w:pPr>
        <w:keepNext w:val="0"/>
        <w:keepLines w:val="0"/>
        <w:pageBreakBefore w:val="0"/>
        <w:widowControl w:val="0"/>
        <w:tabs>
          <w:tab w:val="left" w:pos="13320"/>
        </w:tabs>
        <w:kinsoku/>
        <w:bidi w:val="0"/>
        <w:snapToGrid w:val="0"/>
        <w:spacing w:line="360" w:lineRule="auto"/>
        <w:ind w:left="718" w:leftChars="342" w:right="-52" w:firstLine="2635" w:firstLineChars="1098"/>
        <w:rPr>
          <w:rFonts w:hint="default" w:ascii="Times New Roman" w:hAnsi="Times New Roman" w:eastAsia="宋体" w:cs="Times New Roman"/>
          <w:color w:val="000000" w:themeColor="text1"/>
          <w:sz w:val="24"/>
          <w:szCs w:val="24"/>
          <w:highlight w:val="none"/>
          <w:u w:val="singl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报价人（法人公章）：</w:t>
      </w:r>
      <w:r>
        <w:rPr>
          <w:rFonts w:hint="default" w:ascii="Times New Roman" w:hAnsi="Times New Roman" w:eastAsia="宋体" w:cs="Times New Roman"/>
          <w:color w:val="000000" w:themeColor="text1"/>
          <w:sz w:val="24"/>
          <w:szCs w:val="24"/>
          <w:highlight w:val="none"/>
          <w:u w:val="single"/>
          <w14:textFill>
            <w14:solidFill>
              <w14:schemeClr w14:val="tx1"/>
            </w14:solidFill>
          </w14:textFill>
        </w:rPr>
        <w:t xml:space="preserve">                        </w:t>
      </w:r>
    </w:p>
    <w:p w14:paraId="6BC146BC">
      <w:pPr>
        <w:keepNext w:val="0"/>
        <w:keepLines w:val="0"/>
        <w:pageBreakBefore w:val="0"/>
        <w:widowControl w:val="0"/>
        <w:tabs>
          <w:tab w:val="left" w:pos="13320"/>
        </w:tabs>
        <w:kinsoku/>
        <w:bidi w:val="0"/>
        <w:snapToGrid w:val="0"/>
        <w:spacing w:line="360" w:lineRule="auto"/>
        <w:ind w:left="718" w:leftChars="342" w:right="-52" w:firstLine="2635" w:firstLineChars="1098"/>
        <w:rPr>
          <w:rFonts w:hint="default" w:ascii="Times New Roman" w:hAnsi="Times New Roman" w:eastAsia="宋体" w:cs="Times New Roman"/>
          <w:color w:val="000000" w:themeColor="text1"/>
          <w:sz w:val="24"/>
          <w:szCs w:val="24"/>
          <w:highlight w:val="none"/>
          <w:u w:val="singl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法定代表人或授权代表（签字或盖章）：</w:t>
      </w:r>
      <w:r>
        <w:rPr>
          <w:rFonts w:hint="default" w:ascii="Times New Roman" w:hAnsi="Times New Roman" w:eastAsia="宋体" w:cs="Times New Roman"/>
          <w:color w:val="000000" w:themeColor="text1"/>
          <w:sz w:val="24"/>
          <w:szCs w:val="24"/>
          <w:highlight w:val="none"/>
          <w:u w:val="single"/>
          <w14:textFill>
            <w14:solidFill>
              <w14:schemeClr w14:val="tx1"/>
            </w14:solidFill>
          </w14:textFill>
        </w:rPr>
        <w:t xml:space="preserve">        </w:t>
      </w:r>
    </w:p>
    <w:p w14:paraId="40153AE7">
      <w:pPr>
        <w:keepNext w:val="0"/>
        <w:keepLines w:val="0"/>
        <w:pageBreakBefore w:val="0"/>
        <w:widowControl w:val="0"/>
        <w:kinsoku/>
        <w:bidi w:val="0"/>
        <w:spacing w:line="360" w:lineRule="auto"/>
        <w:ind w:firstLine="3360" w:firstLineChars="14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日期：</w:t>
      </w:r>
      <w:r>
        <w:rPr>
          <w:rFonts w:hint="default" w:ascii="Times New Roman" w:hAnsi="Times New Roman" w:eastAsia="宋体" w:cs="Times New Roman"/>
          <w:color w:val="000000" w:themeColor="text1"/>
          <w:sz w:val="24"/>
          <w:szCs w:val="24"/>
          <w:highlight w:val="none"/>
          <w:u w:val="single"/>
          <w14:textFill>
            <w14:solidFill>
              <w14:schemeClr w14:val="tx1"/>
            </w14:solidFill>
          </w14:textFill>
        </w:rPr>
        <w:t xml:space="preserve">     </w:t>
      </w:r>
      <w:r>
        <w:rPr>
          <w:rFonts w:hint="default" w:ascii="Times New Roman" w:hAnsi="Times New Roman" w:eastAsia="宋体" w:cs="Times New Roman"/>
          <w:color w:val="000000" w:themeColor="text1"/>
          <w:sz w:val="24"/>
          <w:szCs w:val="24"/>
          <w:highlight w:val="none"/>
          <w14:textFill>
            <w14:solidFill>
              <w14:schemeClr w14:val="tx1"/>
            </w14:solidFill>
          </w14:textFill>
        </w:rPr>
        <w:t>年</w:t>
      </w:r>
      <w:r>
        <w:rPr>
          <w:rFonts w:hint="default" w:ascii="Times New Roman" w:hAnsi="Times New Roman" w:eastAsia="宋体" w:cs="Times New Roman"/>
          <w:color w:val="000000" w:themeColor="text1"/>
          <w:sz w:val="24"/>
          <w:szCs w:val="24"/>
          <w:highlight w:val="none"/>
          <w:u w:val="single"/>
          <w14:textFill>
            <w14:solidFill>
              <w14:schemeClr w14:val="tx1"/>
            </w14:solidFill>
          </w14:textFill>
        </w:rPr>
        <w:t xml:space="preserve">    </w:t>
      </w:r>
      <w:r>
        <w:rPr>
          <w:rFonts w:hint="default" w:ascii="Times New Roman" w:hAnsi="Times New Roman" w:eastAsia="宋体" w:cs="Times New Roman"/>
          <w:color w:val="000000" w:themeColor="text1"/>
          <w:sz w:val="24"/>
          <w:szCs w:val="24"/>
          <w:highlight w:val="none"/>
          <w14:textFill>
            <w14:solidFill>
              <w14:schemeClr w14:val="tx1"/>
            </w14:solidFill>
          </w14:textFill>
        </w:rPr>
        <w:t>月</w:t>
      </w:r>
      <w:r>
        <w:rPr>
          <w:rFonts w:hint="default" w:ascii="Times New Roman" w:hAnsi="Times New Roman" w:eastAsia="宋体" w:cs="Times New Roman"/>
          <w:color w:val="000000" w:themeColor="text1"/>
          <w:sz w:val="24"/>
          <w:szCs w:val="24"/>
          <w:highlight w:val="none"/>
          <w:u w:val="single"/>
          <w14:textFill>
            <w14:solidFill>
              <w14:schemeClr w14:val="tx1"/>
            </w14:solidFill>
          </w14:textFill>
        </w:rPr>
        <w:t xml:space="preserve">     </w:t>
      </w:r>
      <w:r>
        <w:rPr>
          <w:rFonts w:hint="default" w:ascii="Times New Roman" w:hAnsi="Times New Roman" w:eastAsia="宋体" w:cs="Times New Roman"/>
          <w:color w:val="000000" w:themeColor="text1"/>
          <w:sz w:val="24"/>
          <w:szCs w:val="24"/>
          <w:highlight w:val="none"/>
          <w14:textFill>
            <w14:solidFill>
              <w14:schemeClr w14:val="tx1"/>
            </w14:solidFill>
          </w14:textFill>
        </w:rPr>
        <w:t>日</w:t>
      </w:r>
    </w:p>
    <w:p w14:paraId="2FC9AD9E">
      <w:pPr>
        <w:adjustRightInd w:val="0"/>
        <w:snapToGrid w:val="0"/>
        <w:spacing w:line="360" w:lineRule="auto"/>
        <w:jc w:val="center"/>
        <w:rPr>
          <w:rFonts w:hint="default" w:ascii="Times New Roman" w:hAnsi="Times New Roman" w:eastAsia="宋体" w:cs="Times New Roman"/>
          <w:caps w:val="0"/>
          <w:color w:val="000000" w:themeColor="text1"/>
          <w:sz w:val="24"/>
          <w:highlight w:val="none"/>
          <w14:textFill>
            <w14:solidFill>
              <w14:schemeClr w14:val="tx1"/>
            </w14:solidFill>
          </w14:textFill>
        </w:rPr>
      </w:pPr>
    </w:p>
    <w:p w14:paraId="09D1375D">
      <w:pPr>
        <w:adjustRightInd w:val="0"/>
        <w:snapToGrid w:val="0"/>
        <w:spacing w:line="360" w:lineRule="auto"/>
        <w:rPr>
          <w:rFonts w:hint="default" w:ascii="Times New Roman" w:hAnsi="Times New Roman" w:eastAsia="宋体" w:cs="Times New Roman"/>
          <w:caps w:val="0"/>
          <w:color w:val="000000" w:themeColor="text1"/>
          <w:sz w:val="24"/>
          <w:highlight w:val="none"/>
          <w14:textFill>
            <w14:solidFill>
              <w14:schemeClr w14:val="tx1"/>
            </w14:solidFill>
          </w14:textFill>
        </w:rPr>
        <w:sectPr>
          <w:pgSz w:w="11906" w:h="16838"/>
          <w:pgMar w:top="1440" w:right="1800" w:bottom="1440" w:left="1800" w:header="851" w:footer="992" w:gutter="0"/>
          <w:pgNumType w:fmt="decimal"/>
          <w:cols w:space="425" w:num="1"/>
          <w:docGrid w:type="lines" w:linePitch="312" w:charSpace="0"/>
        </w:sectPr>
      </w:pPr>
    </w:p>
    <w:p w14:paraId="26FF69F5">
      <w:pPr>
        <w:keepNext w:val="0"/>
        <w:keepLines w:val="0"/>
        <w:pageBreakBefore w:val="0"/>
        <w:widowControl w:val="0"/>
        <w:kinsoku/>
        <w:bidi w:val="0"/>
        <w:spacing w:line="360" w:lineRule="auto"/>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附件</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八</w:t>
      </w:r>
    </w:p>
    <w:p w14:paraId="49362B91">
      <w:pPr>
        <w:pStyle w:val="61"/>
        <w:spacing w:line="360" w:lineRule="auto"/>
        <w:jc w:val="center"/>
        <w:rPr>
          <w:rFonts w:hint="default" w:ascii="Times New Roman" w:hAnsi="Times New Roman" w:eastAsia="宋体" w:cs="Times New Roman"/>
          <w:b/>
          <w:bCs/>
          <w:color w:val="000000" w:themeColor="text1"/>
          <w:sz w:val="28"/>
          <w:szCs w:val="28"/>
          <w:highlight w:val="none"/>
          <w14:textFill>
            <w14:solidFill>
              <w14:schemeClr w14:val="tx1"/>
            </w14:solidFill>
          </w14:textFill>
        </w:rPr>
      </w:pPr>
      <w:r>
        <w:rPr>
          <w:rFonts w:hint="default" w:ascii="Times New Roman" w:hAnsi="Times New Roman" w:eastAsia="宋体" w:cs="Times New Roman"/>
          <w:b/>
          <w:bCs/>
          <w:color w:val="000000" w:themeColor="text1"/>
          <w:sz w:val="28"/>
          <w:szCs w:val="28"/>
          <w:highlight w:val="none"/>
          <w14:textFill>
            <w14:solidFill>
              <w14:schemeClr w14:val="tx1"/>
            </w14:solidFill>
          </w14:textFill>
        </w:rPr>
        <w:t>报价人声明</w:t>
      </w:r>
    </w:p>
    <w:p w14:paraId="6FEED6CE">
      <w:pPr>
        <w:shd w:val="clear" w:color="auto" w:fill="auto"/>
        <w:spacing w:line="360" w:lineRule="auto"/>
        <w:rPr>
          <w:rFonts w:hint="default" w:ascii="Times New Roman" w:hAnsi="Times New Roman" w:eastAsia="宋体" w:cs="Times New Roman"/>
          <w:color w:val="000000" w:themeColor="text1"/>
          <w:sz w:val="24"/>
          <w:szCs w:val="24"/>
          <w:highlight w:val="none"/>
          <w14:textFill>
            <w14:solidFill>
              <w14:schemeClr w14:val="tx1"/>
            </w14:solidFill>
          </w14:textFill>
        </w:rPr>
      </w:pPr>
    </w:p>
    <w:p w14:paraId="381F7A71">
      <w:pPr>
        <w:shd w:val="clear" w:color="auto" w:fill="auto"/>
        <w:spacing w:line="360" w:lineRule="auto"/>
        <w:rPr>
          <w:rFonts w:hint="default" w:ascii="Times New Roman" w:hAnsi="Times New Roman" w:eastAsia="宋体" w:cs="Times New Roman"/>
          <w:color w:val="000000" w:themeColor="text1"/>
          <w:sz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本项目询比人：</w:t>
      </w:r>
      <w:r>
        <w:rPr>
          <w:rFonts w:hint="default" w:ascii="Times New Roman" w:hAnsi="Times New Roman" w:eastAsia="宋体" w:cs="Times New Roman"/>
          <w:color w:val="000000" w:themeColor="text1"/>
          <w:sz w:val="24"/>
          <w:szCs w:val="24"/>
          <w:highlight w:val="none"/>
          <w:u w:val="single"/>
          <w:lang w:eastAsia="zh-CN"/>
          <w14:textFill>
            <w14:solidFill>
              <w14:schemeClr w14:val="tx1"/>
            </w14:solidFill>
          </w14:textFill>
        </w:rPr>
        <w:t>广州市荔湾区建设工程项目代建中心</w:t>
      </w:r>
    </w:p>
    <w:p w14:paraId="183204DA">
      <w:pPr>
        <w:shd w:val="clear" w:color="auto" w:fill="auto"/>
        <w:spacing w:line="360" w:lineRule="auto"/>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本公司就参加</w:t>
      </w:r>
      <w:r>
        <w:rPr>
          <w:rFonts w:hint="default" w:ascii="Times New Roman" w:hAnsi="Times New Roman" w:eastAsia="宋体" w:cs="Times New Roman"/>
          <w:color w:val="000000" w:themeColor="text1"/>
          <w:sz w:val="24"/>
          <w:szCs w:val="24"/>
          <w:highlight w:val="none"/>
          <w:u w:val="single"/>
          <w:lang w:val="en-US" w:eastAsia="zh-CN"/>
          <w14:textFill>
            <w14:solidFill>
              <w14:schemeClr w14:val="tx1"/>
            </w14:solidFill>
          </w14:textFill>
        </w:rPr>
        <w:t xml:space="preserve">西湾和苑人行天桥管线迁改设计施工总承包 </w:t>
      </w:r>
      <w:r>
        <w:rPr>
          <w:rFonts w:hint="default" w:ascii="Times New Roman" w:hAnsi="Times New Roman" w:eastAsia="宋体" w:cs="Times New Roman"/>
          <w:color w:val="000000" w:themeColor="text1"/>
          <w:sz w:val="24"/>
          <w:highlight w:val="none"/>
          <w14:textFill>
            <w14:solidFill>
              <w14:schemeClr w14:val="tx1"/>
            </w14:solidFill>
          </w14:textFill>
        </w:rPr>
        <w:t>询比活动，作出郑重声明：</w:t>
      </w:r>
    </w:p>
    <w:p w14:paraId="4837B42D">
      <w:pPr>
        <w:shd w:val="clear" w:color="auto" w:fill="auto"/>
        <w:spacing w:line="360" w:lineRule="auto"/>
        <w:ind w:firstLine="480" w:firstLineChars="200"/>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一、本公司保证本次询比活动所提供的一切材料都是真实、准确且合法有效的。</w:t>
      </w:r>
    </w:p>
    <w:p w14:paraId="4E42AA61">
      <w:pPr>
        <w:shd w:val="clear" w:color="auto" w:fill="auto"/>
        <w:spacing w:line="360" w:lineRule="auto"/>
        <w:ind w:firstLine="480" w:firstLineChars="200"/>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二、本公司保证在本次询比活动中不与其他单位围标、串标，不出让询比资格，不向询比单位或评审人员行贿。</w:t>
      </w:r>
    </w:p>
    <w:p w14:paraId="15F9A986">
      <w:pPr>
        <w:shd w:val="clear" w:color="auto" w:fill="auto"/>
        <w:spacing w:line="360" w:lineRule="auto"/>
        <w:ind w:firstLine="480" w:firstLineChars="200"/>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三、本公司没有处于被责令停业的状态；没有处于被建设行政主管部门取消投标资格的处罚期内；没有处于财产被接管、冻结、破产的状态；本公司未被各级企业信用信息公示系统列入失信被执行人名单；在报价文件递交截止时间前三年内，本公司及法定代表人、拟</w:t>
      </w:r>
      <w:r>
        <w:rPr>
          <w:rFonts w:hint="default" w:ascii="Times New Roman" w:hAnsi="Times New Roman" w:eastAsia="宋体" w:cs="Times New Roman"/>
          <w:color w:val="000000" w:themeColor="text1"/>
          <w:sz w:val="24"/>
          <w:highlight w:val="none"/>
          <w:lang w:eastAsia="zh-CN"/>
          <w14:textFill>
            <w14:solidFill>
              <w14:schemeClr w14:val="tx1"/>
            </w14:solidFill>
          </w14:textFill>
        </w:rPr>
        <w:t>委派</w:t>
      </w:r>
      <w:r>
        <w:rPr>
          <w:rFonts w:hint="default" w:ascii="Times New Roman" w:hAnsi="Times New Roman" w:eastAsia="宋体" w:cs="Times New Roman"/>
          <w:color w:val="000000" w:themeColor="text1"/>
          <w:sz w:val="24"/>
          <w:highlight w:val="none"/>
          <w14:textFill>
            <w14:solidFill>
              <w14:schemeClr w14:val="tx1"/>
            </w14:solidFill>
          </w14:textFill>
        </w:rPr>
        <w:t>的项目团队成员无行贿犯罪行为的记录；在报价文件递交截止时间前三年内，本公司在经营活动中未出现违法违规等不良记录，无弄虚作假骗取中标、围标串标行为；在报价文件递交截止时间前三年内没有建设行政主管部门已书面认定的重大工程质量问题；本公司未在以往项目中因不诚信行为或不充分履约行为被本项目询比人书面拒绝；本公司未被纳入联合惩戒范围。</w:t>
      </w:r>
    </w:p>
    <w:p w14:paraId="2865CB73">
      <w:pPr>
        <w:shd w:val="clear" w:color="auto" w:fill="auto"/>
        <w:spacing w:line="360" w:lineRule="auto"/>
        <w:ind w:firstLine="480" w:firstLineChars="200"/>
        <w:rPr>
          <w:rFonts w:hint="default" w:ascii="Times New Roman" w:hAnsi="Times New Roman" w:eastAsia="宋体" w:cs="Times New Roman"/>
          <w:color w:val="000000" w:themeColor="text1"/>
          <w:sz w:val="24"/>
          <w:szCs w:val="22"/>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2"/>
          <w:highlight w:val="none"/>
          <w:lang w:val="en-US" w:eastAsia="zh-CN"/>
          <w14:textFill>
            <w14:solidFill>
              <w14:schemeClr w14:val="tx1"/>
            </w14:solidFill>
          </w14:textFill>
        </w:rPr>
        <w:t>四、本公司承诺不存在以下情形：与本公司单位负责人为同一人或者存在直接控股、管理关系的不同报价人，同时参加本项目报价。为本项目提供整体设计、规范编制或者项目管理、监理、检测等服务的报价人，再参与本项目报价的。</w:t>
      </w:r>
    </w:p>
    <w:p w14:paraId="4776A9F8">
      <w:pPr>
        <w:pStyle w:val="13"/>
        <w:shd w:val="clear" w:color="auto" w:fill="auto"/>
        <w:spacing w:line="360" w:lineRule="auto"/>
        <w:ind w:left="0" w:leftChars="0" w:right="0" w:rightChars="0" w:firstLine="480" w:firstLineChars="200"/>
        <w:rPr>
          <w:rFonts w:hint="default" w:ascii="Times New Roman" w:hAnsi="Times New Roman" w:eastAsia="宋体" w:cs="Times New Roman"/>
          <w:color w:val="000000" w:themeColor="text1"/>
          <w:szCs w:val="22"/>
          <w:highlight w:val="none"/>
          <w14:textFill>
            <w14:solidFill>
              <w14:schemeClr w14:val="tx1"/>
            </w14:solidFill>
          </w14:textFill>
        </w:rPr>
      </w:pPr>
      <w:r>
        <w:rPr>
          <w:rFonts w:hint="default" w:ascii="Times New Roman" w:hAnsi="Times New Roman" w:eastAsia="宋体" w:cs="Times New Roman"/>
          <w:color w:val="000000" w:themeColor="text1"/>
          <w:szCs w:val="22"/>
          <w:highlight w:val="none"/>
          <w14:textFill>
            <w14:solidFill>
              <w14:schemeClr w14:val="tx1"/>
            </w14:solidFill>
          </w14:textFill>
        </w:rPr>
        <w:t>本公司违反上述保证或本声明陈述与事实不符，经查实，如果中选本公司自愿取消本项目中选资格，并承担由此带来的法律后果。</w:t>
      </w:r>
    </w:p>
    <w:p w14:paraId="0A39920B">
      <w:pPr>
        <w:adjustRightInd w:val="0"/>
        <w:snapToGrid w:val="0"/>
        <w:spacing w:line="360" w:lineRule="auto"/>
        <w:ind w:firstLine="480" w:firstLineChars="200"/>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特此声明。</w:t>
      </w:r>
    </w:p>
    <w:p w14:paraId="55E3BC87">
      <w:pPr>
        <w:adjustRightInd w:val="0"/>
        <w:snapToGrid w:val="0"/>
        <w:spacing w:line="360" w:lineRule="auto"/>
        <w:ind w:firstLine="482" w:firstLineChars="200"/>
        <w:rPr>
          <w:rFonts w:hint="default" w:ascii="Times New Roman" w:hAnsi="Times New Roman" w:eastAsia="宋体" w:cs="Times New Roman"/>
          <w:b/>
          <w:bCs/>
          <w:color w:val="000000" w:themeColor="text1"/>
          <w:sz w:val="24"/>
          <w:szCs w:val="24"/>
          <w:highlight w:val="none"/>
          <w14:textFill>
            <w14:solidFill>
              <w14:schemeClr w14:val="tx1"/>
            </w14:solidFill>
          </w14:textFill>
        </w:rPr>
      </w:pPr>
    </w:p>
    <w:p w14:paraId="49B486A6">
      <w:pPr>
        <w:adjustRightInd w:val="0"/>
        <w:snapToGrid w:val="0"/>
        <w:spacing w:line="360" w:lineRule="auto"/>
        <w:ind w:firstLine="482" w:firstLineChars="200"/>
        <w:rPr>
          <w:rFonts w:hint="default" w:ascii="Times New Roman" w:hAnsi="Times New Roman" w:eastAsia="宋体" w:cs="Times New Roman"/>
          <w:b/>
          <w:bCs/>
          <w:color w:val="000000" w:themeColor="text1"/>
          <w:sz w:val="24"/>
          <w:szCs w:val="24"/>
          <w:highlight w:val="none"/>
          <w14:textFill>
            <w14:solidFill>
              <w14:schemeClr w14:val="tx1"/>
            </w14:solidFill>
          </w14:textFill>
        </w:rPr>
      </w:pPr>
    </w:p>
    <w:p w14:paraId="38C3F4BB">
      <w:pPr>
        <w:keepNext w:val="0"/>
        <w:keepLines w:val="0"/>
        <w:pageBreakBefore w:val="0"/>
        <w:widowControl w:val="0"/>
        <w:tabs>
          <w:tab w:val="left" w:pos="13320"/>
        </w:tabs>
        <w:kinsoku/>
        <w:bidi w:val="0"/>
        <w:snapToGrid w:val="0"/>
        <w:spacing w:line="360" w:lineRule="auto"/>
        <w:ind w:left="718" w:leftChars="342" w:right="-52" w:firstLine="2635" w:firstLineChars="1098"/>
        <w:rPr>
          <w:rFonts w:hint="default" w:ascii="Times New Roman" w:hAnsi="Times New Roman" w:eastAsia="宋体" w:cs="Times New Roman"/>
          <w:color w:val="000000" w:themeColor="text1"/>
          <w:sz w:val="24"/>
          <w:szCs w:val="24"/>
          <w:highlight w:val="none"/>
          <w:u w:val="singl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报价人（法人公章）：</w:t>
      </w:r>
      <w:r>
        <w:rPr>
          <w:rFonts w:hint="default" w:ascii="Times New Roman" w:hAnsi="Times New Roman" w:eastAsia="宋体" w:cs="Times New Roman"/>
          <w:color w:val="000000" w:themeColor="text1"/>
          <w:sz w:val="24"/>
          <w:szCs w:val="24"/>
          <w:highlight w:val="none"/>
          <w:u w:val="single"/>
          <w14:textFill>
            <w14:solidFill>
              <w14:schemeClr w14:val="tx1"/>
            </w14:solidFill>
          </w14:textFill>
        </w:rPr>
        <w:t xml:space="preserve">                        </w:t>
      </w:r>
    </w:p>
    <w:p w14:paraId="6E3B6CE4">
      <w:pPr>
        <w:keepNext w:val="0"/>
        <w:keepLines w:val="0"/>
        <w:pageBreakBefore w:val="0"/>
        <w:widowControl w:val="0"/>
        <w:tabs>
          <w:tab w:val="left" w:pos="13320"/>
        </w:tabs>
        <w:kinsoku/>
        <w:bidi w:val="0"/>
        <w:snapToGrid w:val="0"/>
        <w:spacing w:line="360" w:lineRule="auto"/>
        <w:ind w:left="718" w:leftChars="342" w:right="-52" w:firstLine="2635" w:firstLineChars="1098"/>
        <w:rPr>
          <w:rFonts w:hint="default" w:ascii="Times New Roman" w:hAnsi="Times New Roman" w:eastAsia="宋体" w:cs="Times New Roman"/>
          <w:color w:val="000000" w:themeColor="text1"/>
          <w:sz w:val="24"/>
          <w:szCs w:val="24"/>
          <w:highlight w:val="none"/>
          <w:u w:val="singl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法定代表人或授权代表（签字或盖章）：</w:t>
      </w:r>
      <w:r>
        <w:rPr>
          <w:rFonts w:hint="default" w:ascii="Times New Roman" w:hAnsi="Times New Roman" w:eastAsia="宋体" w:cs="Times New Roman"/>
          <w:color w:val="000000" w:themeColor="text1"/>
          <w:sz w:val="24"/>
          <w:szCs w:val="24"/>
          <w:highlight w:val="none"/>
          <w:u w:val="single"/>
          <w14:textFill>
            <w14:solidFill>
              <w14:schemeClr w14:val="tx1"/>
            </w14:solidFill>
          </w14:textFill>
        </w:rPr>
        <w:t xml:space="preserve">        </w:t>
      </w:r>
    </w:p>
    <w:p w14:paraId="345D8311">
      <w:pPr>
        <w:keepNext w:val="0"/>
        <w:keepLines w:val="0"/>
        <w:pageBreakBefore w:val="0"/>
        <w:widowControl w:val="0"/>
        <w:kinsoku/>
        <w:bidi w:val="0"/>
        <w:spacing w:line="360" w:lineRule="auto"/>
        <w:ind w:firstLine="3360" w:firstLineChars="1400"/>
        <w:rPr>
          <w:rFonts w:hint="default" w:ascii="Times New Roman" w:hAnsi="Times New Roman" w:eastAsia="宋体" w:cs="Times New Roman"/>
          <w:color w:val="000000" w:themeColor="text1"/>
          <w:sz w:val="24"/>
          <w:szCs w:val="24"/>
          <w:highlight w:val="none"/>
          <w14:textFill>
            <w14:solidFill>
              <w14:schemeClr w14:val="tx1"/>
            </w14:solidFill>
          </w14:textFill>
        </w:rPr>
        <w:sectPr>
          <w:footerReference r:id="rId15" w:type="first"/>
          <w:footerReference r:id="rId14" w:type="default"/>
          <w:pgSz w:w="11906" w:h="16838"/>
          <w:pgMar w:top="1417" w:right="1134" w:bottom="1134" w:left="1417" w:header="851" w:footer="992" w:gutter="0"/>
          <w:pgNumType w:fmt="decimal" w:start="20"/>
          <w:cols w:space="720" w:num="1"/>
          <w:titlePg/>
          <w:rtlGutter w:val="0"/>
          <w:docGrid w:type="lines" w:linePitch="317" w:charSpace="0"/>
        </w:sectPr>
      </w:pPr>
      <w:r>
        <w:rPr>
          <w:rFonts w:hint="default" w:ascii="Times New Roman" w:hAnsi="Times New Roman" w:eastAsia="宋体" w:cs="Times New Roman"/>
          <w:color w:val="000000" w:themeColor="text1"/>
          <w:sz w:val="24"/>
          <w:szCs w:val="24"/>
          <w:highlight w:val="none"/>
          <w14:textFill>
            <w14:solidFill>
              <w14:schemeClr w14:val="tx1"/>
            </w14:solidFill>
          </w14:textFill>
        </w:rPr>
        <w:t>日期：</w:t>
      </w:r>
      <w:r>
        <w:rPr>
          <w:rFonts w:hint="default" w:ascii="Times New Roman" w:hAnsi="Times New Roman" w:eastAsia="宋体" w:cs="Times New Roman"/>
          <w:color w:val="000000" w:themeColor="text1"/>
          <w:sz w:val="24"/>
          <w:szCs w:val="24"/>
          <w:highlight w:val="none"/>
          <w:u w:val="single"/>
          <w14:textFill>
            <w14:solidFill>
              <w14:schemeClr w14:val="tx1"/>
            </w14:solidFill>
          </w14:textFill>
        </w:rPr>
        <w:t xml:space="preserve">     </w:t>
      </w:r>
      <w:r>
        <w:rPr>
          <w:rFonts w:hint="default" w:ascii="Times New Roman" w:hAnsi="Times New Roman" w:eastAsia="宋体" w:cs="Times New Roman"/>
          <w:color w:val="000000" w:themeColor="text1"/>
          <w:sz w:val="24"/>
          <w:szCs w:val="24"/>
          <w:highlight w:val="none"/>
          <w14:textFill>
            <w14:solidFill>
              <w14:schemeClr w14:val="tx1"/>
            </w14:solidFill>
          </w14:textFill>
        </w:rPr>
        <w:t>年</w:t>
      </w:r>
      <w:r>
        <w:rPr>
          <w:rFonts w:hint="default" w:ascii="Times New Roman" w:hAnsi="Times New Roman" w:eastAsia="宋体" w:cs="Times New Roman"/>
          <w:color w:val="000000" w:themeColor="text1"/>
          <w:sz w:val="24"/>
          <w:szCs w:val="24"/>
          <w:highlight w:val="none"/>
          <w:u w:val="single"/>
          <w14:textFill>
            <w14:solidFill>
              <w14:schemeClr w14:val="tx1"/>
            </w14:solidFill>
          </w14:textFill>
        </w:rPr>
        <w:t xml:space="preserve">    </w:t>
      </w:r>
      <w:r>
        <w:rPr>
          <w:rFonts w:hint="default" w:ascii="Times New Roman" w:hAnsi="Times New Roman" w:eastAsia="宋体" w:cs="Times New Roman"/>
          <w:color w:val="000000" w:themeColor="text1"/>
          <w:sz w:val="24"/>
          <w:szCs w:val="24"/>
          <w:highlight w:val="none"/>
          <w14:textFill>
            <w14:solidFill>
              <w14:schemeClr w14:val="tx1"/>
            </w14:solidFill>
          </w14:textFill>
        </w:rPr>
        <w:t>月</w:t>
      </w:r>
      <w:r>
        <w:rPr>
          <w:rFonts w:hint="default" w:ascii="Times New Roman" w:hAnsi="Times New Roman" w:eastAsia="宋体" w:cs="Times New Roman"/>
          <w:color w:val="000000" w:themeColor="text1"/>
          <w:sz w:val="24"/>
          <w:szCs w:val="24"/>
          <w:highlight w:val="none"/>
          <w:u w:val="single"/>
          <w14:textFill>
            <w14:solidFill>
              <w14:schemeClr w14:val="tx1"/>
            </w14:solidFill>
          </w14:textFill>
        </w:rPr>
        <w:t xml:space="preserve">     </w:t>
      </w:r>
      <w:r>
        <w:rPr>
          <w:rFonts w:hint="default" w:ascii="Times New Roman" w:hAnsi="Times New Roman" w:eastAsia="宋体" w:cs="Times New Roman"/>
          <w:color w:val="000000" w:themeColor="text1"/>
          <w:sz w:val="24"/>
          <w:szCs w:val="24"/>
          <w:highlight w:val="none"/>
          <w14:textFill>
            <w14:solidFill>
              <w14:schemeClr w14:val="tx1"/>
            </w14:solidFill>
          </w14:textFill>
        </w:rPr>
        <w:t>日</w:t>
      </w:r>
    </w:p>
    <w:p w14:paraId="6C7339B2">
      <w:pPr>
        <w:spacing w:line="360" w:lineRule="auto"/>
        <w:ind w:left="210" w:leftChars="1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附件九</w:t>
      </w:r>
    </w:p>
    <w:p w14:paraId="527147A0">
      <w:pPr>
        <w:adjustRightInd w:val="0"/>
        <w:snapToGrid w:val="0"/>
        <w:spacing w:line="360" w:lineRule="auto"/>
        <w:ind w:left="210" w:leftChars="100"/>
        <w:jc w:val="center"/>
        <w:rPr>
          <w:rFonts w:hint="default" w:ascii="Times New Roman" w:hAnsi="Times New Roman" w:cs="Times New Roman"/>
          <w:b/>
          <w:bCs/>
          <w:color w:val="auto"/>
          <w:sz w:val="32"/>
          <w:szCs w:val="32"/>
          <w:highlight w:val="none"/>
        </w:rPr>
      </w:pPr>
      <w:r>
        <w:rPr>
          <w:rFonts w:hint="default" w:ascii="Times New Roman" w:hAnsi="Times New Roman" w:cs="Times New Roman"/>
          <w:b/>
          <w:bCs/>
          <w:color w:val="auto"/>
          <w:sz w:val="32"/>
          <w:szCs w:val="32"/>
          <w:highlight w:val="none"/>
        </w:rPr>
        <w:t>报价人关联企业情况声明</w:t>
      </w:r>
    </w:p>
    <w:p w14:paraId="3DF7B66A">
      <w:pPr>
        <w:spacing w:line="360" w:lineRule="auto"/>
        <w:ind w:left="210" w:leftChars="100"/>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 w:val="24"/>
          <w:szCs w:val="24"/>
          <w:highlight w:val="none"/>
        </w:rPr>
        <w:t>（此表为询比报价必填内容）</w:t>
      </w:r>
    </w:p>
    <w:p w14:paraId="29D0CFD3">
      <w:pPr>
        <w:spacing w:line="360" w:lineRule="auto"/>
        <w:ind w:left="210" w:leftChars="1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我公司郑重声明如下：</w:t>
      </w:r>
    </w:p>
    <w:p w14:paraId="125FC4F3">
      <w:pPr>
        <w:spacing w:line="360" w:lineRule="auto"/>
        <w:ind w:left="210" w:leftChars="100"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1、本公司的母公司及控股公司情况：</w:t>
      </w:r>
    </w:p>
    <w:p w14:paraId="78B5AB35">
      <w:pPr>
        <w:spacing w:line="360" w:lineRule="auto"/>
        <w:ind w:left="210" w:leftChars="100"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2、属于同一母公司或同一控股公司的其他公司的情况：</w:t>
      </w:r>
    </w:p>
    <w:tbl>
      <w:tblPr>
        <w:tblStyle w:val="2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40"/>
        <w:gridCol w:w="1080"/>
        <w:gridCol w:w="360"/>
        <w:gridCol w:w="1620"/>
        <w:gridCol w:w="1708"/>
        <w:gridCol w:w="2960"/>
      </w:tblGrid>
      <w:tr w14:paraId="284E03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0" w:type="dxa"/>
            <w:noWrap w:val="0"/>
            <w:vAlign w:val="center"/>
          </w:tcPr>
          <w:p w14:paraId="355E37AF">
            <w:pPr>
              <w:spacing w:line="360" w:lineRule="auto"/>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母公司及控股公司名称</w:t>
            </w:r>
          </w:p>
        </w:tc>
        <w:tc>
          <w:tcPr>
            <w:tcW w:w="1440" w:type="dxa"/>
            <w:gridSpan w:val="2"/>
            <w:noWrap w:val="0"/>
            <w:vAlign w:val="center"/>
          </w:tcPr>
          <w:p w14:paraId="5BD75F9D">
            <w:pPr>
              <w:spacing w:line="360" w:lineRule="auto"/>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控股（出资）比例（%）</w:t>
            </w:r>
          </w:p>
        </w:tc>
        <w:tc>
          <w:tcPr>
            <w:tcW w:w="1620" w:type="dxa"/>
            <w:noWrap w:val="0"/>
            <w:vAlign w:val="center"/>
          </w:tcPr>
          <w:p w14:paraId="462D086B">
            <w:pPr>
              <w:spacing w:line="360" w:lineRule="auto"/>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法定代表人</w:t>
            </w:r>
          </w:p>
        </w:tc>
        <w:tc>
          <w:tcPr>
            <w:tcW w:w="1708" w:type="dxa"/>
            <w:noWrap w:val="0"/>
            <w:vAlign w:val="center"/>
          </w:tcPr>
          <w:p w14:paraId="0C599972">
            <w:pPr>
              <w:spacing w:line="360" w:lineRule="auto"/>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联系人及电话</w:t>
            </w:r>
          </w:p>
        </w:tc>
        <w:tc>
          <w:tcPr>
            <w:tcW w:w="2960" w:type="dxa"/>
            <w:noWrap w:val="0"/>
            <w:vAlign w:val="center"/>
          </w:tcPr>
          <w:p w14:paraId="483D9077">
            <w:pPr>
              <w:spacing w:line="360" w:lineRule="auto"/>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公司地址</w:t>
            </w:r>
          </w:p>
        </w:tc>
      </w:tr>
      <w:tr w14:paraId="0D52CA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0" w:type="dxa"/>
            <w:noWrap w:val="0"/>
            <w:vAlign w:val="center"/>
          </w:tcPr>
          <w:p w14:paraId="7EA32572">
            <w:pPr>
              <w:spacing w:line="360" w:lineRule="auto"/>
              <w:jc w:val="center"/>
              <w:rPr>
                <w:rFonts w:hint="default" w:ascii="Times New Roman" w:hAnsi="Times New Roman" w:cs="Times New Roman"/>
                <w:color w:val="auto"/>
                <w:sz w:val="24"/>
                <w:szCs w:val="24"/>
                <w:highlight w:val="none"/>
              </w:rPr>
            </w:pPr>
          </w:p>
        </w:tc>
        <w:tc>
          <w:tcPr>
            <w:tcW w:w="1440" w:type="dxa"/>
            <w:gridSpan w:val="2"/>
            <w:noWrap w:val="0"/>
            <w:vAlign w:val="center"/>
          </w:tcPr>
          <w:p w14:paraId="642113B3">
            <w:pPr>
              <w:spacing w:line="360" w:lineRule="auto"/>
              <w:jc w:val="center"/>
              <w:rPr>
                <w:rFonts w:hint="default" w:ascii="Times New Roman" w:hAnsi="Times New Roman" w:cs="Times New Roman"/>
                <w:color w:val="auto"/>
                <w:sz w:val="24"/>
                <w:szCs w:val="24"/>
                <w:highlight w:val="none"/>
              </w:rPr>
            </w:pPr>
          </w:p>
        </w:tc>
        <w:tc>
          <w:tcPr>
            <w:tcW w:w="1620" w:type="dxa"/>
            <w:noWrap w:val="0"/>
            <w:vAlign w:val="center"/>
          </w:tcPr>
          <w:p w14:paraId="2C30C46F">
            <w:pPr>
              <w:spacing w:line="360" w:lineRule="auto"/>
              <w:jc w:val="center"/>
              <w:rPr>
                <w:rFonts w:hint="default" w:ascii="Times New Roman" w:hAnsi="Times New Roman" w:cs="Times New Roman"/>
                <w:color w:val="auto"/>
                <w:sz w:val="24"/>
                <w:szCs w:val="24"/>
                <w:highlight w:val="none"/>
              </w:rPr>
            </w:pPr>
          </w:p>
        </w:tc>
        <w:tc>
          <w:tcPr>
            <w:tcW w:w="1708" w:type="dxa"/>
            <w:noWrap w:val="0"/>
            <w:vAlign w:val="center"/>
          </w:tcPr>
          <w:p w14:paraId="0E3FFDC5">
            <w:pPr>
              <w:spacing w:line="360" w:lineRule="auto"/>
              <w:jc w:val="center"/>
              <w:rPr>
                <w:rFonts w:hint="default" w:ascii="Times New Roman" w:hAnsi="Times New Roman" w:cs="Times New Roman"/>
                <w:color w:val="auto"/>
                <w:sz w:val="24"/>
                <w:szCs w:val="24"/>
                <w:highlight w:val="none"/>
              </w:rPr>
            </w:pPr>
          </w:p>
        </w:tc>
        <w:tc>
          <w:tcPr>
            <w:tcW w:w="2960" w:type="dxa"/>
            <w:noWrap w:val="0"/>
            <w:vAlign w:val="center"/>
          </w:tcPr>
          <w:p w14:paraId="0D683384">
            <w:pPr>
              <w:spacing w:line="360" w:lineRule="auto"/>
              <w:jc w:val="center"/>
              <w:rPr>
                <w:rFonts w:hint="default" w:ascii="Times New Roman" w:hAnsi="Times New Roman" w:cs="Times New Roman"/>
                <w:color w:val="auto"/>
                <w:sz w:val="24"/>
                <w:szCs w:val="24"/>
                <w:highlight w:val="none"/>
              </w:rPr>
            </w:pPr>
          </w:p>
        </w:tc>
      </w:tr>
      <w:tr w14:paraId="63B65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0" w:type="dxa"/>
            <w:noWrap w:val="0"/>
            <w:vAlign w:val="center"/>
          </w:tcPr>
          <w:p w14:paraId="362B82BB">
            <w:pPr>
              <w:spacing w:line="360" w:lineRule="auto"/>
              <w:jc w:val="center"/>
              <w:rPr>
                <w:rFonts w:hint="default" w:ascii="Times New Roman" w:hAnsi="Times New Roman" w:cs="Times New Roman"/>
                <w:color w:val="auto"/>
                <w:sz w:val="24"/>
                <w:szCs w:val="24"/>
                <w:highlight w:val="none"/>
              </w:rPr>
            </w:pPr>
          </w:p>
        </w:tc>
        <w:tc>
          <w:tcPr>
            <w:tcW w:w="1440" w:type="dxa"/>
            <w:gridSpan w:val="2"/>
            <w:noWrap w:val="0"/>
            <w:vAlign w:val="center"/>
          </w:tcPr>
          <w:p w14:paraId="286B63EB">
            <w:pPr>
              <w:spacing w:line="360" w:lineRule="auto"/>
              <w:jc w:val="center"/>
              <w:rPr>
                <w:rFonts w:hint="default" w:ascii="Times New Roman" w:hAnsi="Times New Roman" w:cs="Times New Roman"/>
                <w:color w:val="auto"/>
                <w:sz w:val="24"/>
                <w:szCs w:val="24"/>
                <w:highlight w:val="none"/>
              </w:rPr>
            </w:pPr>
          </w:p>
        </w:tc>
        <w:tc>
          <w:tcPr>
            <w:tcW w:w="1620" w:type="dxa"/>
            <w:noWrap w:val="0"/>
            <w:vAlign w:val="center"/>
          </w:tcPr>
          <w:p w14:paraId="7C5C788A">
            <w:pPr>
              <w:spacing w:line="360" w:lineRule="auto"/>
              <w:jc w:val="center"/>
              <w:rPr>
                <w:rFonts w:hint="default" w:ascii="Times New Roman" w:hAnsi="Times New Roman" w:cs="Times New Roman"/>
                <w:color w:val="auto"/>
                <w:sz w:val="24"/>
                <w:szCs w:val="24"/>
                <w:highlight w:val="none"/>
              </w:rPr>
            </w:pPr>
          </w:p>
        </w:tc>
        <w:tc>
          <w:tcPr>
            <w:tcW w:w="1708" w:type="dxa"/>
            <w:noWrap w:val="0"/>
            <w:vAlign w:val="center"/>
          </w:tcPr>
          <w:p w14:paraId="2960851E">
            <w:pPr>
              <w:spacing w:line="360" w:lineRule="auto"/>
              <w:jc w:val="center"/>
              <w:rPr>
                <w:rFonts w:hint="default" w:ascii="Times New Roman" w:hAnsi="Times New Roman" w:cs="Times New Roman"/>
                <w:color w:val="auto"/>
                <w:sz w:val="24"/>
                <w:szCs w:val="24"/>
                <w:highlight w:val="none"/>
              </w:rPr>
            </w:pPr>
          </w:p>
        </w:tc>
        <w:tc>
          <w:tcPr>
            <w:tcW w:w="2960" w:type="dxa"/>
            <w:noWrap w:val="0"/>
            <w:vAlign w:val="center"/>
          </w:tcPr>
          <w:p w14:paraId="58FCCEC6">
            <w:pPr>
              <w:spacing w:line="360" w:lineRule="auto"/>
              <w:jc w:val="center"/>
              <w:rPr>
                <w:rFonts w:hint="default" w:ascii="Times New Roman" w:hAnsi="Times New Roman" w:cs="Times New Roman"/>
                <w:color w:val="auto"/>
                <w:sz w:val="24"/>
                <w:szCs w:val="24"/>
                <w:highlight w:val="none"/>
              </w:rPr>
            </w:pPr>
          </w:p>
        </w:tc>
      </w:tr>
      <w:tr w14:paraId="35AC7A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68" w:type="dxa"/>
            <w:gridSpan w:val="6"/>
            <w:noWrap w:val="0"/>
            <w:vAlign w:val="center"/>
          </w:tcPr>
          <w:p w14:paraId="06A2E34F">
            <w:pPr>
              <w:spacing w:line="360" w:lineRule="auto"/>
              <w:jc w:val="center"/>
              <w:rPr>
                <w:rFonts w:hint="default" w:ascii="Times New Roman" w:hAnsi="Times New Roman" w:cs="Times New Roman"/>
                <w:color w:val="auto"/>
                <w:sz w:val="24"/>
                <w:szCs w:val="24"/>
                <w:highlight w:val="none"/>
              </w:rPr>
            </w:pPr>
          </w:p>
        </w:tc>
      </w:tr>
      <w:tr w14:paraId="2DAC34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20" w:type="dxa"/>
            <w:gridSpan w:val="2"/>
            <w:noWrap w:val="0"/>
            <w:vAlign w:val="center"/>
          </w:tcPr>
          <w:p w14:paraId="63E07BF6">
            <w:pPr>
              <w:spacing w:line="360" w:lineRule="auto"/>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属于同一母公司或同一控股公司的其他公司名称</w:t>
            </w:r>
          </w:p>
        </w:tc>
        <w:tc>
          <w:tcPr>
            <w:tcW w:w="1980" w:type="dxa"/>
            <w:gridSpan w:val="2"/>
            <w:noWrap w:val="0"/>
            <w:vAlign w:val="center"/>
          </w:tcPr>
          <w:p w14:paraId="5784B7CF">
            <w:pPr>
              <w:spacing w:line="360" w:lineRule="auto"/>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法定代表人</w:t>
            </w:r>
          </w:p>
        </w:tc>
        <w:tc>
          <w:tcPr>
            <w:tcW w:w="1708" w:type="dxa"/>
            <w:noWrap w:val="0"/>
            <w:vAlign w:val="center"/>
          </w:tcPr>
          <w:p w14:paraId="544F80BC">
            <w:pPr>
              <w:spacing w:line="360" w:lineRule="auto"/>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联系人及电话</w:t>
            </w:r>
          </w:p>
        </w:tc>
        <w:tc>
          <w:tcPr>
            <w:tcW w:w="2960" w:type="dxa"/>
            <w:noWrap w:val="0"/>
            <w:vAlign w:val="center"/>
          </w:tcPr>
          <w:p w14:paraId="1ED181AC">
            <w:pPr>
              <w:spacing w:line="360" w:lineRule="auto"/>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公司地址</w:t>
            </w:r>
          </w:p>
        </w:tc>
      </w:tr>
      <w:tr w14:paraId="37DFBF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20" w:type="dxa"/>
            <w:gridSpan w:val="2"/>
            <w:noWrap w:val="0"/>
            <w:vAlign w:val="center"/>
          </w:tcPr>
          <w:p w14:paraId="1E62F1D7">
            <w:pPr>
              <w:spacing w:line="360" w:lineRule="auto"/>
              <w:jc w:val="center"/>
              <w:rPr>
                <w:rFonts w:hint="default" w:ascii="Times New Roman" w:hAnsi="Times New Roman" w:cs="Times New Roman"/>
                <w:color w:val="auto"/>
                <w:sz w:val="24"/>
                <w:szCs w:val="24"/>
                <w:highlight w:val="none"/>
              </w:rPr>
            </w:pPr>
          </w:p>
        </w:tc>
        <w:tc>
          <w:tcPr>
            <w:tcW w:w="1980" w:type="dxa"/>
            <w:gridSpan w:val="2"/>
            <w:noWrap w:val="0"/>
            <w:vAlign w:val="center"/>
          </w:tcPr>
          <w:p w14:paraId="003EBD79">
            <w:pPr>
              <w:spacing w:line="360" w:lineRule="auto"/>
              <w:jc w:val="center"/>
              <w:rPr>
                <w:rFonts w:hint="default" w:ascii="Times New Roman" w:hAnsi="Times New Roman" w:cs="Times New Roman"/>
                <w:color w:val="auto"/>
                <w:sz w:val="24"/>
                <w:szCs w:val="24"/>
                <w:highlight w:val="none"/>
              </w:rPr>
            </w:pPr>
          </w:p>
        </w:tc>
        <w:tc>
          <w:tcPr>
            <w:tcW w:w="1708" w:type="dxa"/>
            <w:noWrap w:val="0"/>
            <w:vAlign w:val="center"/>
          </w:tcPr>
          <w:p w14:paraId="631751B5">
            <w:pPr>
              <w:spacing w:line="360" w:lineRule="auto"/>
              <w:jc w:val="center"/>
              <w:rPr>
                <w:rFonts w:hint="default" w:ascii="Times New Roman" w:hAnsi="Times New Roman" w:cs="Times New Roman"/>
                <w:color w:val="auto"/>
                <w:sz w:val="24"/>
                <w:szCs w:val="24"/>
                <w:highlight w:val="none"/>
              </w:rPr>
            </w:pPr>
          </w:p>
        </w:tc>
        <w:tc>
          <w:tcPr>
            <w:tcW w:w="2960" w:type="dxa"/>
            <w:noWrap w:val="0"/>
            <w:vAlign w:val="center"/>
          </w:tcPr>
          <w:p w14:paraId="4057D328">
            <w:pPr>
              <w:spacing w:line="360" w:lineRule="auto"/>
              <w:jc w:val="center"/>
              <w:rPr>
                <w:rFonts w:hint="default" w:ascii="Times New Roman" w:hAnsi="Times New Roman" w:cs="Times New Roman"/>
                <w:color w:val="auto"/>
                <w:sz w:val="24"/>
                <w:szCs w:val="24"/>
                <w:highlight w:val="none"/>
              </w:rPr>
            </w:pPr>
          </w:p>
        </w:tc>
      </w:tr>
      <w:tr w14:paraId="335A3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20" w:type="dxa"/>
            <w:gridSpan w:val="2"/>
            <w:noWrap w:val="0"/>
            <w:vAlign w:val="center"/>
          </w:tcPr>
          <w:p w14:paraId="216412F3">
            <w:pPr>
              <w:spacing w:line="360" w:lineRule="auto"/>
              <w:jc w:val="center"/>
              <w:rPr>
                <w:rFonts w:hint="default" w:ascii="Times New Roman" w:hAnsi="Times New Roman" w:cs="Times New Roman"/>
                <w:color w:val="auto"/>
                <w:sz w:val="24"/>
                <w:szCs w:val="24"/>
                <w:highlight w:val="none"/>
              </w:rPr>
            </w:pPr>
          </w:p>
        </w:tc>
        <w:tc>
          <w:tcPr>
            <w:tcW w:w="1980" w:type="dxa"/>
            <w:gridSpan w:val="2"/>
            <w:noWrap w:val="0"/>
            <w:vAlign w:val="center"/>
          </w:tcPr>
          <w:p w14:paraId="37E16150">
            <w:pPr>
              <w:spacing w:line="360" w:lineRule="auto"/>
              <w:jc w:val="center"/>
              <w:rPr>
                <w:rFonts w:hint="default" w:ascii="Times New Roman" w:hAnsi="Times New Roman" w:cs="Times New Roman"/>
                <w:color w:val="auto"/>
                <w:sz w:val="24"/>
                <w:szCs w:val="24"/>
                <w:highlight w:val="none"/>
              </w:rPr>
            </w:pPr>
          </w:p>
        </w:tc>
        <w:tc>
          <w:tcPr>
            <w:tcW w:w="1708" w:type="dxa"/>
            <w:noWrap w:val="0"/>
            <w:vAlign w:val="center"/>
          </w:tcPr>
          <w:p w14:paraId="241915BA">
            <w:pPr>
              <w:spacing w:line="360" w:lineRule="auto"/>
              <w:jc w:val="center"/>
              <w:rPr>
                <w:rFonts w:hint="default" w:ascii="Times New Roman" w:hAnsi="Times New Roman" w:cs="Times New Roman"/>
                <w:color w:val="auto"/>
                <w:sz w:val="24"/>
                <w:szCs w:val="24"/>
                <w:highlight w:val="none"/>
              </w:rPr>
            </w:pPr>
          </w:p>
        </w:tc>
        <w:tc>
          <w:tcPr>
            <w:tcW w:w="2960" w:type="dxa"/>
            <w:noWrap w:val="0"/>
            <w:vAlign w:val="center"/>
          </w:tcPr>
          <w:p w14:paraId="7DF661BF">
            <w:pPr>
              <w:spacing w:line="360" w:lineRule="auto"/>
              <w:jc w:val="center"/>
              <w:rPr>
                <w:rFonts w:hint="default" w:ascii="Times New Roman" w:hAnsi="Times New Roman" w:cs="Times New Roman"/>
                <w:color w:val="auto"/>
                <w:sz w:val="24"/>
                <w:szCs w:val="24"/>
                <w:highlight w:val="none"/>
              </w:rPr>
            </w:pPr>
          </w:p>
        </w:tc>
      </w:tr>
      <w:tr w14:paraId="458EB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20" w:type="dxa"/>
            <w:gridSpan w:val="2"/>
            <w:noWrap w:val="0"/>
            <w:vAlign w:val="center"/>
          </w:tcPr>
          <w:p w14:paraId="18805750">
            <w:pPr>
              <w:spacing w:line="360" w:lineRule="auto"/>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w:t>
            </w:r>
          </w:p>
        </w:tc>
        <w:tc>
          <w:tcPr>
            <w:tcW w:w="1980" w:type="dxa"/>
            <w:gridSpan w:val="2"/>
            <w:noWrap w:val="0"/>
            <w:vAlign w:val="center"/>
          </w:tcPr>
          <w:p w14:paraId="596A5F63">
            <w:pPr>
              <w:spacing w:line="360" w:lineRule="auto"/>
              <w:jc w:val="center"/>
              <w:rPr>
                <w:rFonts w:hint="default" w:ascii="Times New Roman" w:hAnsi="Times New Roman" w:cs="Times New Roman"/>
                <w:color w:val="auto"/>
                <w:sz w:val="24"/>
                <w:szCs w:val="24"/>
                <w:highlight w:val="none"/>
              </w:rPr>
            </w:pPr>
          </w:p>
        </w:tc>
        <w:tc>
          <w:tcPr>
            <w:tcW w:w="1708" w:type="dxa"/>
            <w:noWrap w:val="0"/>
            <w:vAlign w:val="center"/>
          </w:tcPr>
          <w:p w14:paraId="1D9F774A">
            <w:pPr>
              <w:spacing w:line="360" w:lineRule="auto"/>
              <w:jc w:val="center"/>
              <w:rPr>
                <w:rFonts w:hint="default" w:ascii="Times New Roman" w:hAnsi="Times New Roman" w:cs="Times New Roman"/>
                <w:color w:val="auto"/>
                <w:sz w:val="24"/>
                <w:szCs w:val="24"/>
                <w:highlight w:val="none"/>
              </w:rPr>
            </w:pPr>
          </w:p>
        </w:tc>
        <w:tc>
          <w:tcPr>
            <w:tcW w:w="2960" w:type="dxa"/>
            <w:noWrap w:val="0"/>
            <w:vAlign w:val="center"/>
          </w:tcPr>
          <w:p w14:paraId="1F05CFA3">
            <w:pPr>
              <w:spacing w:line="360" w:lineRule="auto"/>
              <w:jc w:val="center"/>
              <w:rPr>
                <w:rFonts w:hint="default" w:ascii="Times New Roman" w:hAnsi="Times New Roman" w:cs="Times New Roman"/>
                <w:color w:val="auto"/>
                <w:sz w:val="24"/>
                <w:szCs w:val="24"/>
                <w:highlight w:val="none"/>
              </w:rPr>
            </w:pPr>
          </w:p>
        </w:tc>
      </w:tr>
    </w:tbl>
    <w:p w14:paraId="6CF842A2">
      <w:pPr>
        <w:spacing w:line="360" w:lineRule="auto"/>
        <w:ind w:left="210" w:leftChars="100"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我公司承诺：如未提供或未如实填写直接上级控股/管理单位和直接下级控股/管理单位，接受本次报价作为否决报价处理。</w:t>
      </w:r>
    </w:p>
    <w:p w14:paraId="5E3D13DE">
      <w:pPr>
        <w:tabs>
          <w:tab w:val="left" w:pos="13320"/>
        </w:tabs>
        <w:snapToGrid w:val="0"/>
        <w:spacing w:line="360" w:lineRule="auto"/>
        <w:ind w:left="928" w:leftChars="442" w:right="-53" w:rightChars="-25" w:firstLine="2635" w:firstLineChars="1098"/>
        <w:jc w:val="center"/>
        <w:rPr>
          <w:rFonts w:hint="default" w:ascii="Times New Roman" w:hAnsi="Times New Roman" w:cs="Times New Roman"/>
          <w:color w:val="auto"/>
          <w:sz w:val="24"/>
          <w:szCs w:val="24"/>
          <w:highlight w:val="none"/>
          <w:u w:val="single"/>
        </w:rPr>
      </w:pPr>
      <w:r>
        <w:rPr>
          <w:rFonts w:hint="default" w:ascii="Times New Roman" w:hAnsi="Times New Roman" w:cs="Times New Roman"/>
          <w:color w:val="auto"/>
          <w:sz w:val="24"/>
          <w:szCs w:val="24"/>
          <w:highlight w:val="none"/>
        </w:rPr>
        <w:t>报价人（法人公章）：</w:t>
      </w:r>
    </w:p>
    <w:p w14:paraId="2F99C92A">
      <w:pPr>
        <w:tabs>
          <w:tab w:val="left" w:pos="13320"/>
        </w:tabs>
        <w:snapToGrid w:val="0"/>
        <w:spacing w:line="360" w:lineRule="auto"/>
        <w:ind w:left="928" w:leftChars="442" w:right="-53" w:rightChars="-25" w:firstLine="3352" w:firstLineChars="1397"/>
        <w:rPr>
          <w:rFonts w:hint="default" w:ascii="Times New Roman" w:hAnsi="Times New Roman" w:cs="Times New Roman"/>
          <w:color w:val="auto"/>
          <w:sz w:val="24"/>
          <w:szCs w:val="24"/>
          <w:highlight w:val="none"/>
          <w:u w:val="single"/>
        </w:rPr>
      </w:pPr>
      <w:r>
        <w:rPr>
          <w:rFonts w:hint="default" w:ascii="Times New Roman" w:hAnsi="Times New Roman" w:cs="Times New Roman"/>
          <w:color w:val="auto"/>
          <w:sz w:val="24"/>
          <w:szCs w:val="24"/>
          <w:highlight w:val="none"/>
        </w:rPr>
        <w:t>法定代表人或授权代表（签字或盖章）：</w:t>
      </w:r>
    </w:p>
    <w:p w14:paraId="765CAF96">
      <w:pPr>
        <w:spacing w:line="360" w:lineRule="auto"/>
        <w:ind w:left="210" w:leftChars="100" w:firstLine="4080" w:firstLineChars="17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日期：</w:t>
      </w:r>
      <w:r>
        <w:rPr>
          <w:rFonts w:hint="default" w:ascii="Times New Roman" w:hAnsi="Times New Roman" w:cs="Times New Roman"/>
          <w:color w:val="auto"/>
          <w:sz w:val="24"/>
          <w:szCs w:val="24"/>
          <w:highlight w:val="none"/>
          <w:u w:val="single"/>
        </w:rPr>
        <w:t xml:space="preserve">     </w:t>
      </w:r>
      <w:r>
        <w:rPr>
          <w:rFonts w:hint="default" w:ascii="Times New Roman" w:hAnsi="Times New Roman" w:cs="Times New Roman"/>
          <w:color w:val="auto"/>
          <w:sz w:val="24"/>
          <w:szCs w:val="24"/>
          <w:highlight w:val="none"/>
        </w:rPr>
        <w:t>年</w:t>
      </w:r>
      <w:r>
        <w:rPr>
          <w:rFonts w:hint="default" w:ascii="Times New Roman" w:hAnsi="Times New Roman" w:cs="Times New Roman"/>
          <w:color w:val="auto"/>
          <w:sz w:val="24"/>
          <w:szCs w:val="24"/>
          <w:highlight w:val="none"/>
          <w:u w:val="single"/>
        </w:rPr>
        <w:t xml:space="preserve">    </w:t>
      </w:r>
      <w:r>
        <w:rPr>
          <w:rFonts w:hint="default" w:ascii="Times New Roman" w:hAnsi="Times New Roman" w:cs="Times New Roman"/>
          <w:color w:val="auto"/>
          <w:sz w:val="24"/>
          <w:szCs w:val="24"/>
          <w:highlight w:val="none"/>
        </w:rPr>
        <w:t>月</w:t>
      </w:r>
      <w:r>
        <w:rPr>
          <w:rFonts w:hint="default" w:ascii="Times New Roman" w:hAnsi="Times New Roman" w:cs="Times New Roman"/>
          <w:color w:val="auto"/>
          <w:sz w:val="24"/>
          <w:szCs w:val="24"/>
          <w:highlight w:val="none"/>
          <w:u w:val="single"/>
        </w:rPr>
        <w:t xml:space="preserve">     </w:t>
      </w:r>
      <w:r>
        <w:rPr>
          <w:rFonts w:hint="default" w:ascii="Times New Roman" w:hAnsi="Times New Roman" w:cs="Times New Roman"/>
          <w:color w:val="auto"/>
          <w:sz w:val="24"/>
          <w:szCs w:val="24"/>
          <w:highlight w:val="none"/>
        </w:rPr>
        <w:t>日</w:t>
      </w:r>
    </w:p>
    <w:p w14:paraId="67487795">
      <w:pPr>
        <w:spacing w:line="360" w:lineRule="auto"/>
        <w:ind w:left="210" w:leftChars="100"/>
        <w:jc w:val="right"/>
        <w:rPr>
          <w:rFonts w:hint="default" w:ascii="Times New Roman" w:hAnsi="Times New Roman" w:cs="Times New Roman"/>
          <w:color w:val="auto"/>
          <w:sz w:val="24"/>
          <w:szCs w:val="24"/>
          <w:highlight w:val="none"/>
          <w:shd w:val="clear" w:color="auto" w:fill="FFFFFF"/>
        </w:rPr>
      </w:pPr>
    </w:p>
    <w:p w14:paraId="4BDEFE63">
      <w:pPr>
        <w:ind w:left="210" w:leftChars="100"/>
        <w:rPr>
          <w:rFonts w:hint="default" w:ascii="Times New Roman" w:hAnsi="Times New Roman" w:cs="Times New Roman"/>
          <w:color w:val="auto"/>
          <w:sz w:val="24"/>
          <w:szCs w:val="24"/>
          <w:highlight w:val="none"/>
        </w:rPr>
      </w:pPr>
    </w:p>
    <w:p w14:paraId="2A3C63FD">
      <w:pPr>
        <w:pStyle w:val="25"/>
        <w:spacing w:before="0" w:beforeAutospacing="0" w:after="0" w:afterAutospacing="0" w:line="360" w:lineRule="auto"/>
        <w:ind w:left="210" w:leftChars="100"/>
        <w:rPr>
          <w:rFonts w:hint="default" w:ascii="Times New Roman" w:hAnsi="Times New Roman" w:cs="Times New Roman"/>
          <w:color w:val="auto"/>
          <w:highlight w:val="none"/>
        </w:rPr>
      </w:pPr>
      <w:r>
        <w:rPr>
          <w:rFonts w:hint="default" w:ascii="Times New Roman" w:hAnsi="Times New Roman" w:cs="Times New Roman"/>
          <w:color w:val="auto"/>
          <w:highlight w:val="none"/>
        </w:rPr>
        <w:t>说明：若无关联企业，则在上述表格相关名称栏中填写“无”。</w:t>
      </w:r>
    </w:p>
    <w:p w14:paraId="33D8D963">
      <w:pPr>
        <w:spacing w:line="366" w:lineRule="exact"/>
        <w:jc w:val="left"/>
        <w:rPr>
          <w:rFonts w:hint="default" w:ascii="Times New Roman" w:hAnsi="Times New Roman" w:cs="Times New Roman"/>
          <w:color w:val="auto"/>
          <w:sz w:val="24"/>
          <w:highlight w:val="none"/>
        </w:rPr>
        <w:sectPr>
          <w:pgSz w:w="11906" w:h="16838"/>
          <w:pgMar w:top="1440" w:right="1134" w:bottom="1440" w:left="1134" w:header="851" w:footer="992" w:gutter="0"/>
          <w:pgNumType w:fmt="decimal"/>
          <w:cols w:space="425" w:num="1"/>
          <w:docGrid w:type="lines" w:linePitch="312" w:charSpace="0"/>
        </w:sectPr>
      </w:pPr>
    </w:p>
    <w:p w14:paraId="00F9EB81">
      <w:pPr>
        <w:spacing w:line="366" w:lineRule="exact"/>
        <w:jc w:val="left"/>
        <w:rPr>
          <w:rFonts w:hint="default" w:ascii="Times New Roman" w:hAnsi="Times New Roman" w:cs="Times New Roman"/>
          <w:b/>
          <w:color w:val="auto"/>
          <w:sz w:val="32"/>
          <w:highlight w:val="none"/>
        </w:rPr>
      </w:pPr>
      <w:r>
        <w:rPr>
          <w:rFonts w:hint="default" w:ascii="Times New Roman" w:hAnsi="Times New Roman" w:cs="Times New Roman"/>
          <w:color w:val="auto"/>
          <w:sz w:val="24"/>
          <w:highlight w:val="none"/>
        </w:rPr>
        <w:t>附件十：</w:t>
      </w:r>
    </w:p>
    <w:p w14:paraId="31DC9CD2">
      <w:pPr>
        <w:spacing w:line="360" w:lineRule="auto"/>
        <w:jc w:val="center"/>
        <w:rPr>
          <w:rFonts w:hint="default" w:ascii="Times New Roman" w:hAnsi="Times New Roman" w:cs="Times New Roman"/>
          <w:b/>
          <w:bCs/>
          <w:color w:val="auto"/>
          <w:sz w:val="28"/>
          <w:szCs w:val="28"/>
          <w:highlight w:val="none"/>
        </w:rPr>
      </w:pPr>
      <w:r>
        <w:rPr>
          <w:rFonts w:hint="default" w:ascii="Times New Roman" w:hAnsi="Times New Roman" w:cs="Times New Roman"/>
          <w:b/>
          <w:bCs/>
          <w:color w:val="auto"/>
          <w:sz w:val="28"/>
          <w:szCs w:val="28"/>
          <w:highlight w:val="none"/>
        </w:rPr>
        <w:t>联合体共同报价协议书</w:t>
      </w:r>
    </w:p>
    <w:p w14:paraId="2354CE1A">
      <w:pPr>
        <w:pStyle w:val="8"/>
        <w:rPr>
          <w:rFonts w:hint="default" w:ascii="Times New Roman" w:hAnsi="Times New Roman" w:cs="Times New Roman"/>
          <w:color w:val="auto"/>
          <w:highlight w:val="none"/>
        </w:rPr>
      </w:pPr>
    </w:p>
    <w:p w14:paraId="7F4BFF37">
      <w:pPr>
        <w:rPr>
          <w:rFonts w:hint="default" w:ascii="Times New Roman" w:hAnsi="Times New Roman" w:cs="Times New Roman"/>
          <w:color w:val="auto"/>
          <w:highlight w:val="none"/>
        </w:rPr>
      </w:pPr>
    </w:p>
    <w:p w14:paraId="705A5225">
      <w:pPr>
        <w:widowControl/>
        <w:topLinePunct/>
        <w:spacing w:line="360" w:lineRule="auto"/>
        <w:jc w:val="left"/>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u w:val="single"/>
          <w:shd w:val="clear" w:color="auto" w:fill="FFFFFF"/>
          <w:lang w:bidi="ar"/>
        </w:rPr>
        <w:t xml:space="preserve">                                       </w:t>
      </w:r>
      <w:r>
        <w:rPr>
          <w:rFonts w:hint="default" w:ascii="Times New Roman" w:hAnsi="Times New Roman" w:cs="Times New Roman"/>
          <w:color w:val="auto"/>
          <w:sz w:val="24"/>
          <w:szCs w:val="24"/>
          <w:highlight w:val="none"/>
          <w:shd w:val="clear" w:color="auto" w:fill="FFFFFF"/>
          <w:lang w:bidi="ar"/>
        </w:rPr>
        <w:t>（联合体各方单位名称）自愿组成联合体，共同参加</w:t>
      </w:r>
      <w:r>
        <w:rPr>
          <w:rFonts w:hint="default" w:ascii="Times New Roman" w:hAnsi="Times New Roman" w:cs="Times New Roman"/>
          <w:color w:val="auto"/>
          <w:sz w:val="24"/>
          <w:szCs w:val="24"/>
          <w:highlight w:val="none"/>
          <w:u w:val="single"/>
          <w:shd w:val="clear" w:color="auto" w:fill="FFFFFF"/>
          <w:lang w:bidi="ar"/>
        </w:rPr>
        <w:t xml:space="preserve">                       </w:t>
      </w:r>
      <w:r>
        <w:rPr>
          <w:rFonts w:hint="default" w:ascii="Times New Roman" w:hAnsi="Times New Roman" w:cs="Times New Roman"/>
          <w:color w:val="auto"/>
          <w:sz w:val="24"/>
          <w:szCs w:val="24"/>
          <w:highlight w:val="none"/>
          <w:shd w:val="clear" w:color="auto" w:fill="FFFFFF"/>
          <w:lang w:bidi="ar"/>
        </w:rPr>
        <w:t>（项目名称）</w:t>
      </w:r>
      <w:r>
        <w:rPr>
          <w:rFonts w:hint="default" w:ascii="Times New Roman" w:hAnsi="Times New Roman" w:cs="Times New Roman"/>
          <w:color w:val="auto"/>
          <w:sz w:val="24"/>
          <w:szCs w:val="24"/>
          <w:highlight w:val="none"/>
          <w:lang w:bidi="ar"/>
        </w:rPr>
        <w:t>询比活动</w:t>
      </w:r>
      <w:r>
        <w:rPr>
          <w:rFonts w:hint="default" w:ascii="Times New Roman" w:hAnsi="Times New Roman" w:cs="Times New Roman"/>
          <w:color w:val="auto"/>
          <w:sz w:val="24"/>
          <w:szCs w:val="24"/>
          <w:highlight w:val="none"/>
          <w:shd w:val="clear" w:color="auto" w:fill="FFFFFF"/>
          <w:lang w:bidi="ar"/>
        </w:rPr>
        <w:t>。我方授权委托本协议主办方代表联合体各成员参加</w:t>
      </w:r>
      <w:r>
        <w:rPr>
          <w:rFonts w:hint="default" w:ascii="Times New Roman" w:hAnsi="Times New Roman" w:cs="Times New Roman"/>
          <w:color w:val="auto"/>
          <w:sz w:val="24"/>
          <w:szCs w:val="24"/>
          <w:highlight w:val="none"/>
          <w:lang w:bidi="ar"/>
        </w:rPr>
        <w:t>报价</w:t>
      </w:r>
      <w:r>
        <w:rPr>
          <w:rFonts w:hint="default" w:ascii="Times New Roman" w:hAnsi="Times New Roman" w:cs="Times New Roman"/>
          <w:color w:val="auto"/>
          <w:sz w:val="24"/>
          <w:szCs w:val="24"/>
          <w:highlight w:val="none"/>
          <w:shd w:val="clear" w:color="auto" w:fill="FFFFFF"/>
          <w:lang w:bidi="ar"/>
        </w:rPr>
        <w:t>、签署</w:t>
      </w:r>
      <w:r>
        <w:rPr>
          <w:rFonts w:hint="default" w:ascii="Times New Roman" w:hAnsi="Times New Roman" w:cs="Times New Roman"/>
          <w:color w:val="auto"/>
          <w:sz w:val="24"/>
          <w:szCs w:val="24"/>
          <w:highlight w:val="none"/>
          <w:lang w:bidi="ar"/>
        </w:rPr>
        <w:t>报价</w:t>
      </w:r>
      <w:r>
        <w:rPr>
          <w:rFonts w:hint="default" w:ascii="Times New Roman" w:hAnsi="Times New Roman" w:cs="Times New Roman"/>
          <w:color w:val="auto"/>
          <w:sz w:val="24"/>
          <w:szCs w:val="24"/>
          <w:highlight w:val="none"/>
          <w:shd w:val="clear" w:color="auto" w:fill="FFFFFF"/>
          <w:lang w:bidi="ar"/>
        </w:rPr>
        <w:t>资料、提交</w:t>
      </w:r>
      <w:r>
        <w:rPr>
          <w:rFonts w:hint="default" w:ascii="Times New Roman" w:hAnsi="Times New Roman" w:cs="Times New Roman"/>
          <w:color w:val="auto"/>
          <w:sz w:val="24"/>
          <w:szCs w:val="24"/>
          <w:highlight w:val="none"/>
          <w:lang w:bidi="ar"/>
        </w:rPr>
        <w:t>报价</w:t>
      </w:r>
      <w:r>
        <w:rPr>
          <w:rFonts w:hint="default" w:ascii="Times New Roman" w:hAnsi="Times New Roman" w:cs="Times New Roman"/>
          <w:color w:val="auto"/>
          <w:sz w:val="24"/>
          <w:szCs w:val="24"/>
          <w:highlight w:val="none"/>
          <w:shd w:val="clear" w:color="auto" w:fill="FFFFFF"/>
          <w:lang w:bidi="ar"/>
        </w:rPr>
        <w:t>文件。现就联合体</w:t>
      </w:r>
      <w:r>
        <w:rPr>
          <w:rFonts w:hint="default" w:ascii="Times New Roman" w:hAnsi="Times New Roman" w:cs="Times New Roman"/>
          <w:color w:val="auto"/>
          <w:sz w:val="24"/>
          <w:szCs w:val="24"/>
          <w:highlight w:val="none"/>
          <w:lang w:bidi="ar"/>
        </w:rPr>
        <w:t>询比活动</w:t>
      </w:r>
      <w:r>
        <w:rPr>
          <w:rFonts w:hint="default" w:ascii="Times New Roman" w:hAnsi="Times New Roman" w:cs="Times New Roman"/>
          <w:color w:val="auto"/>
          <w:sz w:val="24"/>
          <w:szCs w:val="24"/>
          <w:highlight w:val="none"/>
          <w:shd w:val="clear" w:color="auto" w:fill="FFFFFF"/>
          <w:lang w:bidi="ar"/>
        </w:rPr>
        <w:t>事宜订立如下协议。</w:t>
      </w:r>
    </w:p>
    <w:p w14:paraId="0DFC81E5">
      <w:pPr>
        <w:widowControl/>
        <w:topLinePunct/>
        <w:spacing w:line="360" w:lineRule="auto"/>
        <w:ind w:firstLine="480" w:firstLineChars="200"/>
        <w:jc w:val="left"/>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shd w:val="clear" w:color="auto" w:fill="FFFFFF"/>
          <w:lang w:bidi="ar"/>
        </w:rPr>
        <w:t>1、</w:t>
      </w:r>
      <w:r>
        <w:rPr>
          <w:rFonts w:hint="default" w:ascii="Times New Roman" w:hAnsi="Times New Roman" w:cs="Times New Roman"/>
          <w:color w:val="auto"/>
          <w:sz w:val="24"/>
          <w:szCs w:val="24"/>
          <w:highlight w:val="none"/>
          <w:u w:val="single"/>
          <w:shd w:val="clear" w:color="auto" w:fill="FFFFFF"/>
          <w:lang w:bidi="ar"/>
        </w:rPr>
        <w:t xml:space="preserve">                         </w:t>
      </w:r>
      <w:r>
        <w:rPr>
          <w:rFonts w:hint="default" w:ascii="Times New Roman" w:hAnsi="Times New Roman" w:cs="Times New Roman"/>
          <w:color w:val="auto"/>
          <w:sz w:val="24"/>
          <w:szCs w:val="24"/>
          <w:highlight w:val="none"/>
          <w:shd w:val="clear" w:color="auto" w:fill="FFFFFF"/>
          <w:lang w:bidi="ar"/>
        </w:rPr>
        <w:t>（主办单位名称）为本项目联合体的主办方。</w:t>
      </w:r>
    </w:p>
    <w:p w14:paraId="546643AE">
      <w:pPr>
        <w:widowControl/>
        <w:topLinePunct/>
        <w:spacing w:line="360" w:lineRule="auto"/>
        <w:ind w:firstLine="480" w:firstLineChars="200"/>
        <w:jc w:val="left"/>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shd w:val="clear" w:color="auto" w:fill="FFFFFF"/>
          <w:lang w:bidi="ar"/>
        </w:rPr>
        <w:t>2、联合体主办方合法代表联合体各成员负责本</w:t>
      </w:r>
      <w:r>
        <w:rPr>
          <w:rFonts w:hint="default" w:ascii="Times New Roman" w:hAnsi="Times New Roman" w:cs="Times New Roman"/>
          <w:color w:val="auto"/>
          <w:sz w:val="24"/>
          <w:szCs w:val="24"/>
          <w:highlight w:val="none"/>
          <w:lang w:bidi="ar"/>
        </w:rPr>
        <w:t>询比</w:t>
      </w:r>
      <w:r>
        <w:rPr>
          <w:rFonts w:hint="default" w:ascii="Times New Roman" w:hAnsi="Times New Roman" w:cs="Times New Roman"/>
          <w:color w:val="auto"/>
          <w:sz w:val="24"/>
          <w:szCs w:val="24"/>
          <w:highlight w:val="none"/>
          <w:shd w:val="clear" w:color="auto" w:fill="FFFFFF"/>
          <w:lang w:bidi="ar"/>
        </w:rPr>
        <w:t>项目</w:t>
      </w:r>
      <w:r>
        <w:rPr>
          <w:rFonts w:hint="default" w:ascii="Times New Roman" w:hAnsi="Times New Roman" w:cs="Times New Roman"/>
          <w:color w:val="auto"/>
          <w:sz w:val="24"/>
          <w:szCs w:val="24"/>
          <w:highlight w:val="none"/>
          <w:lang w:bidi="ar"/>
        </w:rPr>
        <w:t>报价</w:t>
      </w:r>
      <w:r>
        <w:rPr>
          <w:rFonts w:hint="default" w:ascii="Times New Roman" w:hAnsi="Times New Roman" w:cs="Times New Roman"/>
          <w:color w:val="auto"/>
          <w:sz w:val="24"/>
          <w:szCs w:val="24"/>
          <w:highlight w:val="none"/>
          <w:shd w:val="clear" w:color="auto" w:fill="FFFFFF"/>
          <w:lang w:bidi="ar"/>
        </w:rPr>
        <w:t>文件编制和合同谈判活动，并代表联合体提交和接收相关的资料、信息及指示，并处理与之有关的一切事务，负责合同实施阶段的主办、组织和协调工作。</w:t>
      </w:r>
    </w:p>
    <w:p w14:paraId="471AC3EC">
      <w:pPr>
        <w:widowControl/>
        <w:topLinePunct/>
        <w:spacing w:line="360" w:lineRule="auto"/>
        <w:ind w:firstLine="480" w:firstLineChars="200"/>
        <w:jc w:val="left"/>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shd w:val="clear" w:color="auto" w:fill="FFFFFF"/>
          <w:lang w:bidi="ar"/>
        </w:rPr>
        <w:t>3、若中</w:t>
      </w:r>
      <w:r>
        <w:rPr>
          <w:rFonts w:hint="default" w:ascii="Times New Roman" w:hAnsi="Times New Roman" w:cs="Times New Roman"/>
          <w:color w:val="auto"/>
          <w:sz w:val="24"/>
          <w:szCs w:val="24"/>
          <w:highlight w:val="none"/>
          <w:lang w:bidi="ar"/>
        </w:rPr>
        <w:t>选</w:t>
      </w:r>
      <w:r>
        <w:rPr>
          <w:rFonts w:hint="default" w:ascii="Times New Roman" w:hAnsi="Times New Roman" w:cs="Times New Roman"/>
          <w:color w:val="auto"/>
          <w:sz w:val="24"/>
          <w:szCs w:val="24"/>
          <w:highlight w:val="none"/>
          <w:shd w:val="clear" w:color="auto" w:fill="FFFFFF"/>
          <w:lang w:bidi="ar"/>
        </w:rPr>
        <w:t>，联合体各成员共同与</w:t>
      </w:r>
      <w:r>
        <w:rPr>
          <w:rFonts w:hint="default" w:ascii="Times New Roman" w:hAnsi="Times New Roman" w:cs="Times New Roman"/>
          <w:color w:val="auto"/>
          <w:sz w:val="24"/>
          <w:szCs w:val="24"/>
          <w:highlight w:val="none"/>
          <w:lang w:bidi="ar"/>
        </w:rPr>
        <w:t>询比</w:t>
      </w:r>
      <w:r>
        <w:rPr>
          <w:rFonts w:hint="default" w:ascii="Times New Roman" w:hAnsi="Times New Roman" w:cs="Times New Roman"/>
          <w:color w:val="auto"/>
          <w:sz w:val="24"/>
          <w:szCs w:val="24"/>
          <w:highlight w:val="none"/>
          <w:shd w:val="clear" w:color="auto" w:fill="FFFFFF"/>
          <w:lang w:bidi="ar"/>
        </w:rPr>
        <w:t>人签订合同，为履行合同向</w:t>
      </w:r>
      <w:r>
        <w:rPr>
          <w:rFonts w:hint="default" w:ascii="Times New Roman" w:hAnsi="Times New Roman" w:cs="Times New Roman"/>
          <w:color w:val="auto"/>
          <w:sz w:val="24"/>
          <w:szCs w:val="24"/>
          <w:highlight w:val="none"/>
          <w:lang w:bidi="ar"/>
        </w:rPr>
        <w:t>询比</w:t>
      </w:r>
      <w:r>
        <w:rPr>
          <w:rFonts w:hint="default" w:ascii="Times New Roman" w:hAnsi="Times New Roman" w:cs="Times New Roman"/>
          <w:color w:val="auto"/>
          <w:sz w:val="24"/>
          <w:szCs w:val="24"/>
          <w:highlight w:val="none"/>
          <w:shd w:val="clear" w:color="auto" w:fill="FFFFFF"/>
          <w:lang w:bidi="ar"/>
        </w:rPr>
        <w:t>人承担连带责任。我方授权委托本协议主办人（主办方），代表所有联合体成员参加</w:t>
      </w:r>
      <w:r>
        <w:rPr>
          <w:rFonts w:hint="default" w:ascii="Times New Roman" w:hAnsi="Times New Roman" w:cs="Times New Roman"/>
          <w:color w:val="auto"/>
          <w:sz w:val="24"/>
          <w:szCs w:val="24"/>
          <w:highlight w:val="none"/>
          <w:lang w:bidi="ar"/>
        </w:rPr>
        <w:t>报价</w:t>
      </w:r>
      <w:r>
        <w:rPr>
          <w:rFonts w:hint="default" w:ascii="Times New Roman" w:hAnsi="Times New Roman" w:cs="Times New Roman"/>
          <w:color w:val="auto"/>
          <w:sz w:val="24"/>
          <w:szCs w:val="24"/>
          <w:highlight w:val="none"/>
          <w:shd w:val="clear" w:color="auto" w:fill="FFFFFF"/>
          <w:lang w:bidi="ar"/>
        </w:rPr>
        <w:t>、提交</w:t>
      </w:r>
      <w:r>
        <w:rPr>
          <w:rFonts w:hint="default" w:ascii="Times New Roman" w:hAnsi="Times New Roman" w:cs="Times New Roman"/>
          <w:color w:val="auto"/>
          <w:sz w:val="24"/>
          <w:szCs w:val="24"/>
          <w:highlight w:val="none"/>
          <w:lang w:bidi="ar"/>
        </w:rPr>
        <w:t>报价</w:t>
      </w:r>
      <w:r>
        <w:rPr>
          <w:rFonts w:hint="default" w:ascii="Times New Roman" w:hAnsi="Times New Roman" w:cs="Times New Roman"/>
          <w:color w:val="auto"/>
          <w:sz w:val="24"/>
          <w:szCs w:val="24"/>
          <w:highlight w:val="none"/>
          <w:shd w:val="clear" w:color="auto" w:fill="FFFFFF"/>
          <w:lang w:bidi="ar"/>
        </w:rPr>
        <w:t>文件，代表所有联合体成员承担和接受指令，并负责整个合同的全面履行、协调工作和接受本</w:t>
      </w:r>
      <w:r>
        <w:rPr>
          <w:rFonts w:hint="default" w:ascii="Times New Roman" w:hAnsi="Times New Roman" w:cs="Times New Roman"/>
          <w:color w:val="auto"/>
          <w:sz w:val="24"/>
          <w:szCs w:val="24"/>
          <w:highlight w:val="none"/>
          <w:lang w:bidi="ar"/>
        </w:rPr>
        <w:t>询比</w:t>
      </w:r>
      <w:r>
        <w:rPr>
          <w:rFonts w:hint="default" w:ascii="Times New Roman" w:hAnsi="Times New Roman" w:cs="Times New Roman"/>
          <w:color w:val="auto"/>
          <w:sz w:val="24"/>
          <w:szCs w:val="24"/>
          <w:highlight w:val="none"/>
          <w:shd w:val="clear" w:color="auto" w:fill="FFFFFF"/>
          <w:lang w:bidi="ar"/>
        </w:rPr>
        <w:t>工程项目合同款的支付。</w:t>
      </w:r>
    </w:p>
    <w:p w14:paraId="19C4A674">
      <w:pPr>
        <w:widowControl/>
        <w:topLinePunct/>
        <w:spacing w:line="360" w:lineRule="auto"/>
        <w:ind w:firstLine="480" w:firstLineChars="200"/>
        <w:jc w:val="left"/>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shd w:val="clear" w:color="auto" w:fill="FFFFFF"/>
          <w:lang w:bidi="ar"/>
        </w:rPr>
        <w:t>4、联合体各成员单位内部的职责分工如下：</w:t>
      </w:r>
    </w:p>
    <w:p w14:paraId="43EE33A5">
      <w:pPr>
        <w:widowControl/>
        <w:topLinePunct/>
        <w:spacing w:line="360" w:lineRule="auto"/>
        <w:ind w:firstLine="480" w:firstLineChars="200"/>
        <w:jc w:val="left"/>
        <w:rPr>
          <w:rFonts w:hint="default" w:ascii="Times New Roman" w:hAnsi="Times New Roman" w:cs="Times New Roman"/>
          <w:color w:val="auto"/>
          <w:sz w:val="24"/>
          <w:szCs w:val="24"/>
          <w:highlight w:val="none"/>
          <w:shd w:val="clear" w:color="auto" w:fill="FFFFFF"/>
          <w:lang w:bidi="ar"/>
        </w:rPr>
      </w:pPr>
      <w:r>
        <w:rPr>
          <w:rFonts w:hint="default" w:ascii="Times New Roman" w:hAnsi="Times New Roman" w:cs="Times New Roman"/>
          <w:color w:val="auto"/>
          <w:sz w:val="24"/>
          <w:szCs w:val="24"/>
          <w:highlight w:val="none"/>
          <w:shd w:val="clear" w:color="auto" w:fill="FFFFFF"/>
          <w:lang w:bidi="ar"/>
        </w:rPr>
        <w:t>①</w:t>
      </w:r>
      <w:r>
        <w:rPr>
          <w:rFonts w:hint="default" w:ascii="Times New Roman" w:hAnsi="Times New Roman" w:cs="Times New Roman"/>
          <w:color w:val="auto"/>
          <w:sz w:val="24"/>
          <w:szCs w:val="24"/>
          <w:highlight w:val="none"/>
          <w:u w:val="single"/>
          <w:shd w:val="clear" w:color="auto" w:fill="FFFFFF"/>
          <w:lang w:bidi="ar"/>
        </w:rPr>
        <w:t xml:space="preserve">              </w:t>
      </w:r>
      <w:r>
        <w:rPr>
          <w:rFonts w:hint="default" w:ascii="Times New Roman" w:hAnsi="Times New Roman" w:cs="Times New Roman"/>
          <w:color w:val="auto"/>
          <w:sz w:val="24"/>
          <w:szCs w:val="24"/>
          <w:highlight w:val="none"/>
          <w:shd w:val="clear" w:color="auto" w:fill="FFFFFF"/>
          <w:lang w:bidi="ar"/>
        </w:rPr>
        <w:t>（主办单位名称）：主要负责本项目</w:t>
      </w:r>
      <w:r>
        <w:rPr>
          <w:rFonts w:hint="default" w:ascii="Times New Roman" w:hAnsi="Times New Roman" w:cs="Times New Roman"/>
          <w:color w:val="auto"/>
          <w:sz w:val="24"/>
          <w:szCs w:val="24"/>
          <w:highlight w:val="none"/>
          <w:u w:val="single"/>
          <w:shd w:val="clear" w:color="auto" w:fill="FFFFFF"/>
          <w:lang w:bidi="ar"/>
        </w:rPr>
        <w:t xml:space="preserve">         </w:t>
      </w:r>
      <w:r>
        <w:rPr>
          <w:rFonts w:hint="default" w:ascii="Times New Roman" w:hAnsi="Times New Roman" w:cs="Times New Roman"/>
          <w:color w:val="auto"/>
          <w:sz w:val="24"/>
          <w:szCs w:val="24"/>
          <w:highlight w:val="none"/>
          <w:shd w:val="clear" w:color="auto" w:fill="FFFFFF"/>
          <w:lang w:bidi="ar"/>
        </w:rPr>
        <w:t>等工作，具体按合同要求。</w:t>
      </w:r>
    </w:p>
    <w:p w14:paraId="490B7DD2">
      <w:pPr>
        <w:widowControl/>
        <w:topLinePunct/>
        <w:spacing w:line="360" w:lineRule="auto"/>
        <w:ind w:firstLine="480" w:firstLineChars="200"/>
        <w:jc w:val="left"/>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lang w:bidi="ar"/>
        </w:rPr>
        <w:t>②</w:t>
      </w:r>
      <w:r>
        <w:rPr>
          <w:rFonts w:hint="default" w:ascii="Times New Roman" w:hAnsi="Times New Roman" w:cs="Times New Roman"/>
          <w:color w:val="auto"/>
          <w:sz w:val="24"/>
          <w:szCs w:val="24"/>
          <w:highlight w:val="none"/>
          <w:u w:val="single"/>
          <w:lang w:bidi="ar"/>
        </w:rPr>
        <w:t xml:space="preserve">              </w:t>
      </w:r>
      <w:r>
        <w:rPr>
          <w:rFonts w:hint="default" w:ascii="Times New Roman" w:hAnsi="Times New Roman" w:cs="Times New Roman"/>
          <w:color w:val="auto"/>
          <w:sz w:val="24"/>
          <w:szCs w:val="24"/>
          <w:highlight w:val="none"/>
          <w:shd w:val="clear" w:color="auto" w:fill="FFFFFF"/>
          <w:lang w:bidi="ar"/>
        </w:rPr>
        <w:t>（成员单位名称）：主要负责本项目</w:t>
      </w:r>
      <w:r>
        <w:rPr>
          <w:rFonts w:hint="default" w:ascii="Times New Roman" w:hAnsi="Times New Roman" w:cs="Times New Roman"/>
          <w:color w:val="auto"/>
          <w:sz w:val="24"/>
          <w:szCs w:val="24"/>
          <w:highlight w:val="none"/>
          <w:u w:val="single"/>
          <w:lang w:bidi="ar"/>
        </w:rPr>
        <w:t xml:space="preserve">         </w:t>
      </w:r>
      <w:r>
        <w:rPr>
          <w:rFonts w:hint="default" w:ascii="Times New Roman" w:hAnsi="Times New Roman" w:cs="Times New Roman"/>
          <w:color w:val="auto"/>
          <w:sz w:val="24"/>
          <w:szCs w:val="24"/>
          <w:highlight w:val="none"/>
          <w:shd w:val="clear" w:color="auto" w:fill="FFFFFF"/>
          <w:lang w:bidi="ar"/>
        </w:rPr>
        <w:t>等工作，具体按合同要求。</w:t>
      </w:r>
    </w:p>
    <w:p w14:paraId="4EA9CF84">
      <w:pPr>
        <w:widowControl/>
        <w:topLinePunct/>
        <w:spacing w:line="360" w:lineRule="auto"/>
        <w:ind w:firstLine="480" w:firstLineChars="200"/>
        <w:jc w:val="left"/>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shd w:val="clear" w:color="auto" w:fill="FFFFFF"/>
          <w:lang w:bidi="ar"/>
        </w:rPr>
        <w:t>5、本协议书自签署之日起生效，合同履行完毕后自动失效。</w:t>
      </w:r>
    </w:p>
    <w:p w14:paraId="384AB0FC">
      <w:pPr>
        <w:spacing w:line="360" w:lineRule="auto"/>
        <w:rPr>
          <w:rFonts w:hint="default" w:ascii="Times New Roman" w:hAnsi="Times New Roman" w:cs="Times New Roman"/>
          <w:color w:val="auto"/>
          <w:sz w:val="24"/>
          <w:szCs w:val="24"/>
          <w:highlight w:val="none"/>
        </w:rPr>
      </w:pPr>
    </w:p>
    <w:p w14:paraId="29EDFCDE">
      <w:pPr>
        <w:spacing w:line="360" w:lineRule="auto"/>
        <w:rPr>
          <w:rFonts w:hint="default" w:ascii="Times New Roman" w:hAnsi="Times New Roman" w:cs="Times New Roman"/>
          <w:color w:val="auto"/>
          <w:sz w:val="24"/>
          <w:szCs w:val="24"/>
          <w:highlight w:val="none"/>
        </w:rPr>
      </w:pPr>
    </w:p>
    <w:p w14:paraId="60B3110A">
      <w:pPr>
        <w:spacing w:line="360" w:lineRule="auto"/>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联合体主办方名称：</w:t>
      </w:r>
      <w:r>
        <w:rPr>
          <w:rFonts w:hint="default" w:ascii="Times New Roman" w:hAnsi="Times New Roman" w:cs="Times New Roman"/>
          <w:color w:val="auto"/>
          <w:sz w:val="24"/>
          <w:szCs w:val="24"/>
          <w:highlight w:val="none"/>
          <w:u w:val="single"/>
        </w:rPr>
        <w:t xml:space="preserve">                                 </w:t>
      </w:r>
      <w:r>
        <w:rPr>
          <w:rFonts w:hint="default" w:ascii="Times New Roman" w:hAnsi="Times New Roman" w:cs="Times New Roman"/>
          <w:color w:val="auto"/>
          <w:sz w:val="24"/>
          <w:szCs w:val="24"/>
          <w:highlight w:val="none"/>
          <w:lang w:bidi="ar"/>
        </w:rPr>
        <w:t>（盖</w:t>
      </w:r>
      <w:r>
        <w:rPr>
          <w:rFonts w:hint="default" w:ascii="Times New Roman" w:hAnsi="Times New Roman" w:cs="Times New Roman"/>
          <w:color w:val="auto"/>
          <w:sz w:val="24"/>
          <w:szCs w:val="24"/>
          <w:highlight w:val="none"/>
        </w:rPr>
        <w:t>单位公章</w:t>
      </w:r>
      <w:r>
        <w:rPr>
          <w:rFonts w:hint="default" w:ascii="Times New Roman" w:hAnsi="Times New Roman" w:cs="Times New Roman"/>
          <w:color w:val="auto"/>
          <w:sz w:val="24"/>
          <w:szCs w:val="24"/>
          <w:highlight w:val="none"/>
          <w:lang w:bidi="ar"/>
        </w:rPr>
        <w:t>）</w:t>
      </w:r>
    </w:p>
    <w:p w14:paraId="61048DC5">
      <w:pPr>
        <w:spacing w:line="360" w:lineRule="auto"/>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法定代表人：</w:t>
      </w:r>
      <w:r>
        <w:rPr>
          <w:rFonts w:hint="default" w:ascii="Times New Roman" w:hAnsi="Times New Roman" w:cs="Times New Roman"/>
          <w:color w:val="auto"/>
          <w:sz w:val="24"/>
          <w:szCs w:val="24"/>
          <w:highlight w:val="none"/>
          <w:u w:val="single"/>
        </w:rPr>
        <w:t xml:space="preserve">              </w:t>
      </w:r>
      <w:r>
        <w:rPr>
          <w:rFonts w:hint="default" w:ascii="Times New Roman" w:hAnsi="Times New Roman" w:cs="Times New Roman"/>
          <w:color w:val="auto"/>
          <w:sz w:val="24"/>
          <w:szCs w:val="24"/>
          <w:highlight w:val="none"/>
        </w:rPr>
        <w:t>（签名或盖章）</w:t>
      </w:r>
    </w:p>
    <w:p w14:paraId="16CF010D">
      <w:pPr>
        <w:spacing w:line="360" w:lineRule="auto"/>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委托代理人：</w:t>
      </w:r>
      <w:r>
        <w:rPr>
          <w:rFonts w:hint="default" w:ascii="Times New Roman" w:hAnsi="Times New Roman" w:cs="Times New Roman"/>
          <w:color w:val="auto"/>
          <w:sz w:val="24"/>
          <w:szCs w:val="24"/>
          <w:highlight w:val="none"/>
          <w:u w:val="single"/>
        </w:rPr>
        <w:t xml:space="preserve">              </w:t>
      </w:r>
      <w:r>
        <w:rPr>
          <w:rFonts w:hint="default" w:ascii="Times New Roman" w:hAnsi="Times New Roman" w:cs="Times New Roman"/>
          <w:color w:val="auto"/>
          <w:sz w:val="24"/>
          <w:szCs w:val="24"/>
          <w:highlight w:val="none"/>
        </w:rPr>
        <w:t>（签名或盖章）</w:t>
      </w:r>
    </w:p>
    <w:p w14:paraId="4F448682">
      <w:pPr>
        <w:wordWrap w:val="0"/>
        <w:spacing w:line="360" w:lineRule="auto"/>
        <w:rPr>
          <w:rFonts w:hint="default" w:ascii="Times New Roman" w:hAnsi="Times New Roman" w:cs="Times New Roman"/>
          <w:color w:val="auto"/>
          <w:sz w:val="24"/>
          <w:szCs w:val="24"/>
          <w:highlight w:val="none"/>
          <w:u w:val="single"/>
        </w:rPr>
      </w:pPr>
      <w:r>
        <w:rPr>
          <w:rFonts w:hint="default" w:ascii="Times New Roman" w:hAnsi="Times New Roman" w:cs="Times New Roman"/>
          <w:color w:val="auto"/>
          <w:sz w:val="24"/>
          <w:szCs w:val="24"/>
          <w:highlight w:val="none"/>
        </w:rPr>
        <w:t>地址：</w:t>
      </w:r>
      <w:r>
        <w:rPr>
          <w:rFonts w:hint="default" w:ascii="Times New Roman" w:hAnsi="Times New Roman" w:cs="Times New Roman"/>
          <w:color w:val="auto"/>
          <w:sz w:val="24"/>
          <w:szCs w:val="24"/>
          <w:highlight w:val="none"/>
          <w:u w:val="single"/>
        </w:rPr>
        <w:t xml:space="preserve">                                       </w:t>
      </w:r>
    </w:p>
    <w:p w14:paraId="1762436E">
      <w:pPr>
        <w:spacing w:line="360" w:lineRule="auto"/>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 xml:space="preserve"> 邮政编码：</w:t>
      </w:r>
      <w:r>
        <w:rPr>
          <w:rFonts w:hint="default" w:ascii="Times New Roman" w:hAnsi="Times New Roman" w:cs="Times New Roman"/>
          <w:color w:val="auto"/>
          <w:sz w:val="24"/>
          <w:szCs w:val="24"/>
          <w:highlight w:val="none"/>
          <w:u w:val="single"/>
        </w:rPr>
        <w:t xml:space="preserve">          </w:t>
      </w:r>
      <w:r>
        <w:rPr>
          <w:rFonts w:hint="default" w:ascii="Times New Roman" w:hAnsi="Times New Roman" w:cs="Times New Roman"/>
          <w:color w:val="auto"/>
          <w:sz w:val="24"/>
          <w:szCs w:val="24"/>
          <w:highlight w:val="none"/>
        </w:rPr>
        <w:t>电话/传真：</w:t>
      </w:r>
      <w:r>
        <w:rPr>
          <w:rFonts w:hint="default" w:ascii="Times New Roman" w:hAnsi="Times New Roman" w:cs="Times New Roman"/>
          <w:color w:val="auto"/>
          <w:sz w:val="24"/>
          <w:szCs w:val="24"/>
          <w:highlight w:val="none"/>
          <w:u w:val="single"/>
        </w:rPr>
        <w:t xml:space="preserve">          </w:t>
      </w:r>
    </w:p>
    <w:p w14:paraId="25C14F67">
      <w:pPr>
        <w:spacing w:line="360" w:lineRule="auto"/>
        <w:ind w:firstLine="480" w:firstLineChars="200"/>
        <w:jc w:val="right"/>
        <w:rPr>
          <w:rFonts w:hint="default" w:ascii="Times New Roman" w:hAnsi="Times New Roman" w:cs="Times New Roman"/>
          <w:color w:val="auto"/>
          <w:sz w:val="24"/>
          <w:szCs w:val="24"/>
          <w:highlight w:val="none"/>
        </w:rPr>
      </w:pPr>
    </w:p>
    <w:p w14:paraId="060D0F60">
      <w:pPr>
        <w:spacing w:line="360" w:lineRule="auto"/>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联合体成员</w:t>
      </w:r>
      <w:r>
        <w:rPr>
          <w:rFonts w:hint="default" w:ascii="Times New Roman" w:hAnsi="Times New Roman" w:cs="Times New Roman"/>
          <w:color w:val="auto"/>
          <w:sz w:val="24"/>
          <w:szCs w:val="24"/>
          <w:highlight w:val="none"/>
          <w:lang w:bidi="ar"/>
        </w:rPr>
        <w:t>名称</w:t>
      </w:r>
      <w:r>
        <w:rPr>
          <w:rFonts w:hint="default" w:ascii="Times New Roman" w:hAnsi="Times New Roman" w:cs="Times New Roman"/>
          <w:color w:val="auto"/>
          <w:sz w:val="24"/>
          <w:szCs w:val="24"/>
          <w:highlight w:val="none"/>
        </w:rPr>
        <w:t>：</w:t>
      </w:r>
      <w:r>
        <w:rPr>
          <w:rFonts w:hint="default" w:ascii="Times New Roman" w:hAnsi="Times New Roman" w:cs="Times New Roman"/>
          <w:color w:val="auto"/>
          <w:sz w:val="24"/>
          <w:szCs w:val="24"/>
          <w:highlight w:val="none"/>
          <w:u w:val="single"/>
        </w:rPr>
        <w:t xml:space="preserve">                                  </w:t>
      </w:r>
      <w:r>
        <w:rPr>
          <w:rFonts w:hint="default" w:ascii="Times New Roman" w:hAnsi="Times New Roman" w:cs="Times New Roman"/>
          <w:color w:val="auto"/>
          <w:sz w:val="24"/>
          <w:szCs w:val="24"/>
          <w:highlight w:val="none"/>
          <w:lang w:bidi="ar"/>
        </w:rPr>
        <w:t>（盖单位公章）</w:t>
      </w:r>
    </w:p>
    <w:p w14:paraId="54BCE256">
      <w:pPr>
        <w:spacing w:line="360" w:lineRule="auto"/>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法定代表人：</w:t>
      </w:r>
      <w:r>
        <w:rPr>
          <w:rFonts w:hint="default" w:ascii="Times New Roman" w:hAnsi="Times New Roman" w:cs="Times New Roman"/>
          <w:color w:val="auto"/>
          <w:sz w:val="24"/>
          <w:szCs w:val="24"/>
          <w:highlight w:val="none"/>
          <w:u w:val="single"/>
        </w:rPr>
        <w:t xml:space="preserve">              </w:t>
      </w:r>
      <w:r>
        <w:rPr>
          <w:rFonts w:hint="default" w:ascii="Times New Roman" w:hAnsi="Times New Roman" w:cs="Times New Roman"/>
          <w:color w:val="auto"/>
          <w:sz w:val="24"/>
          <w:szCs w:val="24"/>
          <w:highlight w:val="none"/>
        </w:rPr>
        <w:t>（签名或盖章）</w:t>
      </w:r>
    </w:p>
    <w:p w14:paraId="5E1DB2DC">
      <w:pPr>
        <w:spacing w:line="360" w:lineRule="auto"/>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委托代理人：</w:t>
      </w:r>
      <w:r>
        <w:rPr>
          <w:rFonts w:hint="default" w:ascii="Times New Roman" w:hAnsi="Times New Roman" w:cs="Times New Roman"/>
          <w:color w:val="auto"/>
          <w:sz w:val="24"/>
          <w:szCs w:val="24"/>
          <w:highlight w:val="none"/>
          <w:u w:val="single"/>
        </w:rPr>
        <w:t xml:space="preserve">              </w:t>
      </w:r>
      <w:r>
        <w:rPr>
          <w:rFonts w:hint="default" w:ascii="Times New Roman" w:hAnsi="Times New Roman" w:cs="Times New Roman"/>
          <w:color w:val="auto"/>
          <w:sz w:val="24"/>
          <w:szCs w:val="24"/>
          <w:highlight w:val="none"/>
        </w:rPr>
        <w:t>（签名或盖章）</w:t>
      </w:r>
    </w:p>
    <w:p w14:paraId="2A5A0265">
      <w:pPr>
        <w:wordWrap w:val="0"/>
        <w:spacing w:line="360" w:lineRule="auto"/>
        <w:rPr>
          <w:rFonts w:hint="default" w:ascii="Times New Roman" w:hAnsi="Times New Roman" w:cs="Times New Roman"/>
          <w:color w:val="auto"/>
          <w:sz w:val="24"/>
          <w:szCs w:val="24"/>
          <w:highlight w:val="none"/>
          <w:u w:val="single"/>
        </w:rPr>
      </w:pPr>
      <w:r>
        <w:rPr>
          <w:rFonts w:hint="default" w:ascii="Times New Roman" w:hAnsi="Times New Roman" w:cs="Times New Roman"/>
          <w:color w:val="auto"/>
          <w:sz w:val="24"/>
          <w:szCs w:val="24"/>
          <w:highlight w:val="none"/>
        </w:rPr>
        <w:t>地址：</w:t>
      </w:r>
      <w:r>
        <w:rPr>
          <w:rFonts w:hint="default" w:ascii="Times New Roman" w:hAnsi="Times New Roman" w:cs="Times New Roman"/>
          <w:color w:val="auto"/>
          <w:sz w:val="24"/>
          <w:szCs w:val="24"/>
          <w:highlight w:val="none"/>
          <w:u w:val="single"/>
        </w:rPr>
        <w:t xml:space="preserve">                                       </w:t>
      </w:r>
    </w:p>
    <w:p w14:paraId="77E055F4">
      <w:pPr>
        <w:spacing w:line="360" w:lineRule="auto"/>
        <w:rPr>
          <w:rFonts w:hint="default" w:ascii="Times New Roman" w:hAnsi="Times New Roman" w:cs="Times New Roman"/>
          <w:color w:val="auto"/>
          <w:sz w:val="24"/>
          <w:szCs w:val="24"/>
          <w:highlight w:val="none"/>
          <w:u w:val="single"/>
        </w:rPr>
      </w:pPr>
      <w:r>
        <w:rPr>
          <w:rFonts w:hint="default" w:ascii="Times New Roman" w:hAnsi="Times New Roman" w:cs="Times New Roman"/>
          <w:color w:val="auto"/>
          <w:sz w:val="24"/>
          <w:szCs w:val="24"/>
          <w:highlight w:val="none"/>
        </w:rPr>
        <w:t>邮政编码：</w:t>
      </w:r>
      <w:r>
        <w:rPr>
          <w:rFonts w:hint="default" w:ascii="Times New Roman" w:hAnsi="Times New Roman" w:cs="Times New Roman"/>
          <w:color w:val="auto"/>
          <w:sz w:val="24"/>
          <w:szCs w:val="24"/>
          <w:highlight w:val="none"/>
          <w:u w:val="single"/>
        </w:rPr>
        <w:t xml:space="preserve">          </w:t>
      </w:r>
      <w:r>
        <w:rPr>
          <w:rFonts w:hint="default" w:ascii="Times New Roman" w:hAnsi="Times New Roman" w:cs="Times New Roman"/>
          <w:color w:val="auto"/>
          <w:sz w:val="24"/>
          <w:szCs w:val="24"/>
          <w:highlight w:val="none"/>
        </w:rPr>
        <w:t>电话/传真：</w:t>
      </w:r>
      <w:r>
        <w:rPr>
          <w:rFonts w:hint="default" w:ascii="Times New Roman" w:hAnsi="Times New Roman" w:cs="Times New Roman"/>
          <w:color w:val="auto"/>
          <w:sz w:val="24"/>
          <w:szCs w:val="24"/>
          <w:highlight w:val="none"/>
          <w:u w:val="single"/>
        </w:rPr>
        <w:t xml:space="preserve">          </w:t>
      </w:r>
    </w:p>
    <w:p w14:paraId="1AAA26D2">
      <w:pPr>
        <w:pStyle w:val="2"/>
        <w:rPr>
          <w:rFonts w:hint="default" w:ascii="Times New Roman" w:hAnsi="Times New Roman" w:cs="Times New Roman"/>
          <w:highlight w:val="none"/>
        </w:rPr>
        <w:sectPr>
          <w:pgSz w:w="11906" w:h="16838"/>
          <w:pgMar w:top="1417" w:right="1134" w:bottom="1134" w:left="1417" w:header="851" w:footer="992" w:gutter="0"/>
          <w:pgNumType w:fmt="decimal" w:start="20"/>
          <w:cols w:space="720" w:num="1"/>
          <w:titlePg/>
          <w:rtlGutter w:val="0"/>
          <w:docGrid w:type="lines" w:linePitch="317" w:charSpace="0"/>
        </w:sectPr>
      </w:pPr>
      <w:r>
        <w:rPr>
          <w:rFonts w:hint="default" w:ascii="Times New Roman" w:hAnsi="Times New Roman" w:cs="Times New Roman"/>
          <w:color w:val="auto"/>
          <w:highlight w:val="none"/>
        </w:rPr>
        <w:t xml:space="preserve">签订日期：    年    月    </w:t>
      </w:r>
    </w:p>
    <w:p w14:paraId="26519C5C">
      <w:pPr>
        <w:pStyle w:val="2"/>
        <w:rPr>
          <w:rFonts w:hint="default" w:ascii="Times New Roman" w:hAnsi="Times New Roman" w:cs="Times New Roman"/>
          <w:highlight w:val="none"/>
        </w:rPr>
      </w:pPr>
    </w:p>
    <w:p w14:paraId="6276B4E8">
      <w:pPr>
        <w:keepNext w:val="0"/>
        <w:keepLines w:val="0"/>
        <w:pageBreakBefore w:val="0"/>
        <w:widowControl w:val="0"/>
        <w:kinsoku/>
        <w:wordWrap/>
        <w:overflowPunct/>
        <w:topLinePunct w:val="0"/>
        <w:autoSpaceDE/>
        <w:autoSpaceDN/>
        <w:bidi w:val="0"/>
        <w:adjustRightInd/>
        <w:snapToGrid/>
        <w:spacing w:before="313" w:beforeLines="100" w:after="313" w:afterLines="100" w:line="360" w:lineRule="auto"/>
        <w:ind w:firstLine="562" w:firstLineChars="200"/>
        <w:jc w:val="center"/>
        <w:textAlignment w:val="top"/>
        <w:outlineLvl w:val="0"/>
        <w:rPr>
          <w:rFonts w:hint="default" w:ascii="Times New Roman" w:hAnsi="Times New Roman" w:eastAsia="宋体" w:cs="Times New Roman"/>
          <w:b/>
          <w:bCs/>
          <w:caps w:val="0"/>
          <w:color w:val="000000" w:themeColor="text1"/>
          <w:sz w:val="28"/>
          <w:szCs w:val="28"/>
          <w:highlight w:val="none"/>
          <w:shd w:val="clear" w:color="auto" w:fill="FFFFFF"/>
          <w:lang w:val="en-US" w:eastAsia="zh-CN"/>
          <w14:textFill>
            <w14:solidFill>
              <w14:schemeClr w14:val="tx1"/>
            </w14:solidFill>
          </w14:textFill>
        </w:rPr>
      </w:pPr>
      <w:bookmarkStart w:id="26" w:name="_Toc31608"/>
      <w:bookmarkStart w:id="27" w:name="_Toc32614"/>
      <w:r>
        <w:rPr>
          <w:rFonts w:hint="default" w:ascii="Times New Roman" w:hAnsi="Times New Roman" w:eastAsia="宋体" w:cs="Times New Roman"/>
          <w:b/>
          <w:bCs/>
          <w:caps w:val="0"/>
          <w:color w:val="000000" w:themeColor="text1"/>
          <w:sz w:val="28"/>
          <w:szCs w:val="28"/>
          <w:highlight w:val="none"/>
          <w:shd w:val="clear" w:color="auto" w:fill="FFFFFF"/>
          <w:lang w:val="en-US" w:eastAsia="zh-CN"/>
          <w14:textFill>
            <w14:solidFill>
              <w14:schemeClr w14:val="tx1"/>
            </w14:solidFill>
          </w14:textFill>
        </w:rPr>
        <w:t>第四章 合同模板</w:t>
      </w:r>
      <w:bookmarkEnd w:id="26"/>
      <w:bookmarkEnd w:id="27"/>
    </w:p>
    <w:p w14:paraId="3E0BF730">
      <w:pPr>
        <w:suppressAutoHyphens/>
        <w:spacing w:line="520" w:lineRule="atLeast"/>
        <w:ind w:left="0" w:leftChars="0" w:firstLine="0" w:firstLineChars="0"/>
        <w:jc w:val="left"/>
        <w:rPr>
          <w:rFonts w:hint="default" w:ascii="Times New Roman" w:hAnsi="Times New Roman" w:eastAsia="宋体" w:cs="Times New Roman"/>
          <w:b/>
          <w:bCs/>
          <w:caps w:val="0"/>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bCs/>
          <w:caps w:val="0"/>
          <w:color w:val="000000" w:themeColor="text1"/>
          <w:sz w:val="24"/>
          <w:szCs w:val="24"/>
          <w:highlight w:val="none"/>
          <w:lang w:val="en-US" w:eastAsia="zh-CN"/>
          <w14:textFill>
            <w14:solidFill>
              <w14:schemeClr w14:val="tx1"/>
            </w14:solidFill>
          </w14:textFill>
        </w:rPr>
        <w:t xml:space="preserve">                                     </w:t>
      </w:r>
    </w:p>
    <w:p w14:paraId="1535F1E8">
      <w:pPr>
        <w:rPr>
          <w:rFonts w:hint="default" w:ascii="Times New Roman" w:hAnsi="Times New Roman" w:eastAsia="宋体" w:cs="Times New Roman"/>
          <w:caps w:val="0"/>
          <w:color w:val="000000" w:themeColor="text1"/>
          <w:highlight w:val="none"/>
          <w14:textFill>
            <w14:solidFill>
              <w14:schemeClr w14:val="tx1"/>
            </w14:solidFill>
          </w14:textFill>
        </w:rPr>
      </w:pPr>
      <w:bookmarkStart w:id="28" w:name="_Toc139084486"/>
      <w:bookmarkEnd w:id="28"/>
      <w:bookmarkStart w:id="29" w:name="_Toc275780200"/>
      <w:bookmarkStart w:id="30" w:name="_Toc266373526"/>
    </w:p>
    <w:bookmarkEnd w:id="29"/>
    <w:bookmarkEnd w:id="30"/>
    <w:p w14:paraId="6F4B74AE">
      <w:pPr>
        <w:pStyle w:val="52"/>
        <w:spacing w:line="640" w:lineRule="exact"/>
        <w:ind w:firstLine="5460" w:firstLineChars="1950"/>
        <w:rPr>
          <w:rFonts w:hint="default" w:ascii="Times New Roman" w:hAnsi="Times New Roman" w:eastAsia="方正楷体_GBK" w:cs="Times New Roman"/>
          <w:color w:val="auto"/>
          <w:highlight w:val="none"/>
          <w:u w:val="single"/>
        </w:rPr>
      </w:pPr>
      <w:r>
        <w:rPr>
          <w:rFonts w:hint="default" w:ascii="Times New Roman" w:hAnsi="Times New Roman" w:eastAsia="方正楷体_GBK" w:cs="Times New Roman"/>
          <w:color w:val="auto"/>
          <w:sz w:val="28"/>
          <w:szCs w:val="28"/>
          <w:highlight w:val="none"/>
        </w:rPr>
        <w:t>合同编号：</w:t>
      </w:r>
      <w:r>
        <w:rPr>
          <w:rFonts w:hint="default" w:ascii="Times New Roman" w:hAnsi="Times New Roman" w:eastAsia="方正楷体_GBK" w:cs="Times New Roman"/>
          <w:color w:val="auto"/>
          <w:highlight w:val="none"/>
          <w:u w:val="single"/>
          <w:lang w:val="en-US" w:eastAsia="zh-CN"/>
        </w:rPr>
        <w:t xml:space="preserve">               </w:t>
      </w:r>
    </w:p>
    <w:p w14:paraId="770D6317">
      <w:pPr>
        <w:rPr>
          <w:rFonts w:hint="default" w:ascii="Times New Roman" w:hAnsi="Times New Roman" w:eastAsia="方正楷体_GBK" w:cs="Times New Roman"/>
          <w:color w:val="auto"/>
          <w:highlight w:val="none"/>
          <w:lang w:val="en-US" w:eastAsia="zh-CN"/>
        </w:rPr>
      </w:pPr>
      <w:r>
        <w:rPr>
          <w:rFonts w:hint="default" w:ascii="Times New Roman" w:hAnsi="Times New Roman" w:eastAsia="方正楷体_GBK" w:cs="Times New Roman"/>
          <w:color w:val="auto"/>
          <w:highlight w:val="none"/>
          <w:u w:val="none"/>
          <w:lang w:val="en-US" w:eastAsia="zh-CN"/>
        </w:rPr>
        <w:t xml:space="preserve">                                                            </w:t>
      </w:r>
    </w:p>
    <w:p w14:paraId="717556E4">
      <w:pPr>
        <w:pStyle w:val="52"/>
        <w:spacing w:line="640" w:lineRule="exact"/>
        <w:ind w:firstLine="4680" w:firstLineChars="1950"/>
        <w:rPr>
          <w:rFonts w:hint="default" w:ascii="Times New Roman" w:hAnsi="Times New Roman" w:eastAsia="方正楷体_GBK" w:cs="Times New Roman"/>
          <w:color w:val="auto"/>
          <w:highlight w:val="none"/>
        </w:rPr>
      </w:pPr>
    </w:p>
    <w:p w14:paraId="3C2A7F2D">
      <w:pPr>
        <w:tabs>
          <w:tab w:val="left" w:pos="3900"/>
          <w:tab w:val="right" w:pos="10245"/>
        </w:tabs>
        <w:wordWrap w:val="0"/>
        <w:spacing w:line="360" w:lineRule="auto"/>
        <w:jc w:val="left"/>
        <w:rPr>
          <w:rFonts w:hint="default" w:ascii="Times New Roman" w:hAnsi="Times New Roman" w:cs="Times New Roman"/>
          <w:color w:val="auto"/>
          <w:sz w:val="32"/>
          <w:szCs w:val="32"/>
          <w:highlight w:val="none"/>
          <w:u w:val="single"/>
        </w:rPr>
      </w:pPr>
    </w:p>
    <w:p w14:paraId="6E08AC0C">
      <w:pPr>
        <w:spacing w:line="360" w:lineRule="auto"/>
        <w:jc w:val="right"/>
        <w:rPr>
          <w:rFonts w:hint="default" w:ascii="Times New Roman" w:hAnsi="Times New Roman" w:cs="Times New Roman"/>
          <w:color w:val="auto"/>
          <w:sz w:val="32"/>
          <w:szCs w:val="32"/>
          <w:highlight w:val="none"/>
          <w:u w:val="single"/>
        </w:rPr>
      </w:pPr>
    </w:p>
    <w:p w14:paraId="5420A1AC">
      <w:pPr>
        <w:spacing w:line="360" w:lineRule="auto"/>
        <w:jc w:val="center"/>
        <w:rPr>
          <w:rFonts w:hint="default" w:ascii="Times New Roman" w:hAnsi="Times New Roman" w:eastAsia="方正小标宋_GBK" w:cs="Times New Roman"/>
          <w:b/>
          <w:bCs/>
          <w:color w:val="auto"/>
          <w:spacing w:val="-40"/>
          <w:kern w:val="0"/>
          <w:sz w:val="40"/>
          <w:szCs w:val="40"/>
          <w:highlight w:val="none"/>
        </w:rPr>
      </w:pPr>
      <w:r>
        <w:rPr>
          <w:rFonts w:hint="default" w:ascii="Times New Roman" w:hAnsi="Times New Roman" w:eastAsia="方正小标宋_GBK" w:cs="Times New Roman"/>
          <w:b/>
          <w:bCs/>
          <w:color w:val="auto"/>
          <w:spacing w:val="-40"/>
          <w:kern w:val="0"/>
          <w:sz w:val="40"/>
          <w:szCs w:val="40"/>
          <w:highlight w:val="none"/>
        </w:rPr>
        <w:t xml:space="preserve">广 州 市 建 设 工 程 </w:t>
      </w:r>
      <w:r>
        <w:rPr>
          <w:rFonts w:hint="default" w:ascii="Times New Roman" w:hAnsi="Times New Roman" w:eastAsia="方正小标宋_GBK" w:cs="Times New Roman"/>
          <w:b/>
          <w:bCs/>
          <w:color w:val="auto"/>
          <w:spacing w:val="-40"/>
          <w:kern w:val="0"/>
          <w:sz w:val="40"/>
          <w:szCs w:val="40"/>
          <w:highlight w:val="none"/>
          <w:lang w:eastAsia="zh-CN"/>
        </w:rPr>
        <w:t>设</w:t>
      </w:r>
      <w:r>
        <w:rPr>
          <w:rFonts w:hint="default" w:ascii="Times New Roman" w:hAnsi="Times New Roman" w:eastAsia="方正小标宋_GBK" w:cs="Times New Roman"/>
          <w:b/>
          <w:bCs/>
          <w:color w:val="auto"/>
          <w:spacing w:val="-40"/>
          <w:kern w:val="0"/>
          <w:sz w:val="40"/>
          <w:szCs w:val="40"/>
          <w:highlight w:val="none"/>
          <w:lang w:val="en-US" w:eastAsia="zh-CN"/>
        </w:rPr>
        <w:t xml:space="preserve"> </w:t>
      </w:r>
      <w:r>
        <w:rPr>
          <w:rFonts w:hint="default" w:ascii="Times New Roman" w:hAnsi="Times New Roman" w:eastAsia="方正小标宋_GBK" w:cs="Times New Roman"/>
          <w:b/>
          <w:bCs/>
          <w:color w:val="auto"/>
          <w:spacing w:val="-40"/>
          <w:kern w:val="0"/>
          <w:sz w:val="40"/>
          <w:szCs w:val="40"/>
          <w:highlight w:val="none"/>
          <w:lang w:eastAsia="zh-CN"/>
        </w:rPr>
        <w:t>计</w:t>
      </w:r>
      <w:r>
        <w:rPr>
          <w:rFonts w:hint="default" w:ascii="Times New Roman" w:hAnsi="Times New Roman" w:eastAsia="方正小标宋_GBK" w:cs="Times New Roman"/>
          <w:b/>
          <w:bCs/>
          <w:color w:val="auto"/>
          <w:spacing w:val="-40"/>
          <w:kern w:val="0"/>
          <w:sz w:val="40"/>
          <w:szCs w:val="40"/>
          <w:highlight w:val="none"/>
          <w:lang w:val="en-US" w:eastAsia="zh-CN"/>
        </w:rPr>
        <w:t xml:space="preserve"> - </w:t>
      </w:r>
      <w:r>
        <w:rPr>
          <w:rFonts w:hint="default" w:ascii="Times New Roman" w:hAnsi="Times New Roman" w:eastAsia="方正小标宋_GBK" w:cs="Times New Roman"/>
          <w:b/>
          <w:bCs/>
          <w:color w:val="auto"/>
          <w:spacing w:val="-40"/>
          <w:kern w:val="0"/>
          <w:sz w:val="40"/>
          <w:szCs w:val="40"/>
          <w:highlight w:val="none"/>
        </w:rPr>
        <w:t>施 工 合 同</w:t>
      </w:r>
    </w:p>
    <w:p w14:paraId="7C966C2A">
      <w:pPr>
        <w:tabs>
          <w:tab w:val="left" w:pos="1380"/>
        </w:tabs>
        <w:spacing w:line="360" w:lineRule="auto"/>
        <w:rPr>
          <w:rFonts w:hint="default" w:ascii="Times New Roman" w:hAnsi="Times New Roman" w:cs="Times New Roman"/>
          <w:color w:val="auto"/>
          <w:sz w:val="32"/>
          <w:szCs w:val="32"/>
          <w:highlight w:val="none"/>
        </w:rPr>
      </w:pPr>
    </w:p>
    <w:p w14:paraId="4268517D">
      <w:pPr>
        <w:tabs>
          <w:tab w:val="left" w:pos="1380"/>
        </w:tabs>
        <w:spacing w:line="360" w:lineRule="auto"/>
        <w:rPr>
          <w:rFonts w:hint="default" w:ascii="Times New Roman" w:hAnsi="Times New Roman" w:cs="Times New Roman"/>
          <w:color w:val="auto"/>
          <w:sz w:val="32"/>
          <w:szCs w:val="32"/>
          <w:highlight w:val="none"/>
        </w:rPr>
      </w:pPr>
      <w:r>
        <w:rPr>
          <w:rFonts w:hint="default" w:ascii="Times New Roman" w:hAnsi="Times New Roman" w:cs="Times New Roman"/>
          <w:color w:val="auto"/>
          <w:sz w:val="32"/>
          <w:szCs w:val="32"/>
          <w:highlight w:val="none"/>
        </w:rPr>
        <w:tab/>
      </w:r>
    </w:p>
    <w:p w14:paraId="6A1CA51D">
      <w:pPr>
        <w:spacing w:line="640" w:lineRule="exact"/>
        <w:ind w:firstLine="1699" w:firstLineChars="531"/>
        <w:rPr>
          <w:rFonts w:hint="default" w:ascii="Times New Roman" w:hAnsi="Times New Roman" w:eastAsia="仿宋" w:cs="Times New Roman"/>
          <w:color w:val="auto"/>
          <w:sz w:val="32"/>
          <w:szCs w:val="32"/>
          <w:highlight w:val="none"/>
          <w:u w:val="single"/>
        </w:rPr>
      </w:pPr>
    </w:p>
    <w:p w14:paraId="69D06097">
      <w:pPr>
        <w:spacing w:line="640" w:lineRule="exact"/>
        <w:ind w:left="3076" w:leftChars="798" w:hanging="1400" w:hangingChars="500"/>
        <w:rPr>
          <w:rFonts w:hint="default" w:ascii="Times New Roman" w:hAnsi="Times New Roman" w:eastAsia="方正楷体_GBK" w:cs="Times New Roman"/>
          <w:color w:val="auto"/>
          <w:sz w:val="28"/>
          <w:szCs w:val="28"/>
          <w:highlight w:val="none"/>
          <w:u w:val="single"/>
        </w:rPr>
      </w:pPr>
      <w:r>
        <w:rPr>
          <w:rFonts w:hint="default" w:ascii="Times New Roman" w:hAnsi="Times New Roman" w:eastAsia="方正楷体_GBK" w:cs="Times New Roman"/>
          <w:color w:val="auto"/>
          <w:sz w:val="28"/>
          <w:szCs w:val="28"/>
          <w:highlight w:val="none"/>
        </w:rPr>
        <w:t>工程名称：</w:t>
      </w:r>
      <w:r>
        <w:rPr>
          <w:rFonts w:hint="default" w:ascii="Times New Roman" w:hAnsi="Times New Roman" w:eastAsia="方正楷体_GBK" w:cs="Times New Roman"/>
          <w:color w:val="auto"/>
          <w:sz w:val="28"/>
          <w:szCs w:val="28"/>
          <w:highlight w:val="none"/>
          <w:u w:val="single"/>
          <w:lang w:val="en-US" w:eastAsia="zh-CN"/>
        </w:rPr>
        <w:t xml:space="preserve">                                   </w:t>
      </w:r>
    </w:p>
    <w:p w14:paraId="6DD8A2BB">
      <w:pPr>
        <w:spacing w:before="240" w:beforeLines="100" w:after="120" w:afterLines="50"/>
        <w:ind w:firstLine="1680" w:firstLineChars="600"/>
        <w:rPr>
          <w:rFonts w:hint="default" w:ascii="Times New Roman" w:hAnsi="Times New Roman" w:eastAsia="方正楷体_GBK" w:cs="Times New Roman"/>
          <w:color w:val="auto"/>
          <w:sz w:val="28"/>
          <w:szCs w:val="28"/>
          <w:highlight w:val="none"/>
          <w:u w:val="single"/>
        </w:rPr>
      </w:pPr>
      <w:r>
        <w:rPr>
          <w:rFonts w:hint="default" w:ascii="Times New Roman" w:hAnsi="Times New Roman" w:eastAsia="方正楷体_GBK" w:cs="Times New Roman"/>
          <w:color w:val="auto"/>
          <w:sz w:val="28"/>
          <w:szCs w:val="28"/>
          <w:highlight w:val="none"/>
        </w:rPr>
        <w:t>工程地点：</w:t>
      </w:r>
      <w:r>
        <w:rPr>
          <w:rFonts w:hint="default" w:ascii="Times New Roman" w:hAnsi="Times New Roman" w:eastAsia="方正楷体_GBK" w:cs="Times New Roman"/>
          <w:color w:val="auto"/>
          <w:sz w:val="28"/>
          <w:szCs w:val="28"/>
          <w:highlight w:val="none"/>
          <w:u w:val="single"/>
        </w:rPr>
        <w:t xml:space="preserve">广州市荔湾区                       </w:t>
      </w:r>
    </w:p>
    <w:p w14:paraId="7194CB48">
      <w:pPr>
        <w:pStyle w:val="6"/>
        <w:spacing w:before="240" w:beforeLines="100" w:after="120" w:afterLines="50"/>
        <w:ind w:left="1399" w:leftChars="666" w:firstLine="280" w:firstLineChars="100"/>
        <w:rPr>
          <w:rFonts w:hint="default" w:ascii="Times New Roman" w:hAnsi="Times New Roman" w:eastAsia="方正楷体_GBK" w:cs="Times New Roman"/>
          <w:color w:val="auto"/>
          <w:sz w:val="28"/>
          <w:szCs w:val="28"/>
          <w:highlight w:val="none"/>
          <w:u w:val="single"/>
        </w:rPr>
      </w:pPr>
      <w:r>
        <w:rPr>
          <w:rFonts w:hint="default" w:ascii="Times New Roman" w:hAnsi="Times New Roman" w:eastAsia="方正楷体_GBK" w:cs="Times New Roman"/>
          <w:color w:val="auto"/>
          <w:sz w:val="28"/>
          <w:szCs w:val="28"/>
          <w:highlight w:val="none"/>
        </w:rPr>
        <w:t>发 包 人：</w:t>
      </w:r>
      <w:r>
        <w:rPr>
          <w:rFonts w:hint="default" w:ascii="Times New Roman" w:hAnsi="Times New Roman" w:eastAsia="方正楷体_GBK" w:cs="Times New Roman"/>
          <w:color w:val="auto"/>
          <w:sz w:val="28"/>
          <w:szCs w:val="28"/>
          <w:highlight w:val="none"/>
          <w:u w:val="single"/>
          <w:lang w:val="en-US" w:eastAsia="zh-CN"/>
        </w:rPr>
        <w:t xml:space="preserve">                                   </w:t>
      </w:r>
    </w:p>
    <w:p w14:paraId="76F1E8D5">
      <w:pPr>
        <w:spacing w:before="240" w:beforeLines="100" w:after="120" w:afterLines="50"/>
        <w:ind w:firstLine="1680" w:firstLineChars="600"/>
        <w:rPr>
          <w:rFonts w:hint="default" w:ascii="Times New Roman" w:hAnsi="Times New Roman" w:eastAsia="方正楷体_GBK" w:cs="Times New Roman"/>
          <w:color w:val="auto"/>
          <w:sz w:val="28"/>
          <w:szCs w:val="28"/>
          <w:highlight w:val="none"/>
          <w:u w:val="single"/>
        </w:rPr>
      </w:pPr>
      <w:r>
        <w:rPr>
          <w:rFonts w:hint="default" w:ascii="Times New Roman" w:hAnsi="Times New Roman" w:eastAsia="方正楷体_GBK" w:cs="Times New Roman"/>
          <w:color w:val="auto"/>
          <w:sz w:val="28"/>
          <w:szCs w:val="28"/>
          <w:highlight w:val="none"/>
        </w:rPr>
        <w:t>承 包 人：</w:t>
      </w:r>
      <w:r>
        <w:rPr>
          <w:rFonts w:hint="default" w:ascii="Times New Roman" w:hAnsi="Times New Roman" w:eastAsia="方正楷体_GBK" w:cs="Times New Roman"/>
          <w:color w:val="auto"/>
          <w:sz w:val="28"/>
          <w:szCs w:val="28"/>
          <w:highlight w:val="none"/>
          <w:u w:val="single"/>
          <w:lang w:val="en-US" w:eastAsia="zh-CN"/>
        </w:rPr>
        <w:t xml:space="preserve">                                   </w:t>
      </w:r>
    </w:p>
    <w:p w14:paraId="38BE2B1E">
      <w:pPr>
        <w:spacing w:line="360" w:lineRule="auto"/>
        <w:ind w:left="708" w:leftChars="337" w:firstLine="840" w:firstLineChars="300"/>
        <w:rPr>
          <w:rFonts w:hint="default" w:ascii="Times New Roman" w:hAnsi="Times New Roman" w:eastAsia="方正楷体_GBK" w:cs="Times New Roman"/>
          <w:color w:val="auto"/>
          <w:sz w:val="28"/>
          <w:szCs w:val="28"/>
          <w:highlight w:val="none"/>
          <w:u w:val="single"/>
        </w:rPr>
      </w:pPr>
    </w:p>
    <w:p w14:paraId="186A672E">
      <w:pPr>
        <w:spacing w:line="360" w:lineRule="auto"/>
        <w:ind w:firstLine="840" w:firstLineChars="300"/>
        <w:rPr>
          <w:rFonts w:hint="default" w:ascii="Times New Roman" w:hAnsi="Times New Roman" w:eastAsia="方正楷体_GBK" w:cs="Times New Roman"/>
          <w:color w:val="auto"/>
          <w:sz w:val="28"/>
          <w:szCs w:val="28"/>
          <w:highlight w:val="none"/>
          <w:u w:val="single"/>
        </w:rPr>
      </w:pPr>
    </w:p>
    <w:p w14:paraId="32CCC522">
      <w:pPr>
        <w:spacing w:line="360" w:lineRule="auto"/>
        <w:ind w:firstLine="840" w:firstLineChars="300"/>
        <w:rPr>
          <w:rFonts w:hint="default" w:ascii="Times New Roman" w:hAnsi="Times New Roman" w:eastAsia="方正楷体_GBK" w:cs="Times New Roman"/>
          <w:color w:val="auto"/>
          <w:sz w:val="28"/>
          <w:szCs w:val="28"/>
          <w:highlight w:val="none"/>
          <w:u w:val="single"/>
        </w:rPr>
      </w:pPr>
    </w:p>
    <w:p w14:paraId="05577DD6">
      <w:pPr>
        <w:spacing w:line="360" w:lineRule="auto"/>
        <w:ind w:firstLine="840" w:firstLineChars="300"/>
        <w:rPr>
          <w:rFonts w:hint="default" w:ascii="Times New Roman" w:hAnsi="Times New Roman" w:eastAsia="方正楷体_GBK" w:cs="Times New Roman"/>
          <w:color w:val="auto"/>
          <w:sz w:val="28"/>
          <w:szCs w:val="28"/>
          <w:highlight w:val="none"/>
          <w:u w:val="single"/>
        </w:rPr>
      </w:pPr>
    </w:p>
    <w:p w14:paraId="20788655">
      <w:pPr>
        <w:spacing w:line="240" w:lineRule="atLeast"/>
        <w:jc w:val="center"/>
        <w:rPr>
          <w:rFonts w:hint="default" w:ascii="Times New Roman" w:hAnsi="Times New Roman" w:eastAsia="方正楷体_GBK" w:cs="Times New Roman"/>
          <w:b/>
          <w:bCs/>
          <w:color w:val="auto"/>
          <w:spacing w:val="20"/>
          <w:sz w:val="28"/>
          <w:szCs w:val="28"/>
          <w:highlight w:val="none"/>
        </w:rPr>
      </w:pPr>
    </w:p>
    <w:p w14:paraId="4D7C3FA8">
      <w:pPr>
        <w:spacing w:line="240" w:lineRule="atLeast"/>
        <w:jc w:val="center"/>
        <w:rPr>
          <w:rFonts w:hint="default" w:ascii="Times New Roman" w:hAnsi="Times New Roman" w:eastAsia="方正楷体_GBK" w:cs="Times New Roman"/>
          <w:b/>
          <w:bCs/>
          <w:color w:val="auto"/>
          <w:spacing w:val="20"/>
          <w:sz w:val="28"/>
          <w:szCs w:val="28"/>
          <w:highlight w:val="none"/>
          <w:lang w:val="en-US" w:eastAsia="zh-CN"/>
        </w:rPr>
      </w:pPr>
      <w:r>
        <w:rPr>
          <w:rFonts w:hint="default" w:ascii="Times New Roman" w:hAnsi="Times New Roman" w:eastAsia="方正楷体_GBK" w:cs="Times New Roman"/>
          <w:b/>
          <w:bCs/>
          <w:color w:val="auto"/>
          <w:spacing w:val="20"/>
          <w:sz w:val="28"/>
          <w:szCs w:val="28"/>
          <w:highlight w:val="none"/>
          <w:lang w:eastAsia="zh-CN"/>
        </w:rPr>
        <w:t>签订时间：</w:t>
      </w:r>
      <w:r>
        <w:rPr>
          <w:rFonts w:hint="default" w:ascii="Times New Roman" w:hAnsi="Times New Roman" w:eastAsia="方正楷体_GBK" w:cs="Times New Roman"/>
          <w:b/>
          <w:bCs/>
          <w:color w:val="auto"/>
          <w:spacing w:val="20"/>
          <w:sz w:val="28"/>
          <w:szCs w:val="28"/>
          <w:highlight w:val="none"/>
          <w:lang w:val="en-US" w:eastAsia="zh-CN"/>
        </w:rPr>
        <w:t xml:space="preserve">  年  月  日</w:t>
      </w:r>
    </w:p>
    <w:p w14:paraId="42F2ECD3">
      <w:pPr>
        <w:rPr>
          <w:rFonts w:hint="default" w:ascii="Times New Roman" w:hAnsi="Times New Roman" w:cs="Times New Roman"/>
          <w:color w:val="auto"/>
          <w:highlight w:val="none"/>
        </w:rPr>
      </w:pPr>
      <w:bookmarkStart w:id="31" w:name="_Toc469383967"/>
      <w:bookmarkStart w:id="32" w:name="_Toc8039"/>
    </w:p>
    <w:p w14:paraId="089B2D6D">
      <w:pPr>
        <w:pStyle w:val="2"/>
        <w:rPr>
          <w:rFonts w:hint="default" w:ascii="Times New Roman" w:hAnsi="Times New Roman" w:cs="Times New Roman"/>
          <w:highlight w:val="none"/>
        </w:rPr>
      </w:pPr>
    </w:p>
    <w:p w14:paraId="2AA433F2">
      <w:pP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br w:type="page"/>
      </w:r>
    </w:p>
    <w:p w14:paraId="61C1C47E">
      <w:pPr>
        <w:spacing w:line="420" w:lineRule="exact"/>
        <w:jc w:val="center"/>
        <w:outlineLvl w:val="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目录</w:t>
      </w:r>
    </w:p>
    <w:p w14:paraId="07FA1C7C">
      <w:pPr>
        <w:pStyle w:val="2"/>
        <w:rPr>
          <w:rFonts w:hint="default" w:ascii="Times New Roman" w:hAnsi="Times New Roman" w:cs="Times New Roman"/>
          <w:highlight w:val="none"/>
        </w:rPr>
      </w:pPr>
    </w:p>
    <w:p w14:paraId="6E92BF11">
      <w:pPr>
        <w:pStyle w:val="21"/>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TOC \o "1-2" \h \u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_Toc2071359567 </w:instrText>
      </w:r>
      <w:r>
        <w:rPr>
          <w:rFonts w:hint="default" w:ascii="Times New Roman" w:hAnsi="Times New Roman" w:cs="Times New Roman"/>
          <w:color w:val="auto"/>
          <w:highlight w:val="none"/>
        </w:rPr>
        <w:fldChar w:fldCharType="separate"/>
      </w:r>
      <w:r>
        <w:rPr>
          <w:rFonts w:hint="default" w:ascii="Times New Roman" w:hAnsi="Times New Roman" w:eastAsia="方正黑体_GBK" w:cs="Times New Roman"/>
          <w:bCs/>
          <w:color w:val="auto"/>
          <w:szCs w:val="28"/>
          <w:highlight w:val="none"/>
        </w:rPr>
        <w:t>第一部分  协  议  书</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_Toc2071359567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26</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483A1ECA">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_Toc2125045988 </w:instrText>
      </w:r>
      <w:r>
        <w:rPr>
          <w:rFonts w:hint="default" w:ascii="Times New Roman" w:hAnsi="Times New Roman" w:cs="Times New Roman"/>
          <w:color w:val="auto"/>
          <w:highlight w:val="none"/>
        </w:rPr>
        <w:fldChar w:fldCharType="separate"/>
      </w:r>
      <w:r>
        <w:rPr>
          <w:rFonts w:hint="default" w:ascii="Times New Roman" w:hAnsi="Times New Roman" w:eastAsia="方正小标宋_GBK" w:cs="Times New Roman"/>
          <w:bCs/>
          <w:color w:val="auto"/>
          <w:szCs w:val="24"/>
          <w:highlight w:val="none"/>
        </w:rPr>
        <w:t>一、工程概况</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_Toc2125045988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26</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6D334DBB">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_Toc700224909 </w:instrText>
      </w:r>
      <w:r>
        <w:rPr>
          <w:rFonts w:hint="default" w:ascii="Times New Roman" w:hAnsi="Times New Roman" w:cs="Times New Roman"/>
          <w:color w:val="auto"/>
          <w:highlight w:val="none"/>
        </w:rPr>
        <w:fldChar w:fldCharType="separate"/>
      </w:r>
      <w:r>
        <w:rPr>
          <w:rFonts w:hint="default" w:ascii="Times New Roman" w:hAnsi="Times New Roman" w:eastAsia="方正小标宋_GBK" w:cs="Times New Roman"/>
          <w:bCs/>
          <w:color w:val="auto"/>
          <w:szCs w:val="24"/>
          <w:highlight w:val="none"/>
        </w:rPr>
        <w:t>二、工程内容与承包范围</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_Toc700224909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26</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305593FE">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_Toc2093224083 </w:instrText>
      </w:r>
      <w:r>
        <w:rPr>
          <w:rFonts w:hint="default" w:ascii="Times New Roman" w:hAnsi="Times New Roman" w:cs="Times New Roman"/>
          <w:color w:val="auto"/>
          <w:highlight w:val="none"/>
        </w:rPr>
        <w:fldChar w:fldCharType="separate"/>
      </w:r>
      <w:r>
        <w:rPr>
          <w:rFonts w:hint="default" w:ascii="Times New Roman" w:hAnsi="Times New Roman" w:eastAsia="方正小标宋_GBK" w:cs="Times New Roman"/>
          <w:bCs/>
          <w:color w:val="auto"/>
          <w:szCs w:val="24"/>
          <w:highlight w:val="none"/>
        </w:rPr>
        <w:t>三、合同工期</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_Toc2093224083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26</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49D95D01">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_Toc152477180 </w:instrText>
      </w:r>
      <w:r>
        <w:rPr>
          <w:rFonts w:hint="default" w:ascii="Times New Roman" w:hAnsi="Times New Roman" w:cs="Times New Roman"/>
          <w:color w:val="auto"/>
          <w:highlight w:val="none"/>
        </w:rPr>
        <w:fldChar w:fldCharType="separate"/>
      </w:r>
      <w:r>
        <w:rPr>
          <w:rFonts w:hint="default" w:ascii="Times New Roman" w:hAnsi="Times New Roman" w:eastAsia="方正小标宋_GBK" w:cs="Times New Roman"/>
          <w:bCs/>
          <w:color w:val="auto"/>
          <w:szCs w:val="24"/>
          <w:highlight w:val="none"/>
        </w:rPr>
        <w:t>★四、质量标准</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_Toc152477180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27</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52411E67">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_Toc2111588854 </w:instrText>
      </w:r>
      <w:r>
        <w:rPr>
          <w:rFonts w:hint="default" w:ascii="Times New Roman" w:hAnsi="Times New Roman" w:cs="Times New Roman"/>
          <w:color w:val="auto"/>
          <w:highlight w:val="none"/>
        </w:rPr>
        <w:fldChar w:fldCharType="separate"/>
      </w:r>
      <w:r>
        <w:rPr>
          <w:rFonts w:hint="default" w:ascii="Times New Roman" w:hAnsi="Times New Roman" w:eastAsia="方正小标宋_GBK" w:cs="Times New Roman"/>
          <w:bCs/>
          <w:color w:val="auto"/>
          <w:szCs w:val="24"/>
          <w:highlight w:val="none"/>
        </w:rPr>
        <w:t>五、合同价款</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_Toc2111588854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27</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18927F4F">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_Toc1439925532 </w:instrText>
      </w:r>
      <w:r>
        <w:rPr>
          <w:rFonts w:hint="default" w:ascii="Times New Roman" w:hAnsi="Times New Roman" w:cs="Times New Roman"/>
          <w:color w:val="auto"/>
          <w:highlight w:val="none"/>
        </w:rPr>
        <w:fldChar w:fldCharType="separate"/>
      </w:r>
      <w:r>
        <w:rPr>
          <w:rFonts w:hint="default" w:ascii="Times New Roman" w:hAnsi="Times New Roman" w:eastAsia="方正小标宋_GBK" w:cs="Times New Roman"/>
          <w:bCs/>
          <w:color w:val="auto"/>
          <w:szCs w:val="24"/>
          <w:highlight w:val="none"/>
        </w:rPr>
        <w:t>★六、工人工资支付分账</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_Toc1439925532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28</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736EFE29">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_Toc593677123 </w:instrText>
      </w:r>
      <w:r>
        <w:rPr>
          <w:rFonts w:hint="default" w:ascii="Times New Roman" w:hAnsi="Times New Roman" w:cs="Times New Roman"/>
          <w:color w:val="auto"/>
          <w:highlight w:val="none"/>
        </w:rPr>
        <w:fldChar w:fldCharType="separate"/>
      </w:r>
      <w:r>
        <w:rPr>
          <w:rFonts w:hint="default" w:ascii="Times New Roman" w:hAnsi="Times New Roman" w:eastAsia="方正小标宋_GBK" w:cs="Times New Roman"/>
          <w:bCs/>
          <w:color w:val="auto"/>
          <w:szCs w:val="24"/>
          <w:highlight w:val="none"/>
        </w:rPr>
        <w:t>七、组成合同的文件</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_Toc593677123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28</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712B0D6F">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_Toc344964773 </w:instrText>
      </w:r>
      <w:r>
        <w:rPr>
          <w:rFonts w:hint="default" w:ascii="Times New Roman" w:hAnsi="Times New Roman" w:cs="Times New Roman"/>
          <w:color w:val="auto"/>
          <w:highlight w:val="none"/>
        </w:rPr>
        <w:fldChar w:fldCharType="separate"/>
      </w:r>
      <w:r>
        <w:rPr>
          <w:rFonts w:hint="default" w:ascii="Times New Roman" w:hAnsi="Times New Roman" w:eastAsia="方正小标宋_GBK" w:cs="Times New Roman"/>
          <w:bCs/>
          <w:color w:val="auto"/>
          <w:szCs w:val="24"/>
          <w:highlight w:val="none"/>
        </w:rPr>
        <w:t>八、词语含义</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_Toc344964773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28</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49DF0A42">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_Toc1643287006 </w:instrText>
      </w:r>
      <w:r>
        <w:rPr>
          <w:rFonts w:hint="default" w:ascii="Times New Roman" w:hAnsi="Times New Roman" w:cs="Times New Roman"/>
          <w:color w:val="auto"/>
          <w:highlight w:val="none"/>
        </w:rPr>
        <w:fldChar w:fldCharType="separate"/>
      </w:r>
      <w:r>
        <w:rPr>
          <w:rFonts w:hint="default" w:ascii="Times New Roman" w:hAnsi="Times New Roman" w:eastAsia="方正小标宋_GBK" w:cs="Times New Roman"/>
          <w:bCs/>
          <w:color w:val="auto"/>
          <w:szCs w:val="24"/>
          <w:highlight w:val="none"/>
        </w:rPr>
        <w:t>九、承包人承诺</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_Toc1643287006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29</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1838396F">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_Toc2048992581 </w:instrText>
      </w:r>
      <w:r>
        <w:rPr>
          <w:rFonts w:hint="default" w:ascii="Times New Roman" w:hAnsi="Times New Roman" w:cs="Times New Roman"/>
          <w:color w:val="auto"/>
          <w:highlight w:val="none"/>
        </w:rPr>
        <w:fldChar w:fldCharType="separate"/>
      </w:r>
      <w:r>
        <w:rPr>
          <w:rFonts w:hint="default" w:ascii="Times New Roman" w:hAnsi="Times New Roman" w:eastAsia="方正小标宋_GBK" w:cs="Times New Roman"/>
          <w:bCs/>
          <w:color w:val="auto"/>
          <w:szCs w:val="24"/>
          <w:highlight w:val="none"/>
        </w:rPr>
        <w:t>十、发包人承诺</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_Toc2048992581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29</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33F350E3">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_Toc491771285 </w:instrText>
      </w:r>
      <w:r>
        <w:rPr>
          <w:rFonts w:hint="default" w:ascii="Times New Roman" w:hAnsi="Times New Roman" w:cs="Times New Roman"/>
          <w:color w:val="auto"/>
          <w:highlight w:val="none"/>
        </w:rPr>
        <w:fldChar w:fldCharType="separate"/>
      </w:r>
      <w:r>
        <w:rPr>
          <w:rFonts w:hint="default" w:ascii="Times New Roman" w:hAnsi="Times New Roman" w:eastAsia="方正小标宋_GBK" w:cs="Times New Roman"/>
          <w:bCs/>
          <w:color w:val="auto"/>
          <w:szCs w:val="24"/>
          <w:highlight w:val="none"/>
        </w:rPr>
        <w:t>十一、 合同生效</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_Toc491771285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29</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64159F03">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_Toc570629499 </w:instrText>
      </w:r>
      <w:r>
        <w:rPr>
          <w:rFonts w:hint="default" w:ascii="Times New Roman" w:hAnsi="Times New Roman" w:cs="Times New Roman"/>
          <w:color w:val="auto"/>
          <w:highlight w:val="none"/>
        </w:rPr>
        <w:fldChar w:fldCharType="separate"/>
      </w:r>
      <w:r>
        <w:rPr>
          <w:rFonts w:hint="default" w:ascii="Times New Roman" w:hAnsi="Times New Roman" w:eastAsia="方正小标宋_GBK" w:cs="Times New Roman"/>
          <w:bCs/>
          <w:color w:val="auto"/>
          <w:szCs w:val="24"/>
          <w:highlight w:val="none"/>
        </w:rPr>
        <w:t>十二、 合同份数</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_Toc570629499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29</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7C02357D">
      <w:pPr>
        <w:pStyle w:val="21"/>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_Toc432491124 </w:instrText>
      </w:r>
      <w:r>
        <w:rPr>
          <w:rFonts w:hint="default" w:ascii="Times New Roman" w:hAnsi="Times New Roman" w:cs="Times New Roman"/>
          <w:color w:val="auto"/>
          <w:highlight w:val="none"/>
        </w:rPr>
        <w:fldChar w:fldCharType="separate"/>
      </w:r>
      <w:r>
        <w:rPr>
          <w:rFonts w:hint="default" w:ascii="Times New Roman" w:hAnsi="Times New Roman" w:eastAsia="方正黑体_GBK" w:cs="Times New Roman"/>
          <w:bCs/>
          <w:color w:val="auto"/>
          <w:szCs w:val="28"/>
          <w:highlight w:val="none"/>
        </w:rPr>
        <w:t>第二部分  通用条款</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_Toc432491124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31</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55CE2EC9">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_Toc1369942311 </w:instrText>
      </w:r>
      <w:r>
        <w:rPr>
          <w:rFonts w:hint="default" w:ascii="Times New Roman" w:hAnsi="Times New Roman" w:cs="Times New Roman"/>
          <w:color w:val="auto"/>
          <w:highlight w:val="none"/>
        </w:rPr>
        <w:fldChar w:fldCharType="separate"/>
      </w:r>
      <w:r>
        <w:rPr>
          <w:rFonts w:hint="default" w:ascii="Times New Roman" w:hAnsi="Times New Roman" w:eastAsia="方正小标宋_GBK" w:cs="Times New Roman"/>
          <w:bCs/>
          <w:color w:val="auto"/>
          <w:szCs w:val="24"/>
          <w:highlight w:val="none"/>
        </w:rPr>
        <w:t>一、 总  则</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_Toc1369942311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31</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59DE7974">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_Toc1528325466 </w:instrText>
      </w:r>
      <w:r>
        <w:rPr>
          <w:rFonts w:hint="default" w:ascii="Times New Roman" w:hAnsi="Times New Roman" w:cs="Times New Roman"/>
          <w:color w:val="auto"/>
          <w:highlight w:val="none"/>
        </w:rPr>
        <w:fldChar w:fldCharType="separate"/>
      </w:r>
      <w:r>
        <w:rPr>
          <w:rFonts w:hint="default" w:ascii="Times New Roman" w:hAnsi="Times New Roman" w:eastAsia="方正小标宋_GBK" w:cs="Times New Roman"/>
          <w:bCs/>
          <w:color w:val="auto"/>
          <w:szCs w:val="24"/>
          <w:highlight w:val="none"/>
        </w:rPr>
        <w:t>二、合同主体</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_Toc1528325466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44</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5712656D">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_Toc1509612056 </w:instrText>
      </w:r>
      <w:r>
        <w:rPr>
          <w:rFonts w:hint="default" w:ascii="Times New Roman" w:hAnsi="Times New Roman" w:cs="Times New Roman"/>
          <w:color w:val="auto"/>
          <w:highlight w:val="none"/>
        </w:rPr>
        <w:fldChar w:fldCharType="separate"/>
      </w:r>
      <w:r>
        <w:rPr>
          <w:rFonts w:hint="default" w:ascii="Times New Roman" w:hAnsi="Times New Roman" w:eastAsia="方正小标宋_GBK" w:cs="Times New Roman"/>
          <w:bCs/>
          <w:color w:val="auto"/>
          <w:szCs w:val="24"/>
          <w:highlight w:val="none"/>
        </w:rPr>
        <w:t>三、担保、保险与风险</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_Toc1509612056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53</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13473E79">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_Toc625106905 </w:instrText>
      </w:r>
      <w:r>
        <w:rPr>
          <w:rFonts w:hint="default" w:ascii="Times New Roman" w:hAnsi="Times New Roman" w:cs="Times New Roman"/>
          <w:color w:val="auto"/>
          <w:highlight w:val="none"/>
        </w:rPr>
        <w:fldChar w:fldCharType="separate"/>
      </w:r>
      <w:r>
        <w:rPr>
          <w:rFonts w:hint="default" w:ascii="Times New Roman" w:hAnsi="Times New Roman" w:eastAsia="方正小标宋_GBK" w:cs="Times New Roman"/>
          <w:bCs/>
          <w:color w:val="auto"/>
          <w:szCs w:val="24"/>
          <w:highlight w:val="none"/>
        </w:rPr>
        <w:t>四、工  期</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_Toc625106905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57</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36DE1BCF">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_Toc1754037984 </w:instrText>
      </w:r>
      <w:r>
        <w:rPr>
          <w:rFonts w:hint="default" w:ascii="Times New Roman" w:hAnsi="Times New Roman" w:cs="Times New Roman"/>
          <w:color w:val="auto"/>
          <w:highlight w:val="none"/>
        </w:rPr>
        <w:fldChar w:fldCharType="separate"/>
      </w:r>
      <w:r>
        <w:rPr>
          <w:rFonts w:hint="default" w:ascii="Times New Roman" w:hAnsi="Times New Roman" w:eastAsia="方正小标宋_GBK" w:cs="Times New Roman"/>
          <w:bCs/>
          <w:color w:val="auto"/>
          <w:szCs w:val="24"/>
          <w:highlight w:val="none"/>
        </w:rPr>
        <w:t>五、质量与安全</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_Toc1754037984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63</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5107E035">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_Toc303714733 </w:instrText>
      </w:r>
      <w:r>
        <w:rPr>
          <w:rFonts w:hint="default" w:ascii="Times New Roman" w:hAnsi="Times New Roman" w:cs="Times New Roman"/>
          <w:color w:val="auto"/>
          <w:highlight w:val="none"/>
        </w:rPr>
        <w:fldChar w:fldCharType="separate"/>
      </w:r>
      <w:r>
        <w:rPr>
          <w:rFonts w:hint="default" w:ascii="Times New Roman" w:hAnsi="Times New Roman" w:eastAsia="方正小标宋_GBK" w:cs="Times New Roman"/>
          <w:bCs/>
          <w:color w:val="auto"/>
          <w:szCs w:val="24"/>
          <w:highlight w:val="none"/>
        </w:rPr>
        <w:t>六、造  价</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_Toc303714733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83</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0805B664">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_Toc1825645964 </w:instrText>
      </w:r>
      <w:r>
        <w:rPr>
          <w:rFonts w:hint="default" w:ascii="Times New Roman" w:hAnsi="Times New Roman" w:cs="Times New Roman"/>
          <w:color w:val="auto"/>
          <w:highlight w:val="none"/>
        </w:rPr>
        <w:fldChar w:fldCharType="separate"/>
      </w:r>
      <w:r>
        <w:rPr>
          <w:rFonts w:hint="default" w:ascii="Times New Roman" w:hAnsi="Times New Roman" w:eastAsia="方正小标宋_GBK" w:cs="Times New Roman"/>
          <w:bCs/>
          <w:color w:val="auto"/>
          <w:szCs w:val="24"/>
          <w:highlight w:val="none"/>
        </w:rPr>
        <w:t>七、合同争议、解除与终止</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_Toc1825645964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103</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4DF24011">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_Toc1232661772 </w:instrText>
      </w:r>
      <w:r>
        <w:rPr>
          <w:rFonts w:hint="default" w:ascii="Times New Roman" w:hAnsi="Times New Roman" w:cs="Times New Roman"/>
          <w:color w:val="auto"/>
          <w:highlight w:val="none"/>
        </w:rPr>
        <w:fldChar w:fldCharType="separate"/>
      </w:r>
      <w:r>
        <w:rPr>
          <w:rFonts w:hint="default" w:ascii="Times New Roman" w:hAnsi="Times New Roman" w:eastAsia="方正小标宋_GBK" w:cs="Times New Roman"/>
          <w:bCs/>
          <w:color w:val="auto"/>
          <w:szCs w:val="24"/>
          <w:highlight w:val="none"/>
        </w:rPr>
        <w:t>八、违 约 责 任</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_Toc1232661772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107</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12007CC3">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_Toc1675393924 </w:instrText>
      </w:r>
      <w:r>
        <w:rPr>
          <w:rFonts w:hint="default" w:ascii="Times New Roman" w:hAnsi="Times New Roman" w:cs="Times New Roman"/>
          <w:color w:val="auto"/>
          <w:highlight w:val="none"/>
        </w:rPr>
        <w:fldChar w:fldCharType="separate"/>
      </w:r>
      <w:r>
        <w:rPr>
          <w:rFonts w:hint="default" w:ascii="Times New Roman" w:hAnsi="Times New Roman" w:eastAsia="方正小标宋_GBK" w:cs="Times New Roman"/>
          <w:bCs/>
          <w:color w:val="auto"/>
          <w:szCs w:val="24"/>
          <w:highlight w:val="none"/>
        </w:rPr>
        <w:t>九、其  他</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_Toc1675393924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108</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61DEAFFA">
      <w:pPr>
        <w:pStyle w:val="21"/>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_Toc1949060020 </w:instrText>
      </w:r>
      <w:r>
        <w:rPr>
          <w:rFonts w:hint="default" w:ascii="Times New Roman" w:hAnsi="Times New Roman" w:cs="Times New Roman"/>
          <w:color w:val="auto"/>
          <w:highlight w:val="none"/>
        </w:rPr>
        <w:fldChar w:fldCharType="separate"/>
      </w:r>
      <w:r>
        <w:rPr>
          <w:rFonts w:hint="default" w:ascii="Times New Roman" w:hAnsi="Times New Roman" w:eastAsia="方正黑体_GBK" w:cs="Times New Roman"/>
          <w:bCs/>
          <w:color w:val="auto"/>
          <w:szCs w:val="28"/>
          <w:highlight w:val="none"/>
          <w:lang w:eastAsia="zh-CN"/>
        </w:rPr>
        <w:t>第三部分</w:t>
      </w:r>
      <w:r>
        <w:rPr>
          <w:rFonts w:hint="default" w:ascii="Times New Roman" w:hAnsi="Times New Roman" w:eastAsia="方正黑体_GBK" w:cs="Times New Roman"/>
          <w:bCs/>
          <w:color w:val="auto"/>
          <w:szCs w:val="28"/>
          <w:highlight w:val="none"/>
          <w:lang w:val="en-US" w:eastAsia="zh-CN"/>
        </w:rPr>
        <w:t xml:space="preserve">  </w:t>
      </w:r>
      <w:r>
        <w:rPr>
          <w:rFonts w:hint="default" w:ascii="Times New Roman" w:hAnsi="Times New Roman" w:eastAsia="方正黑体_GBK" w:cs="Times New Roman"/>
          <w:bCs/>
          <w:color w:val="auto"/>
          <w:szCs w:val="28"/>
          <w:highlight w:val="none"/>
        </w:rPr>
        <w:t>专用条款</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_Toc1949060020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111</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6C168FCA">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_Toc100474045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(一)设计部分</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_Toc100474045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111</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386AFC9C">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_Toc284135925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(二)施工部分</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_Toc284135925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117</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71D7EA53">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_Toc891738585 </w:instrText>
      </w:r>
      <w:r>
        <w:rPr>
          <w:rFonts w:hint="default" w:ascii="Times New Roman" w:hAnsi="Times New Roman" w:cs="Times New Roman"/>
          <w:color w:val="auto"/>
          <w:highlight w:val="none"/>
        </w:rPr>
        <w:fldChar w:fldCharType="separate"/>
      </w:r>
      <w:r>
        <w:rPr>
          <w:rFonts w:hint="default" w:ascii="Times New Roman" w:hAnsi="Times New Roman" w:cs="Times New Roman"/>
          <w:bCs/>
          <w:color w:val="auto"/>
          <w:szCs w:val="22"/>
          <w:highlight w:val="none"/>
        </w:rPr>
        <w:t>1．定义</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_Toc891738585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117</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21B7D483">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_Toc776324693 </w:instrText>
      </w:r>
      <w:r>
        <w:rPr>
          <w:rFonts w:hint="default" w:ascii="Times New Roman" w:hAnsi="Times New Roman" w:cs="Times New Roman"/>
          <w:color w:val="auto"/>
          <w:highlight w:val="none"/>
        </w:rPr>
        <w:fldChar w:fldCharType="separate"/>
      </w:r>
      <w:r>
        <w:rPr>
          <w:rFonts w:hint="default" w:ascii="Times New Roman" w:hAnsi="Times New Roman" w:cs="Times New Roman"/>
          <w:bCs/>
          <w:color w:val="auto"/>
          <w:szCs w:val="22"/>
          <w:highlight w:val="none"/>
        </w:rPr>
        <w:t>2．合同文件及解释</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_Toc776324693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117</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0FF04BA3">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_Toc812482060 </w:instrText>
      </w:r>
      <w:r>
        <w:rPr>
          <w:rFonts w:hint="default" w:ascii="Times New Roman" w:hAnsi="Times New Roman" w:cs="Times New Roman"/>
          <w:color w:val="auto"/>
          <w:highlight w:val="none"/>
        </w:rPr>
        <w:fldChar w:fldCharType="separate"/>
      </w:r>
      <w:r>
        <w:rPr>
          <w:rFonts w:hint="default" w:ascii="Times New Roman" w:hAnsi="Times New Roman" w:cs="Times New Roman"/>
          <w:bCs/>
          <w:color w:val="auto"/>
          <w:szCs w:val="22"/>
          <w:highlight w:val="none"/>
        </w:rPr>
        <w:t>4．语言及适用的法律、标准与规范</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_Toc812482060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117</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6C41CB23">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_Toc1988173336 </w:instrText>
      </w:r>
      <w:r>
        <w:rPr>
          <w:rFonts w:hint="default" w:ascii="Times New Roman" w:hAnsi="Times New Roman" w:cs="Times New Roman"/>
          <w:color w:val="auto"/>
          <w:highlight w:val="none"/>
        </w:rPr>
        <w:fldChar w:fldCharType="separate"/>
      </w:r>
      <w:r>
        <w:rPr>
          <w:rFonts w:hint="default" w:ascii="Times New Roman" w:hAnsi="Times New Roman" w:cs="Times New Roman"/>
          <w:bCs/>
          <w:color w:val="auto"/>
          <w:szCs w:val="22"/>
          <w:highlight w:val="none"/>
        </w:rPr>
        <w:t>5. 施工设计图纸</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_Toc1988173336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117</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5CF9E7FE">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_Toc398916273 </w:instrText>
      </w:r>
      <w:r>
        <w:rPr>
          <w:rFonts w:hint="default" w:ascii="Times New Roman" w:hAnsi="Times New Roman" w:cs="Times New Roman"/>
          <w:color w:val="auto"/>
          <w:highlight w:val="none"/>
        </w:rPr>
        <w:fldChar w:fldCharType="separate"/>
      </w:r>
      <w:r>
        <w:rPr>
          <w:rFonts w:hint="default" w:ascii="Times New Roman" w:hAnsi="Times New Roman" w:cs="Times New Roman"/>
          <w:bCs/>
          <w:color w:val="auto"/>
          <w:szCs w:val="22"/>
          <w:highlight w:val="none"/>
        </w:rPr>
        <w:t>6. 通信联络</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_Toc398916273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118</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505DB18E">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_Toc736357979 </w:instrText>
      </w:r>
      <w:r>
        <w:rPr>
          <w:rFonts w:hint="default" w:ascii="Times New Roman" w:hAnsi="Times New Roman" w:cs="Times New Roman"/>
          <w:color w:val="auto"/>
          <w:highlight w:val="none"/>
        </w:rPr>
        <w:fldChar w:fldCharType="separate"/>
      </w:r>
      <w:r>
        <w:rPr>
          <w:rFonts w:hint="default" w:ascii="Times New Roman" w:hAnsi="Times New Roman" w:cs="Times New Roman"/>
          <w:bCs/>
          <w:color w:val="auto"/>
          <w:szCs w:val="22"/>
          <w:highlight w:val="none"/>
        </w:rPr>
        <w:t>7. 工程分包</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_Toc736357979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118</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62DFF134">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_Toc1965735677 </w:instrText>
      </w:r>
      <w:r>
        <w:rPr>
          <w:rFonts w:hint="default" w:ascii="Times New Roman" w:hAnsi="Times New Roman" w:cs="Times New Roman"/>
          <w:color w:val="auto"/>
          <w:highlight w:val="none"/>
        </w:rPr>
        <w:fldChar w:fldCharType="separate"/>
      </w:r>
      <w:r>
        <w:rPr>
          <w:rFonts w:hint="default" w:ascii="Times New Roman" w:hAnsi="Times New Roman" w:cs="Times New Roman"/>
          <w:bCs/>
          <w:color w:val="auto"/>
          <w:szCs w:val="22"/>
          <w:highlight w:val="none"/>
        </w:rPr>
        <w:t>13. 交通运输</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_Toc1965735677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118</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066827E1">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_Toc1099141183 </w:instrText>
      </w:r>
      <w:r>
        <w:rPr>
          <w:rFonts w:hint="default" w:ascii="Times New Roman" w:hAnsi="Times New Roman" w:cs="Times New Roman"/>
          <w:color w:val="auto"/>
          <w:highlight w:val="none"/>
        </w:rPr>
        <w:fldChar w:fldCharType="separate"/>
      </w:r>
      <w:r>
        <w:rPr>
          <w:rFonts w:hint="default" w:ascii="Times New Roman" w:hAnsi="Times New Roman" w:cs="Times New Roman"/>
          <w:bCs/>
          <w:color w:val="auto"/>
          <w:szCs w:val="22"/>
          <w:highlight w:val="none"/>
        </w:rPr>
        <w:t>14. 专项批准事件的签认</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_Toc1099141183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118</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09FA01DD">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_Toc682098415 </w:instrText>
      </w:r>
      <w:r>
        <w:rPr>
          <w:rFonts w:hint="default" w:ascii="Times New Roman" w:hAnsi="Times New Roman" w:cs="Times New Roman"/>
          <w:color w:val="auto"/>
          <w:highlight w:val="none"/>
        </w:rPr>
        <w:fldChar w:fldCharType="separate"/>
      </w:r>
      <w:r>
        <w:rPr>
          <w:rFonts w:hint="default" w:ascii="Times New Roman" w:hAnsi="Times New Roman" w:cs="Times New Roman"/>
          <w:bCs/>
          <w:color w:val="auto"/>
          <w:szCs w:val="22"/>
          <w:highlight w:val="none"/>
        </w:rPr>
        <w:t>19. 发包人</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_Toc682098415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119</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760EB2EE">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_Toc2118212857 </w:instrText>
      </w:r>
      <w:r>
        <w:rPr>
          <w:rFonts w:hint="default" w:ascii="Times New Roman" w:hAnsi="Times New Roman" w:cs="Times New Roman"/>
          <w:color w:val="auto"/>
          <w:highlight w:val="none"/>
        </w:rPr>
        <w:fldChar w:fldCharType="separate"/>
      </w:r>
      <w:r>
        <w:rPr>
          <w:rFonts w:hint="default" w:ascii="Times New Roman" w:hAnsi="Times New Roman" w:cs="Times New Roman"/>
          <w:bCs/>
          <w:color w:val="auto"/>
          <w:szCs w:val="22"/>
          <w:highlight w:val="none"/>
        </w:rPr>
        <w:t>20. 承包人</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_Toc2118212857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120</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085F460B">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_Toc1063246389 </w:instrText>
      </w:r>
      <w:r>
        <w:rPr>
          <w:rFonts w:hint="default" w:ascii="Times New Roman" w:hAnsi="Times New Roman" w:cs="Times New Roman"/>
          <w:color w:val="auto"/>
          <w:highlight w:val="none"/>
        </w:rPr>
        <w:fldChar w:fldCharType="separate"/>
      </w:r>
      <w:r>
        <w:rPr>
          <w:rFonts w:hint="default" w:ascii="Times New Roman" w:hAnsi="Times New Roman" w:cs="Times New Roman"/>
          <w:bCs/>
          <w:color w:val="auto"/>
          <w:szCs w:val="22"/>
          <w:highlight w:val="none"/>
        </w:rPr>
        <w:t>21. 现场管理人员任命和更换</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_Toc1063246389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122</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667D3065">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_Toc2122023947 </w:instrText>
      </w:r>
      <w:r>
        <w:rPr>
          <w:rFonts w:hint="default" w:ascii="Times New Roman" w:hAnsi="Times New Roman" w:cs="Times New Roman"/>
          <w:color w:val="auto"/>
          <w:highlight w:val="none"/>
        </w:rPr>
        <w:fldChar w:fldCharType="separate"/>
      </w:r>
      <w:r>
        <w:rPr>
          <w:rFonts w:hint="default" w:ascii="Times New Roman" w:hAnsi="Times New Roman" w:cs="Times New Roman"/>
          <w:bCs/>
          <w:color w:val="auto"/>
          <w:szCs w:val="22"/>
          <w:highlight w:val="none"/>
        </w:rPr>
        <w:t>22. 发包人代表</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_Toc2122023947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123</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57E9D96B">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_Toc564406333 </w:instrText>
      </w:r>
      <w:r>
        <w:rPr>
          <w:rFonts w:hint="default" w:ascii="Times New Roman" w:hAnsi="Times New Roman" w:cs="Times New Roman"/>
          <w:color w:val="auto"/>
          <w:highlight w:val="none"/>
        </w:rPr>
        <w:fldChar w:fldCharType="separate"/>
      </w:r>
      <w:r>
        <w:rPr>
          <w:rFonts w:hint="default" w:ascii="Times New Roman" w:hAnsi="Times New Roman" w:cs="Times New Roman"/>
          <w:bCs/>
          <w:color w:val="auto"/>
          <w:szCs w:val="22"/>
          <w:highlight w:val="none"/>
        </w:rPr>
        <w:t>23. 监理工程师</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_Toc564406333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123</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53AC5392">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_Toc1408211162 </w:instrText>
      </w:r>
      <w:r>
        <w:rPr>
          <w:rFonts w:hint="default" w:ascii="Times New Roman" w:hAnsi="Times New Roman" w:cs="Times New Roman"/>
          <w:color w:val="auto"/>
          <w:highlight w:val="none"/>
        </w:rPr>
        <w:fldChar w:fldCharType="separate"/>
      </w:r>
      <w:r>
        <w:rPr>
          <w:rFonts w:hint="default" w:ascii="Times New Roman" w:hAnsi="Times New Roman" w:cs="Times New Roman"/>
          <w:bCs/>
          <w:color w:val="auto"/>
          <w:szCs w:val="22"/>
          <w:highlight w:val="none"/>
        </w:rPr>
        <w:t>24. 造价工程师</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_Toc1408211162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124</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2FD80D04">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_Toc1617827305 </w:instrText>
      </w:r>
      <w:r>
        <w:rPr>
          <w:rFonts w:hint="default" w:ascii="Times New Roman" w:hAnsi="Times New Roman" w:cs="Times New Roman"/>
          <w:color w:val="auto"/>
          <w:highlight w:val="none"/>
        </w:rPr>
        <w:fldChar w:fldCharType="separate"/>
      </w:r>
      <w:r>
        <w:rPr>
          <w:rFonts w:hint="default" w:ascii="Times New Roman" w:hAnsi="Times New Roman" w:cs="Times New Roman"/>
          <w:bCs/>
          <w:color w:val="auto"/>
          <w:szCs w:val="22"/>
          <w:highlight w:val="none"/>
        </w:rPr>
        <w:t>25. 承包人代表</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_Toc1617827305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124</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7E89A099">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_Toc465915266 </w:instrText>
      </w:r>
      <w:r>
        <w:rPr>
          <w:rFonts w:hint="default" w:ascii="Times New Roman" w:hAnsi="Times New Roman" w:cs="Times New Roman"/>
          <w:color w:val="auto"/>
          <w:highlight w:val="none"/>
        </w:rPr>
        <w:fldChar w:fldCharType="separate"/>
      </w:r>
      <w:r>
        <w:rPr>
          <w:rFonts w:hint="default" w:ascii="Times New Roman" w:hAnsi="Times New Roman" w:cs="Times New Roman"/>
          <w:bCs/>
          <w:color w:val="auto"/>
          <w:szCs w:val="22"/>
          <w:highlight w:val="none"/>
        </w:rPr>
        <w:t>26. 指定分包人</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_Toc465915266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125</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4FC5DF79">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_Toc1899982447 </w:instrText>
      </w:r>
      <w:r>
        <w:rPr>
          <w:rFonts w:hint="default" w:ascii="Times New Roman" w:hAnsi="Times New Roman" w:cs="Times New Roman"/>
          <w:color w:val="auto"/>
          <w:highlight w:val="none"/>
        </w:rPr>
        <w:fldChar w:fldCharType="separate"/>
      </w:r>
      <w:r>
        <w:rPr>
          <w:rFonts w:hint="default" w:ascii="Times New Roman" w:hAnsi="Times New Roman" w:cs="Times New Roman"/>
          <w:bCs/>
          <w:color w:val="auto"/>
          <w:szCs w:val="22"/>
          <w:highlight w:val="none"/>
        </w:rPr>
        <w:t>28. 工程担保</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_Toc1899982447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125</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27601B64">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_Toc40973157 </w:instrText>
      </w:r>
      <w:r>
        <w:rPr>
          <w:rFonts w:hint="default" w:ascii="Times New Roman" w:hAnsi="Times New Roman" w:cs="Times New Roman"/>
          <w:color w:val="auto"/>
          <w:highlight w:val="none"/>
        </w:rPr>
        <w:fldChar w:fldCharType="separate"/>
      </w:r>
      <w:r>
        <w:rPr>
          <w:rFonts w:hint="default" w:ascii="Times New Roman" w:hAnsi="Times New Roman" w:cs="Times New Roman"/>
          <w:bCs/>
          <w:color w:val="auto"/>
          <w:szCs w:val="22"/>
          <w:highlight w:val="none"/>
        </w:rPr>
        <w:t>32. 保险</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_Toc40973157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126</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2AE73D5A">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_Toc898406391 </w:instrText>
      </w:r>
      <w:r>
        <w:rPr>
          <w:rFonts w:hint="default" w:ascii="Times New Roman" w:hAnsi="Times New Roman" w:cs="Times New Roman"/>
          <w:color w:val="auto"/>
          <w:highlight w:val="none"/>
        </w:rPr>
        <w:fldChar w:fldCharType="separate"/>
      </w:r>
      <w:r>
        <w:rPr>
          <w:rFonts w:hint="default" w:ascii="Times New Roman" w:hAnsi="Times New Roman" w:cs="Times New Roman"/>
          <w:bCs/>
          <w:color w:val="auto"/>
          <w:szCs w:val="22"/>
          <w:highlight w:val="none"/>
        </w:rPr>
        <w:t>33. 进度计划和报告</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_Toc898406391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127</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70293BD3">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_Toc1122441110 </w:instrText>
      </w:r>
      <w:r>
        <w:rPr>
          <w:rFonts w:hint="default" w:ascii="Times New Roman" w:hAnsi="Times New Roman" w:cs="Times New Roman"/>
          <w:color w:val="auto"/>
          <w:highlight w:val="none"/>
        </w:rPr>
        <w:fldChar w:fldCharType="separate"/>
      </w:r>
      <w:r>
        <w:rPr>
          <w:rFonts w:hint="default" w:ascii="Times New Roman" w:hAnsi="Times New Roman" w:cs="Times New Roman"/>
          <w:bCs/>
          <w:color w:val="auto"/>
          <w:szCs w:val="22"/>
          <w:highlight w:val="none"/>
        </w:rPr>
        <w:t>34. 开工</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_Toc1122441110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127</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6B60DB47">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_Toc1569298623 </w:instrText>
      </w:r>
      <w:r>
        <w:rPr>
          <w:rFonts w:hint="default" w:ascii="Times New Roman" w:hAnsi="Times New Roman" w:cs="Times New Roman"/>
          <w:color w:val="auto"/>
          <w:highlight w:val="none"/>
        </w:rPr>
        <w:fldChar w:fldCharType="separate"/>
      </w:r>
      <w:r>
        <w:rPr>
          <w:rFonts w:hint="default" w:ascii="Times New Roman" w:hAnsi="Times New Roman" w:cs="Times New Roman"/>
          <w:bCs/>
          <w:color w:val="auto"/>
          <w:szCs w:val="22"/>
          <w:highlight w:val="none"/>
        </w:rPr>
        <w:t>35.暂停施工和复工</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_Toc1569298623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127</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181B3834">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_Toc260534799 </w:instrText>
      </w:r>
      <w:r>
        <w:rPr>
          <w:rFonts w:hint="default" w:ascii="Times New Roman" w:hAnsi="Times New Roman" w:cs="Times New Roman"/>
          <w:color w:val="auto"/>
          <w:highlight w:val="none"/>
        </w:rPr>
        <w:fldChar w:fldCharType="separate"/>
      </w:r>
      <w:r>
        <w:rPr>
          <w:rFonts w:hint="default" w:ascii="Times New Roman" w:hAnsi="Times New Roman" w:cs="Times New Roman"/>
          <w:bCs/>
          <w:color w:val="auto"/>
          <w:szCs w:val="22"/>
          <w:highlight w:val="none"/>
        </w:rPr>
        <w:t>36. 工期及工期延误</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_Toc260534799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127</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33CEBFFC">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_Toc1747548015 </w:instrText>
      </w:r>
      <w:r>
        <w:rPr>
          <w:rFonts w:hint="default" w:ascii="Times New Roman" w:hAnsi="Times New Roman" w:cs="Times New Roman"/>
          <w:color w:val="auto"/>
          <w:highlight w:val="none"/>
        </w:rPr>
        <w:fldChar w:fldCharType="separate"/>
      </w:r>
      <w:r>
        <w:rPr>
          <w:rFonts w:hint="default" w:ascii="Times New Roman" w:hAnsi="Times New Roman" w:cs="Times New Roman"/>
          <w:bCs/>
          <w:color w:val="auto"/>
          <w:szCs w:val="22"/>
          <w:highlight w:val="none"/>
        </w:rPr>
        <w:t>38. 竣工日期</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_Toc1747548015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128</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6CC5BDCF">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_Toc1175852959 </w:instrText>
      </w:r>
      <w:r>
        <w:rPr>
          <w:rFonts w:hint="default" w:ascii="Times New Roman" w:hAnsi="Times New Roman" w:cs="Times New Roman"/>
          <w:color w:val="auto"/>
          <w:highlight w:val="none"/>
        </w:rPr>
        <w:fldChar w:fldCharType="separate"/>
      </w:r>
      <w:r>
        <w:rPr>
          <w:rFonts w:hint="default" w:ascii="Times New Roman" w:hAnsi="Times New Roman" w:cs="Times New Roman"/>
          <w:bCs/>
          <w:color w:val="auto"/>
          <w:szCs w:val="22"/>
          <w:highlight w:val="none"/>
        </w:rPr>
        <w:t>★42. 质量标准、目标</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_Toc1175852959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128</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64A3B42B">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_Toc564249532 </w:instrText>
      </w:r>
      <w:r>
        <w:rPr>
          <w:rFonts w:hint="default" w:ascii="Times New Roman" w:hAnsi="Times New Roman" w:cs="Times New Roman"/>
          <w:color w:val="auto"/>
          <w:highlight w:val="none"/>
        </w:rPr>
        <w:fldChar w:fldCharType="separate"/>
      </w:r>
      <w:r>
        <w:rPr>
          <w:rFonts w:hint="default" w:ascii="Times New Roman" w:hAnsi="Times New Roman" w:cs="Times New Roman"/>
          <w:bCs/>
          <w:color w:val="auto"/>
          <w:szCs w:val="22"/>
          <w:highlight w:val="none"/>
        </w:rPr>
        <w:t>★45. 绿色施工安全防护</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_Toc564249532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129</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35DF91B4">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_Toc1425710332 </w:instrText>
      </w:r>
      <w:r>
        <w:rPr>
          <w:rFonts w:hint="default" w:ascii="Times New Roman" w:hAnsi="Times New Roman" w:cs="Times New Roman"/>
          <w:color w:val="auto"/>
          <w:highlight w:val="none"/>
        </w:rPr>
        <w:fldChar w:fldCharType="separate"/>
      </w:r>
      <w:r>
        <w:rPr>
          <w:rFonts w:hint="default" w:ascii="Times New Roman" w:hAnsi="Times New Roman" w:cs="Times New Roman"/>
          <w:bCs/>
          <w:color w:val="auto"/>
          <w:szCs w:val="22"/>
          <w:highlight w:val="none"/>
        </w:rPr>
        <w:t>46. 测量放线</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_Toc1425710332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130</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37F57AC2">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_Toc261031083 </w:instrText>
      </w:r>
      <w:r>
        <w:rPr>
          <w:rFonts w:hint="default" w:ascii="Times New Roman" w:hAnsi="Times New Roman" w:cs="Times New Roman"/>
          <w:color w:val="auto"/>
          <w:highlight w:val="none"/>
        </w:rPr>
        <w:fldChar w:fldCharType="separate"/>
      </w:r>
      <w:r>
        <w:rPr>
          <w:rFonts w:hint="default" w:ascii="Times New Roman" w:hAnsi="Times New Roman" w:cs="Times New Roman"/>
          <w:bCs/>
          <w:color w:val="auto"/>
          <w:szCs w:val="22"/>
          <w:highlight w:val="none"/>
        </w:rPr>
        <w:t>48.发包人供应材料和工程设备</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_Toc261031083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130</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5A092F6B">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_Toc92159808 </w:instrText>
      </w:r>
      <w:r>
        <w:rPr>
          <w:rFonts w:hint="default" w:ascii="Times New Roman" w:hAnsi="Times New Roman" w:cs="Times New Roman"/>
          <w:color w:val="auto"/>
          <w:highlight w:val="none"/>
        </w:rPr>
        <w:fldChar w:fldCharType="separate"/>
      </w:r>
      <w:r>
        <w:rPr>
          <w:rFonts w:hint="default" w:ascii="Times New Roman" w:hAnsi="Times New Roman" w:cs="Times New Roman"/>
          <w:bCs/>
          <w:color w:val="auto"/>
          <w:szCs w:val="22"/>
          <w:highlight w:val="none"/>
        </w:rPr>
        <w:t>49. 承包人采购材料和工程设备</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_Toc92159808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131</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7DBD98E7">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_Toc1227286704 </w:instrText>
      </w:r>
      <w:r>
        <w:rPr>
          <w:rFonts w:hint="default" w:ascii="Times New Roman" w:hAnsi="Times New Roman" w:cs="Times New Roman"/>
          <w:color w:val="auto"/>
          <w:highlight w:val="none"/>
        </w:rPr>
        <w:fldChar w:fldCharType="separate"/>
      </w:r>
      <w:r>
        <w:rPr>
          <w:rFonts w:hint="default" w:ascii="Times New Roman" w:hAnsi="Times New Roman" w:cs="Times New Roman"/>
          <w:bCs/>
          <w:color w:val="auto"/>
          <w:szCs w:val="22"/>
          <w:highlight w:val="none"/>
        </w:rPr>
        <w:t>50. 材料和工程设备的检验试验</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_Toc1227286704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131</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05BCBBF0">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_Toc361505128 </w:instrText>
      </w:r>
      <w:r>
        <w:rPr>
          <w:rFonts w:hint="default" w:ascii="Times New Roman" w:hAnsi="Times New Roman" w:cs="Times New Roman"/>
          <w:color w:val="auto"/>
          <w:highlight w:val="none"/>
        </w:rPr>
        <w:fldChar w:fldCharType="separate"/>
      </w:r>
      <w:r>
        <w:rPr>
          <w:rFonts w:hint="default" w:ascii="Times New Roman" w:hAnsi="Times New Roman" w:cs="Times New Roman"/>
          <w:bCs/>
          <w:color w:val="auto"/>
          <w:szCs w:val="22"/>
          <w:highlight w:val="none"/>
        </w:rPr>
        <w:t>51. 施工设备和临时设施</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_Toc361505128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132</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4B14F7A0">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_Toc376295733 </w:instrText>
      </w:r>
      <w:r>
        <w:rPr>
          <w:rFonts w:hint="default" w:ascii="Times New Roman" w:hAnsi="Times New Roman" w:cs="Times New Roman"/>
          <w:color w:val="auto"/>
          <w:highlight w:val="none"/>
        </w:rPr>
        <w:fldChar w:fldCharType="separate"/>
      </w:r>
      <w:r>
        <w:rPr>
          <w:rFonts w:hint="default" w:ascii="Times New Roman" w:hAnsi="Times New Roman" w:cs="Times New Roman"/>
          <w:bCs/>
          <w:color w:val="auto"/>
          <w:szCs w:val="22"/>
          <w:highlight w:val="none"/>
        </w:rPr>
        <w:t>53. 隐蔽工程和中间验收</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_Toc376295733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132</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7B8191D6">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_Toc2119025290 </w:instrText>
      </w:r>
      <w:r>
        <w:rPr>
          <w:rFonts w:hint="default" w:ascii="Times New Roman" w:hAnsi="Times New Roman" w:cs="Times New Roman"/>
          <w:color w:val="auto"/>
          <w:highlight w:val="none"/>
        </w:rPr>
        <w:fldChar w:fldCharType="separate"/>
      </w:r>
      <w:r>
        <w:rPr>
          <w:rFonts w:hint="default" w:ascii="Times New Roman" w:hAnsi="Times New Roman" w:cs="Times New Roman"/>
          <w:bCs/>
          <w:color w:val="auto"/>
          <w:szCs w:val="22"/>
          <w:highlight w:val="none"/>
        </w:rPr>
        <w:t>55. 工程试车</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_Toc2119025290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132</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63F779B5">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_Toc1137829822 </w:instrText>
      </w:r>
      <w:r>
        <w:rPr>
          <w:rFonts w:hint="default" w:ascii="Times New Roman" w:hAnsi="Times New Roman" w:cs="Times New Roman"/>
          <w:color w:val="auto"/>
          <w:highlight w:val="none"/>
        </w:rPr>
        <w:fldChar w:fldCharType="separate"/>
      </w:r>
      <w:r>
        <w:rPr>
          <w:rFonts w:hint="default" w:ascii="Times New Roman" w:hAnsi="Times New Roman" w:cs="Times New Roman"/>
          <w:bCs/>
          <w:color w:val="auto"/>
          <w:szCs w:val="22"/>
          <w:highlight w:val="none"/>
        </w:rPr>
        <w:t>56．工程变更</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_Toc1137829822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132</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074F3230">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_Toc1188777794 </w:instrText>
      </w:r>
      <w:r>
        <w:rPr>
          <w:rFonts w:hint="default" w:ascii="Times New Roman" w:hAnsi="Times New Roman" w:cs="Times New Roman"/>
          <w:color w:val="auto"/>
          <w:highlight w:val="none"/>
        </w:rPr>
        <w:fldChar w:fldCharType="separate"/>
      </w:r>
      <w:r>
        <w:rPr>
          <w:rFonts w:hint="default" w:ascii="Times New Roman" w:hAnsi="Times New Roman" w:cs="Times New Roman"/>
          <w:bCs/>
          <w:color w:val="auto"/>
          <w:szCs w:val="22"/>
          <w:highlight w:val="none"/>
        </w:rPr>
        <w:t>★58. 竣工验收</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_Toc1188777794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132</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09153DCC">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_Toc1959714978 </w:instrText>
      </w:r>
      <w:r>
        <w:rPr>
          <w:rFonts w:hint="default" w:ascii="Times New Roman" w:hAnsi="Times New Roman" w:cs="Times New Roman"/>
          <w:color w:val="auto"/>
          <w:highlight w:val="none"/>
        </w:rPr>
        <w:fldChar w:fldCharType="separate"/>
      </w:r>
      <w:r>
        <w:rPr>
          <w:rFonts w:hint="default" w:ascii="Times New Roman" w:hAnsi="Times New Roman" w:cs="Times New Roman"/>
          <w:bCs/>
          <w:color w:val="auto"/>
          <w:szCs w:val="22"/>
          <w:highlight w:val="none"/>
        </w:rPr>
        <w:t>59. 缺陷责任与质量保修</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_Toc1959714978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133</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3BA199B1">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_Toc1536746095 </w:instrText>
      </w:r>
      <w:r>
        <w:rPr>
          <w:rFonts w:hint="default" w:ascii="Times New Roman" w:hAnsi="Times New Roman" w:cs="Times New Roman"/>
          <w:color w:val="auto"/>
          <w:highlight w:val="none"/>
        </w:rPr>
        <w:fldChar w:fldCharType="separate"/>
      </w:r>
      <w:r>
        <w:rPr>
          <w:rFonts w:hint="default" w:ascii="Times New Roman" w:hAnsi="Times New Roman" w:cs="Times New Roman"/>
          <w:bCs/>
          <w:color w:val="auto"/>
          <w:szCs w:val="22"/>
          <w:highlight w:val="none"/>
        </w:rPr>
        <w:t>61. 工程量</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_Toc1536746095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134</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67156D7E">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_Toc1925135773 </w:instrText>
      </w:r>
      <w:r>
        <w:rPr>
          <w:rFonts w:hint="default" w:ascii="Times New Roman" w:hAnsi="Times New Roman" w:cs="Times New Roman"/>
          <w:color w:val="auto"/>
          <w:highlight w:val="none"/>
        </w:rPr>
        <w:fldChar w:fldCharType="separate"/>
      </w:r>
      <w:r>
        <w:rPr>
          <w:rFonts w:hint="default" w:ascii="Times New Roman" w:hAnsi="Times New Roman" w:cs="Times New Roman"/>
          <w:bCs/>
          <w:color w:val="auto"/>
          <w:szCs w:val="22"/>
          <w:highlight w:val="none"/>
        </w:rPr>
        <w:t>★63. 暂列金额</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_Toc1925135773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134</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16A1BE88">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_Toc1777967007 </w:instrText>
      </w:r>
      <w:r>
        <w:rPr>
          <w:rFonts w:hint="default" w:ascii="Times New Roman" w:hAnsi="Times New Roman" w:cs="Times New Roman"/>
          <w:color w:val="auto"/>
          <w:highlight w:val="none"/>
        </w:rPr>
        <w:fldChar w:fldCharType="separate"/>
      </w:r>
      <w:r>
        <w:rPr>
          <w:rFonts w:hint="default" w:ascii="Times New Roman" w:hAnsi="Times New Roman" w:cs="Times New Roman"/>
          <w:bCs/>
          <w:color w:val="auto"/>
          <w:szCs w:val="22"/>
          <w:highlight w:val="none"/>
        </w:rPr>
        <w:t>★65. 暂估价</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_Toc1777967007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134</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3CCD8E0C">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_Toc488403630 </w:instrText>
      </w:r>
      <w:r>
        <w:rPr>
          <w:rFonts w:hint="default" w:ascii="Times New Roman" w:hAnsi="Times New Roman" w:cs="Times New Roman"/>
          <w:color w:val="auto"/>
          <w:highlight w:val="none"/>
        </w:rPr>
        <w:fldChar w:fldCharType="separate"/>
      </w:r>
      <w:r>
        <w:rPr>
          <w:rFonts w:hint="default" w:ascii="Times New Roman" w:hAnsi="Times New Roman" w:cs="Times New Roman"/>
          <w:bCs/>
          <w:color w:val="auto"/>
          <w:szCs w:val="22"/>
          <w:highlight w:val="none"/>
        </w:rPr>
        <w:t>★66. 提前竣工奖与误期赔偿费</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_Toc488403630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134</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1B5796D9">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_Toc459750540 </w:instrText>
      </w:r>
      <w:r>
        <w:rPr>
          <w:rFonts w:hint="default" w:ascii="Times New Roman" w:hAnsi="Times New Roman" w:cs="Times New Roman"/>
          <w:color w:val="auto"/>
          <w:highlight w:val="none"/>
        </w:rPr>
        <w:fldChar w:fldCharType="separate"/>
      </w:r>
      <w:r>
        <w:rPr>
          <w:rFonts w:hint="default" w:ascii="Times New Roman" w:hAnsi="Times New Roman" w:cs="Times New Roman"/>
          <w:bCs/>
          <w:color w:val="auto"/>
          <w:szCs w:val="22"/>
          <w:highlight w:val="none"/>
        </w:rPr>
        <w:t>★67. 工程优质费、工程建设标准费用</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_Toc459750540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135</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4E09C6A0">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_Toc1748696217 </w:instrText>
      </w:r>
      <w:r>
        <w:rPr>
          <w:rFonts w:hint="default" w:ascii="Times New Roman" w:hAnsi="Times New Roman" w:cs="Times New Roman"/>
          <w:color w:val="auto"/>
          <w:highlight w:val="none"/>
        </w:rPr>
        <w:fldChar w:fldCharType="separate"/>
      </w:r>
      <w:r>
        <w:rPr>
          <w:rFonts w:hint="default" w:ascii="Times New Roman" w:hAnsi="Times New Roman" w:cs="Times New Roman"/>
          <w:bCs/>
          <w:color w:val="auto"/>
          <w:szCs w:val="22"/>
          <w:highlight w:val="none"/>
        </w:rPr>
        <w:t>★68. 合同价款的约定与调整</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_Toc1748696217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135</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3F9FCB47">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_Toc1551650019 </w:instrText>
      </w:r>
      <w:r>
        <w:rPr>
          <w:rFonts w:hint="default" w:ascii="Times New Roman" w:hAnsi="Times New Roman" w:cs="Times New Roman"/>
          <w:color w:val="auto"/>
          <w:highlight w:val="none"/>
        </w:rPr>
        <w:fldChar w:fldCharType="separate"/>
      </w:r>
      <w:r>
        <w:rPr>
          <w:rFonts w:hint="default" w:ascii="Times New Roman" w:hAnsi="Times New Roman" w:cs="Times New Roman"/>
          <w:bCs/>
          <w:color w:val="auto"/>
          <w:szCs w:val="22"/>
          <w:highlight w:val="none"/>
        </w:rPr>
        <w:t>72. 工程变更事件</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_Toc1551650019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138</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31EAB96D">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_Toc434290840 </w:instrText>
      </w:r>
      <w:r>
        <w:rPr>
          <w:rFonts w:hint="default" w:ascii="Times New Roman" w:hAnsi="Times New Roman" w:cs="Times New Roman"/>
          <w:color w:val="auto"/>
          <w:highlight w:val="none"/>
        </w:rPr>
        <w:fldChar w:fldCharType="separate"/>
      </w:r>
      <w:r>
        <w:rPr>
          <w:rFonts w:hint="default" w:ascii="Times New Roman" w:hAnsi="Times New Roman" w:cs="Times New Roman"/>
          <w:bCs/>
          <w:color w:val="auto"/>
          <w:szCs w:val="22"/>
          <w:highlight w:val="none"/>
        </w:rPr>
        <w:t>73. 工程量偏差事件</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_Toc434290840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138</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31A54315">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_Toc165618902 </w:instrText>
      </w:r>
      <w:r>
        <w:rPr>
          <w:rFonts w:hint="default" w:ascii="Times New Roman" w:hAnsi="Times New Roman" w:cs="Times New Roman"/>
          <w:color w:val="auto"/>
          <w:highlight w:val="none"/>
        </w:rPr>
        <w:fldChar w:fldCharType="separate"/>
      </w:r>
      <w:r>
        <w:rPr>
          <w:rFonts w:hint="default" w:ascii="Times New Roman" w:hAnsi="Times New Roman" w:cs="Times New Roman"/>
          <w:bCs/>
          <w:color w:val="auto"/>
          <w:szCs w:val="22"/>
          <w:highlight w:val="none"/>
        </w:rPr>
        <w:t>75. 现场签证事件</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_Toc165618902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138</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35B19021">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_Toc812377533 </w:instrText>
      </w:r>
      <w:r>
        <w:rPr>
          <w:rFonts w:hint="default" w:ascii="Times New Roman" w:hAnsi="Times New Roman" w:cs="Times New Roman"/>
          <w:color w:val="auto"/>
          <w:highlight w:val="none"/>
        </w:rPr>
        <w:fldChar w:fldCharType="separate"/>
      </w:r>
      <w:r>
        <w:rPr>
          <w:rFonts w:hint="default" w:ascii="Times New Roman" w:hAnsi="Times New Roman" w:cs="Times New Roman"/>
          <w:bCs/>
          <w:color w:val="auto"/>
          <w:szCs w:val="22"/>
          <w:highlight w:val="none"/>
        </w:rPr>
        <w:t>★76. 物价涨落事件</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_Toc812377533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138</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5EA583F2">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_Toc2052118145 </w:instrText>
      </w:r>
      <w:r>
        <w:rPr>
          <w:rFonts w:hint="default" w:ascii="Times New Roman" w:hAnsi="Times New Roman" w:cs="Times New Roman"/>
          <w:color w:val="auto"/>
          <w:highlight w:val="none"/>
        </w:rPr>
        <w:fldChar w:fldCharType="separate"/>
      </w:r>
      <w:r>
        <w:rPr>
          <w:rFonts w:hint="default" w:ascii="Times New Roman" w:hAnsi="Times New Roman" w:cs="Times New Roman"/>
          <w:bCs/>
          <w:color w:val="auto"/>
          <w:szCs w:val="22"/>
          <w:highlight w:val="none"/>
        </w:rPr>
        <w:t>78. 支付事项</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_Toc2052118145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139</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1CC7C355">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_Toc631534168 </w:instrText>
      </w:r>
      <w:r>
        <w:rPr>
          <w:rFonts w:hint="default" w:ascii="Times New Roman" w:hAnsi="Times New Roman" w:cs="Times New Roman"/>
          <w:color w:val="auto"/>
          <w:highlight w:val="none"/>
        </w:rPr>
        <w:fldChar w:fldCharType="separate"/>
      </w:r>
      <w:r>
        <w:rPr>
          <w:rFonts w:hint="default" w:ascii="Times New Roman" w:hAnsi="Times New Roman" w:cs="Times New Roman"/>
          <w:bCs/>
          <w:color w:val="auto"/>
          <w:szCs w:val="22"/>
          <w:highlight w:val="none"/>
        </w:rPr>
        <w:t>★79. 预付款</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_Toc631534168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139</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5ADDD982">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_Toc564876332 </w:instrText>
      </w:r>
      <w:r>
        <w:rPr>
          <w:rFonts w:hint="default" w:ascii="Times New Roman" w:hAnsi="Times New Roman" w:cs="Times New Roman"/>
          <w:color w:val="auto"/>
          <w:highlight w:val="none"/>
        </w:rPr>
        <w:fldChar w:fldCharType="separate"/>
      </w:r>
      <w:r>
        <w:rPr>
          <w:rFonts w:hint="default" w:ascii="Times New Roman" w:hAnsi="Times New Roman" w:cs="Times New Roman"/>
          <w:bCs/>
          <w:color w:val="auto"/>
          <w:szCs w:val="22"/>
          <w:highlight w:val="none"/>
        </w:rPr>
        <w:t>★80. 绿色施工安全防护费</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_Toc564876332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140</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0AEE7FCF">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_Toc2093091302 </w:instrText>
      </w:r>
      <w:r>
        <w:rPr>
          <w:rFonts w:hint="default" w:ascii="Times New Roman" w:hAnsi="Times New Roman" w:cs="Times New Roman"/>
          <w:color w:val="auto"/>
          <w:highlight w:val="none"/>
        </w:rPr>
        <w:fldChar w:fldCharType="separate"/>
      </w:r>
      <w:r>
        <w:rPr>
          <w:rFonts w:hint="default" w:ascii="Times New Roman" w:hAnsi="Times New Roman" w:cs="Times New Roman"/>
          <w:bCs/>
          <w:color w:val="auto"/>
          <w:szCs w:val="22"/>
          <w:highlight w:val="none"/>
        </w:rPr>
        <w:t>★81. 进度款</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_Toc2093091302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141</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112A9FEA">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_Toc1529940559 </w:instrText>
      </w:r>
      <w:r>
        <w:rPr>
          <w:rFonts w:hint="default" w:ascii="Times New Roman" w:hAnsi="Times New Roman" w:cs="Times New Roman"/>
          <w:color w:val="auto"/>
          <w:highlight w:val="none"/>
        </w:rPr>
        <w:fldChar w:fldCharType="separate"/>
      </w:r>
      <w:r>
        <w:rPr>
          <w:rFonts w:hint="default" w:ascii="Times New Roman" w:hAnsi="Times New Roman" w:cs="Times New Roman"/>
          <w:bCs/>
          <w:color w:val="auto"/>
          <w:szCs w:val="22"/>
          <w:highlight w:val="none"/>
        </w:rPr>
        <w:t>82. 竣工结算</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_Toc1529940559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142</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54A33EF7">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_Toc1687317442 </w:instrText>
      </w:r>
      <w:r>
        <w:rPr>
          <w:rFonts w:hint="default" w:ascii="Times New Roman" w:hAnsi="Times New Roman" w:cs="Times New Roman"/>
          <w:color w:val="auto"/>
          <w:highlight w:val="none"/>
        </w:rPr>
        <w:fldChar w:fldCharType="separate"/>
      </w:r>
      <w:r>
        <w:rPr>
          <w:rFonts w:hint="default" w:ascii="Times New Roman" w:hAnsi="Times New Roman" w:cs="Times New Roman"/>
          <w:bCs/>
          <w:color w:val="auto"/>
          <w:szCs w:val="22"/>
          <w:highlight w:val="none"/>
        </w:rPr>
        <w:t>★83. 结算款</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_Toc1687317442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143</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47350044">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_Toc1514906277 </w:instrText>
      </w:r>
      <w:r>
        <w:rPr>
          <w:rFonts w:hint="default" w:ascii="Times New Roman" w:hAnsi="Times New Roman" w:cs="Times New Roman"/>
          <w:color w:val="auto"/>
          <w:highlight w:val="none"/>
        </w:rPr>
        <w:fldChar w:fldCharType="separate"/>
      </w:r>
      <w:r>
        <w:rPr>
          <w:rFonts w:hint="default" w:ascii="Times New Roman" w:hAnsi="Times New Roman" w:eastAsia="宋体" w:cs="Times New Roman"/>
          <w:color w:val="auto"/>
          <w:kern w:val="0"/>
          <w:szCs w:val="22"/>
          <w:highlight w:val="none"/>
          <w:lang w:val="en-US" w:eastAsia="zh-CN" w:bidi="ar"/>
        </w:rPr>
        <w:t>（3）实施</w:t>
      </w:r>
      <w:r>
        <w:rPr>
          <w:rFonts w:hint="default" w:ascii="Times New Roman" w:hAnsi="Times New Roman" w:eastAsia="宋体" w:cs="Times New Roman"/>
          <w:color w:val="auto"/>
          <w:kern w:val="2"/>
          <w:szCs w:val="22"/>
          <w:highlight w:val="none"/>
          <w:lang w:val="en-US" w:eastAsia="zh-CN" w:bidi="ar"/>
        </w:rPr>
        <w:t>施工过程结算</w:t>
      </w:r>
      <w:r>
        <w:rPr>
          <w:rFonts w:hint="default" w:ascii="Times New Roman" w:hAnsi="Times New Roman" w:eastAsia="宋体" w:cs="Times New Roman"/>
          <w:color w:val="auto"/>
          <w:kern w:val="0"/>
          <w:szCs w:val="22"/>
          <w:highlight w:val="none"/>
          <w:lang w:val="en-US" w:eastAsia="zh-CN" w:bidi="ar"/>
        </w:rPr>
        <w:t xml:space="preserve">的，其竣工结算支付方法：       </w:t>
      </w:r>
      <w:r>
        <w:rPr>
          <w:rFonts w:hint="default" w:ascii="Times New Roman" w:hAnsi="Times New Roman" w:cs="Times New Roman"/>
          <w:color w:val="auto"/>
          <w:kern w:val="0"/>
          <w:szCs w:val="22"/>
          <w:highlight w:val="none"/>
          <w:lang w:val="en-US" w:eastAsia="zh-CN" w:bidi="ar"/>
        </w:rPr>
        <w:t>按专用条款82.1执行</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_Toc1514906277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144</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08A73501">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_Toc1790475358 </w:instrText>
      </w:r>
      <w:r>
        <w:rPr>
          <w:rFonts w:hint="default" w:ascii="Times New Roman" w:hAnsi="Times New Roman" w:cs="Times New Roman"/>
          <w:color w:val="auto"/>
          <w:highlight w:val="none"/>
        </w:rPr>
        <w:fldChar w:fldCharType="separate"/>
      </w:r>
      <w:r>
        <w:rPr>
          <w:rFonts w:hint="default" w:ascii="Times New Roman" w:hAnsi="Times New Roman" w:cs="Times New Roman"/>
          <w:bCs/>
          <w:color w:val="auto"/>
          <w:szCs w:val="22"/>
          <w:highlight w:val="none"/>
        </w:rPr>
        <w:t>★84. 质量保证金</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_Toc1790475358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144</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0ABD33E1">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_Toc1287381810 </w:instrText>
      </w:r>
      <w:r>
        <w:rPr>
          <w:rFonts w:hint="default" w:ascii="Times New Roman" w:hAnsi="Times New Roman" w:cs="Times New Roman"/>
          <w:color w:val="auto"/>
          <w:highlight w:val="none"/>
        </w:rPr>
        <w:fldChar w:fldCharType="separate"/>
      </w:r>
      <w:r>
        <w:rPr>
          <w:rFonts w:hint="default" w:ascii="Times New Roman" w:hAnsi="Times New Roman" w:cs="Times New Roman"/>
          <w:bCs/>
          <w:color w:val="auto"/>
          <w:szCs w:val="22"/>
          <w:highlight w:val="none"/>
        </w:rPr>
        <w:t>85. 最终清算款</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_Toc1287381810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144</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757D0059">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_Toc543275588 </w:instrText>
      </w:r>
      <w:r>
        <w:rPr>
          <w:rFonts w:hint="default" w:ascii="Times New Roman" w:hAnsi="Times New Roman" w:cs="Times New Roman"/>
          <w:color w:val="auto"/>
          <w:highlight w:val="none"/>
        </w:rPr>
        <w:fldChar w:fldCharType="separate"/>
      </w:r>
      <w:r>
        <w:rPr>
          <w:rFonts w:hint="default" w:ascii="Times New Roman" w:hAnsi="Times New Roman" w:cs="Times New Roman"/>
          <w:bCs/>
          <w:color w:val="auto"/>
          <w:szCs w:val="22"/>
          <w:highlight w:val="none"/>
        </w:rPr>
        <w:t>86. 合同争议</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_Toc543275588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144</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07F62A13">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_Toc207241243 </w:instrText>
      </w:r>
      <w:r>
        <w:rPr>
          <w:rFonts w:hint="default" w:ascii="Times New Roman" w:hAnsi="Times New Roman" w:cs="Times New Roman"/>
          <w:color w:val="auto"/>
          <w:highlight w:val="none"/>
        </w:rPr>
        <w:fldChar w:fldCharType="separate"/>
      </w:r>
      <w:r>
        <w:rPr>
          <w:rFonts w:hint="default" w:ascii="Times New Roman" w:hAnsi="Times New Roman" w:cs="Times New Roman"/>
          <w:bCs/>
          <w:color w:val="auto"/>
          <w:szCs w:val="22"/>
          <w:highlight w:val="none"/>
        </w:rPr>
        <w:t>94. 保密要求</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_Toc207241243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145</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48DFF0E8">
      <w:pPr>
        <w:pStyle w:val="23"/>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_Toc565608494 </w:instrText>
      </w:r>
      <w:r>
        <w:rPr>
          <w:rFonts w:hint="default" w:ascii="Times New Roman" w:hAnsi="Times New Roman" w:cs="Times New Roman"/>
          <w:color w:val="auto"/>
          <w:highlight w:val="none"/>
        </w:rPr>
        <w:fldChar w:fldCharType="separate"/>
      </w:r>
      <w:r>
        <w:rPr>
          <w:rFonts w:hint="default" w:ascii="Times New Roman" w:hAnsi="Times New Roman" w:cs="Times New Roman"/>
          <w:bCs/>
          <w:color w:val="auto"/>
          <w:szCs w:val="22"/>
          <w:highlight w:val="none"/>
        </w:rPr>
        <w:t>97. 合同份数</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_Toc565608494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145</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2485C80E">
      <w:pPr>
        <w:pStyle w:val="21"/>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_Toc804306671 </w:instrText>
      </w:r>
      <w:r>
        <w:rPr>
          <w:rFonts w:hint="default" w:ascii="Times New Roman" w:hAnsi="Times New Roman" w:cs="Times New Roman"/>
          <w:color w:val="auto"/>
          <w:highlight w:val="none"/>
        </w:rPr>
        <w:fldChar w:fldCharType="separate"/>
      </w:r>
      <w:r>
        <w:rPr>
          <w:rFonts w:hint="default" w:ascii="Times New Roman" w:hAnsi="Times New Roman" w:eastAsia="方正黑体_GBK" w:cs="Times New Roman"/>
          <w:bCs/>
          <w:color w:val="auto"/>
          <w:highlight w:val="none"/>
        </w:rPr>
        <w:t>第四部分  附件与格式</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_Toc804306671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148</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14A4B59B">
      <w:pPr>
        <w:pStyle w:val="21"/>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_Toc299401051 </w:instrText>
      </w:r>
      <w:r>
        <w:rPr>
          <w:rFonts w:hint="default" w:ascii="Times New Roman" w:hAnsi="Times New Roman" w:cs="Times New Roman"/>
          <w:color w:val="auto"/>
          <w:highlight w:val="none"/>
        </w:rPr>
        <w:fldChar w:fldCharType="separate"/>
      </w:r>
      <w:r>
        <w:rPr>
          <w:rFonts w:hint="default" w:ascii="Times New Roman" w:hAnsi="Times New Roman" w:cs="Times New Roman"/>
          <w:bCs/>
          <w:color w:val="auto"/>
          <w:szCs w:val="22"/>
          <w:highlight w:val="none"/>
        </w:rPr>
        <w:t>附件一</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_Toc299401051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148</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29B4DE5C">
      <w:pPr>
        <w:pStyle w:val="21"/>
        <w:tabs>
          <w:tab w:val="right" w:leader="dot" w:pos="10204"/>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_Toc1792895198 </w:instrText>
      </w:r>
      <w:r>
        <w:rPr>
          <w:rFonts w:hint="default" w:ascii="Times New Roman" w:hAnsi="Times New Roman" w:cs="Times New Roman"/>
          <w:color w:val="auto"/>
          <w:highlight w:val="none"/>
        </w:rPr>
        <w:fldChar w:fldCharType="separate"/>
      </w:r>
      <w:r>
        <w:rPr>
          <w:rFonts w:hint="default" w:ascii="Times New Roman" w:hAnsi="Times New Roman" w:cs="Times New Roman"/>
          <w:bCs/>
          <w:color w:val="auto"/>
          <w:szCs w:val="22"/>
          <w:highlight w:val="none"/>
        </w:rPr>
        <w:t>附件二</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PAGEREF _Toc1792895198 \h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t>150</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fldChar w:fldCharType="end"/>
      </w:r>
    </w:p>
    <w:p w14:paraId="0E3AFB3D">
      <w:pPr>
        <w:rPr>
          <w:rFonts w:hint="default" w:ascii="Times New Roman" w:hAnsi="Times New Roman" w:cs="Times New Roman"/>
          <w:b/>
          <w:color w:val="auto"/>
          <w:highlight w:val="none"/>
        </w:rPr>
      </w:pPr>
      <w:r>
        <w:rPr>
          <w:rFonts w:hint="default" w:ascii="Times New Roman" w:hAnsi="Times New Roman" w:cs="Times New Roman"/>
          <w:color w:val="auto"/>
          <w:highlight w:val="none"/>
        </w:rPr>
        <w:fldChar w:fldCharType="end"/>
      </w:r>
    </w:p>
    <w:p w14:paraId="4549DC6D">
      <w:pPr>
        <w:pStyle w:val="66"/>
        <w:spacing w:before="0" w:after="0" w:line="420" w:lineRule="exact"/>
        <w:jc w:val="center"/>
        <w:rPr>
          <w:rFonts w:hint="default" w:ascii="Times New Roman" w:hAnsi="Times New Roman" w:eastAsia="方正黑体_GBK" w:cs="Times New Roman"/>
          <w:color w:val="auto"/>
          <w:sz w:val="28"/>
          <w:szCs w:val="28"/>
          <w:highlight w:val="none"/>
          <w:lang w:val="zh-CN"/>
        </w:rPr>
      </w:pPr>
      <w:r>
        <w:rPr>
          <w:rFonts w:hint="default" w:ascii="Times New Roman" w:hAnsi="Times New Roman" w:cs="Times New Roman"/>
          <w:b/>
          <w:color w:val="auto"/>
          <w:highlight w:val="none"/>
        </w:rPr>
        <w:br w:type="page"/>
      </w:r>
      <w:r>
        <w:rPr>
          <w:rFonts w:hint="default" w:ascii="Times New Roman" w:hAnsi="Times New Roman" w:eastAsia="方正黑体_GBK" w:cs="Times New Roman"/>
          <w:color w:val="auto"/>
          <w:sz w:val="28"/>
          <w:szCs w:val="28"/>
          <w:highlight w:val="none"/>
          <w:lang w:val="zh-CN"/>
        </w:rPr>
        <w:t>总  说  明</w:t>
      </w:r>
    </w:p>
    <w:p w14:paraId="1DCB9BE9">
      <w:pPr>
        <w:spacing w:line="420" w:lineRule="exact"/>
        <w:rPr>
          <w:rFonts w:hint="default" w:ascii="Times New Roman" w:hAnsi="Times New Roman" w:cs="Times New Roman"/>
          <w:color w:val="auto"/>
          <w:sz w:val="22"/>
          <w:szCs w:val="22"/>
          <w:highlight w:val="none"/>
          <w:lang w:val="zh-CN"/>
        </w:rPr>
      </w:pPr>
    </w:p>
    <w:p w14:paraId="2EA6DAFC">
      <w:pPr>
        <w:spacing w:line="420" w:lineRule="exact"/>
        <w:ind w:firstLine="440" w:firstLineChars="2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一、项目业主首要责任制</w:t>
      </w:r>
    </w:p>
    <w:p w14:paraId="10A55C75">
      <w:pPr>
        <w:spacing w:line="420" w:lineRule="exact"/>
        <w:ind w:firstLine="440" w:firstLineChars="2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项目业主或发包方应履行基本建设程序，按照先勘察、后设计、再施工的原则实施工程建设，及时办理各项建设工程手续，并具备法律法规规定的开工条件，在依法领取施工许可证等有关证件后再开工建设；同时需负责整个建设项目全过程的安全管理，包括对设备厂家、设计单位、监理单位、检测单位及各施工单位安全监督管理。</w:t>
      </w:r>
    </w:p>
    <w:p w14:paraId="10EB2F2C">
      <w:pPr>
        <w:spacing w:line="420" w:lineRule="exact"/>
        <w:ind w:firstLine="440" w:firstLineChars="2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二、《广州市建设工程设计-施工合同》的组成</w:t>
      </w:r>
    </w:p>
    <w:p w14:paraId="7958B010">
      <w:pPr>
        <w:spacing w:line="420" w:lineRule="exact"/>
        <w:ind w:firstLine="440" w:firstLineChars="2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《广州市建设工程设计-施工合同》由协议书、通用条款和专用条款三部分组成。</w:t>
      </w:r>
    </w:p>
    <w:p w14:paraId="71238814">
      <w:pPr>
        <w:spacing w:line="420" w:lineRule="exact"/>
        <w:ind w:firstLine="440" w:firstLineChars="2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（一）协议书</w:t>
      </w:r>
    </w:p>
    <w:p w14:paraId="2AC80399">
      <w:pPr>
        <w:spacing w:line="420" w:lineRule="exact"/>
        <w:ind w:left="147" w:leftChars="70" w:firstLine="330" w:firstLineChars="15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《广州市建设工程设计-施工合同》协议书集中约定了合同当事人基本的合同权利义务。</w:t>
      </w:r>
    </w:p>
    <w:p w14:paraId="7651F043">
      <w:pPr>
        <w:spacing w:line="420" w:lineRule="exact"/>
        <w:ind w:firstLine="440" w:firstLineChars="2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（二）通用条款</w:t>
      </w:r>
    </w:p>
    <w:p w14:paraId="4FF16B7C">
      <w:pPr>
        <w:spacing w:line="420" w:lineRule="exact"/>
        <w:ind w:firstLine="440" w:firstLineChars="2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通用条款是合同当事人根据《中华人民共和国民法典</w:t>
      </w:r>
      <w:r>
        <w:rPr>
          <w:rFonts w:hint="default" w:ascii="Times New Roman" w:hAnsi="Times New Roman" w:cs="Times New Roman"/>
          <w:color w:val="auto"/>
          <w:sz w:val="22"/>
          <w:szCs w:val="22"/>
          <w:highlight w:val="none"/>
          <w:lang w:eastAsia="zh-CN"/>
        </w:rPr>
        <w:t>》《</w:t>
      </w:r>
      <w:r>
        <w:rPr>
          <w:rFonts w:hint="default" w:ascii="Times New Roman" w:hAnsi="Times New Roman" w:cs="Times New Roman"/>
          <w:color w:val="auto"/>
          <w:sz w:val="22"/>
          <w:szCs w:val="22"/>
          <w:highlight w:val="none"/>
        </w:rPr>
        <w:t>中华人民共和国建筑法》等法律法规的规定，就工程施工的实施及相关事项，对合同当事人的权利义务作出的原则性约定。</w:t>
      </w:r>
    </w:p>
    <w:p w14:paraId="3708EF5F">
      <w:pPr>
        <w:spacing w:line="420" w:lineRule="exact"/>
        <w:ind w:firstLine="440" w:firstLineChars="2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通用条款既考虑了现行法律法规对工程发承包计价的有关要求，也考虑了工程施工管理的特殊需要。</w:t>
      </w:r>
    </w:p>
    <w:p w14:paraId="2E017EBE">
      <w:pPr>
        <w:spacing w:line="420" w:lineRule="exact"/>
        <w:ind w:firstLine="440" w:firstLineChars="2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（三）专用条款</w:t>
      </w:r>
    </w:p>
    <w:p w14:paraId="7192CA6B">
      <w:pPr>
        <w:spacing w:line="420" w:lineRule="exact"/>
        <w:ind w:firstLine="440" w:firstLineChars="2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专用条款是对通用条款原则性约定的细化、完善、补充、修改或另行约定的条款。合同当事人可以根据不同建设工程的特点及发承包计价的具体情况，通过双方的谈判、协商对相应的专用条款进行修改补充。在使用专用条款时，应注意以下事项：</w:t>
      </w:r>
    </w:p>
    <w:p w14:paraId="2F50C963">
      <w:pPr>
        <w:spacing w:line="420" w:lineRule="exact"/>
        <w:ind w:right="25" w:rightChars="12" w:firstLine="440" w:firstLineChars="2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1.专用条款的编号应与相应的通用条款的编号一致；</w:t>
      </w:r>
    </w:p>
    <w:p w14:paraId="0506BC61">
      <w:pPr>
        <w:spacing w:line="420" w:lineRule="exact"/>
        <w:ind w:firstLine="440" w:firstLineChars="2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2.合同当事人可以通过对专用条款的修改，满足具体工程的特殊要求，避免直接修改通用条款；</w:t>
      </w:r>
    </w:p>
    <w:p w14:paraId="76BE27B1">
      <w:pPr>
        <w:spacing w:line="420" w:lineRule="exact"/>
        <w:ind w:firstLine="440" w:firstLineChars="2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3.在专用条款中有横道线的地方，合同当事人可针对相应的通用条款进行细化、完善、补充、修改或另行约定；如无细化、完善、补充、修改或另行约定，则填写“无”或划“/”。</w:t>
      </w:r>
    </w:p>
    <w:p w14:paraId="1FCA8C83">
      <w:pPr>
        <w:spacing w:line="420" w:lineRule="exact"/>
        <w:ind w:firstLine="440" w:firstLineChars="200"/>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w:t>三、《广州市建设工程设计-施工合同》的适用范围</w:t>
      </w:r>
    </w:p>
    <w:p w14:paraId="2CF4297F">
      <w:pPr>
        <w:spacing w:line="420" w:lineRule="exact"/>
        <w:ind w:firstLine="440" w:firstLineChars="2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《广州市建设工程设计</w:t>
      </w:r>
      <w:r>
        <w:rPr>
          <w:rFonts w:hint="default" w:ascii="Times New Roman" w:hAnsi="Times New Roman" w:cs="Times New Roman"/>
          <w:color w:val="auto"/>
          <w:sz w:val="22"/>
          <w:szCs w:val="22"/>
          <w:highlight w:val="none"/>
          <w:lang w:eastAsia="zh-CN"/>
        </w:rPr>
        <w:t>－</w:t>
      </w:r>
      <w:r>
        <w:rPr>
          <w:rFonts w:hint="default" w:ascii="Times New Roman" w:hAnsi="Times New Roman" w:cs="Times New Roman"/>
          <w:color w:val="auto"/>
          <w:sz w:val="22"/>
          <w:szCs w:val="22"/>
          <w:highlight w:val="none"/>
        </w:rPr>
        <w:t>施工合同》适用于广州市行政区域内建设工程的新建、扩建、改建、装修、修缮等施工项目的合同订立。其中，通用条款中带</w:t>
      </w:r>
      <w:r>
        <w:rPr>
          <w:rFonts w:hint="default" w:ascii="Times New Roman" w:hAnsi="Times New Roman" w:cs="Times New Roman"/>
          <w:b/>
          <w:bCs/>
          <w:color w:val="auto"/>
          <w:sz w:val="22"/>
          <w:szCs w:val="22"/>
          <w:highlight w:val="none"/>
        </w:rPr>
        <w:t>★</w:t>
      </w:r>
      <w:r>
        <w:rPr>
          <w:rFonts w:hint="default" w:ascii="Times New Roman" w:hAnsi="Times New Roman" w:cs="Times New Roman"/>
          <w:color w:val="auto"/>
          <w:sz w:val="22"/>
          <w:szCs w:val="22"/>
          <w:highlight w:val="none"/>
        </w:rPr>
        <w:t>号的条文，其内容是完整不可分割的，与法律、法规、规范有关联的条款，原则上应不进行删减，只能在专用条款中根据实际情况选择或在不违反原条款实质的前提下增加细化内容。其他内容合同当事人可结合建设工程具体情况，按照法律法规规定，根据《广州市建设工程设计</w:t>
      </w:r>
      <w:r>
        <w:rPr>
          <w:rFonts w:hint="default" w:ascii="Times New Roman" w:hAnsi="Times New Roman" w:cs="Times New Roman"/>
          <w:color w:val="auto"/>
          <w:sz w:val="22"/>
          <w:szCs w:val="22"/>
          <w:highlight w:val="none"/>
          <w:lang w:eastAsia="zh-CN"/>
        </w:rPr>
        <w:t>－</w:t>
      </w:r>
      <w:r>
        <w:rPr>
          <w:rFonts w:hint="default" w:ascii="Times New Roman" w:hAnsi="Times New Roman" w:cs="Times New Roman"/>
          <w:color w:val="auto"/>
          <w:sz w:val="22"/>
          <w:szCs w:val="22"/>
          <w:highlight w:val="none"/>
        </w:rPr>
        <w:t>施工合同》的内容，约定双方具体的权利义务。</w:t>
      </w:r>
    </w:p>
    <w:p w14:paraId="2D4683BE">
      <w:pPr>
        <w:spacing w:line="420" w:lineRule="exact"/>
        <w:ind w:firstLine="565" w:firstLineChars="257"/>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四、其他事项</w:t>
      </w:r>
    </w:p>
    <w:p w14:paraId="23F719F8">
      <w:pPr>
        <w:spacing w:line="420" w:lineRule="exact"/>
        <w:ind w:firstLine="565" w:firstLineChars="257"/>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《广州市建设工程设计</w:t>
      </w:r>
      <w:r>
        <w:rPr>
          <w:rFonts w:hint="default" w:ascii="Times New Roman" w:hAnsi="Times New Roman" w:cs="Times New Roman"/>
          <w:color w:val="auto"/>
          <w:sz w:val="22"/>
          <w:szCs w:val="22"/>
          <w:highlight w:val="none"/>
          <w:lang w:eastAsia="zh-CN"/>
        </w:rPr>
        <w:t>－</w:t>
      </w:r>
      <w:r>
        <w:rPr>
          <w:rFonts w:hint="default" w:ascii="Times New Roman" w:hAnsi="Times New Roman" w:cs="Times New Roman"/>
          <w:color w:val="auto"/>
          <w:sz w:val="22"/>
          <w:szCs w:val="22"/>
          <w:highlight w:val="none"/>
        </w:rPr>
        <w:t>施工合同》专用条款中的“预付款</w:t>
      </w:r>
      <w:r>
        <w:rPr>
          <w:rFonts w:hint="default" w:ascii="Times New Roman" w:hAnsi="Times New Roman" w:cs="Times New Roman"/>
          <w:color w:val="auto"/>
          <w:sz w:val="22"/>
          <w:szCs w:val="22"/>
          <w:highlight w:val="none"/>
          <w:lang w:eastAsia="zh-CN"/>
        </w:rPr>
        <w:t>”“</w:t>
      </w:r>
      <w:r>
        <w:rPr>
          <w:rFonts w:hint="default" w:ascii="Times New Roman" w:hAnsi="Times New Roman" w:cs="Times New Roman"/>
          <w:color w:val="auto"/>
          <w:sz w:val="22"/>
          <w:szCs w:val="22"/>
          <w:highlight w:val="none"/>
        </w:rPr>
        <w:t>进度款</w:t>
      </w:r>
      <w:r>
        <w:rPr>
          <w:rFonts w:hint="default" w:ascii="Times New Roman" w:hAnsi="Times New Roman" w:cs="Times New Roman"/>
          <w:color w:val="auto"/>
          <w:sz w:val="22"/>
          <w:szCs w:val="22"/>
          <w:highlight w:val="none"/>
          <w:lang w:eastAsia="zh-CN"/>
        </w:rPr>
        <w:t>”“</w:t>
      </w:r>
      <w:r>
        <w:rPr>
          <w:rFonts w:hint="default" w:ascii="Times New Roman" w:hAnsi="Times New Roman" w:cs="Times New Roman"/>
          <w:color w:val="auto"/>
          <w:sz w:val="22"/>
          <w:szCs w:val="22"/>
          <w:highlight w:val="none"/>
        </w:rPr>
        <w:t>竣工结算”条款，在签订合同时优先选择本合同中已列的支付条件、支付方式，如选择“其它方式”或“另作约定”形式的，需以合同附件的形式予以说明原因。</w:t>
      </w:r>
    </w:p>
    <w:p w14:paraId="221B0462">
      <w:pPr>
        <w:widowControl/>
        <w:spacing w:beforeAutospacing="1" w:afterAutospacing="1" w:line="420" w:lineRule="exact"/>
        <w:jc w:val="left"/>
        <w:rPr>
          <w:rFonts w:hint="default" w:ascii="Times New Roman" w:hAnsi="Times New Roman" w:cs="Times New Roman"/>
          <w:color w:val="auto"/>
          <w:kern w:val="0"/>
          <w:sz w:val="22"/>
          <w:szCs w:val="22"/>
          <w:highlight w:val="none"/>
        </w:rPr>
        <w:sectPr>
          <w:footerReference r:id="rId16" w:type="default"/>
          <w:endnotePr>
            <w:numFmt w:val="decimal"/>
          </w:endnotePr>
          <w:pgSz w:w="11906" w:h="16838"/>
          <w:pgMar w:top="1191" w:right="851" w:bottom="794" w:left="851" w:header="0" w:footer="454" w:gutter="0"/>
          <w:pgNumType w:fmt="decimal"/>
          <w:cols w:space="720" w:num="1"/>
          <w:titlePg/>
          <w:docGrid w:linePitch="286" w:charSpace="0"/>
        </w:sectPr>
      </w:pPr>
    </w:p>
    <w:p w14:paraId="0F0CA738">
      <w:pPr>
        <w:spacing w:line="420" w:lineRule="exact"/>
        <w:jc w:val="center"/>
        <w:outlineLvl w:val="0"/>
        <w:rPr>
          <w:rFonts w:hint="default" w:ascii="Times New Roman" w:hAnsi="Times New Roman" w:eastAsia="方正黑体_GBK" w:cs="Times New Roman"/>
          <w:b/>
          <w:bCs/>
          <w:color w:val="auto"/>
          <w:sz w:val="28"/>
          <w:szCs w:val="28"/>
          <w:highlight w:val="none"/>
        </w:rPr>
      </w:pPr>
      <w:bookmarkStart w:id="33" w:name="_Toc2071359567"/>
      <w:r>
        <w:rPr>
          <w:rFonts w:hint="default" w:ascii="Times New Roman" w:hAnsi="Times New Roman" w:eastAsia="方正黑体_GBK" w:cs="Times New Roman"/>
          <w:b/>
          <w:bCs/>
          <w:color w:val="auto"/>
          <w:sz w:val="28"/>
          <w:szCs w:val="28"/>
          <w:highlight w:val="none"/>
        </w:rPr>
        <w:t>第一部分  协  议  书</w:t>
      </w:r>
      <w:bookmarkEnd w:id="31"/>
      <w:bookmarkEnd w:id="32"/>
      <w:bookmarkEnd w:id="33"/>
    </w:p>
    <w:p w14:paraId="3EF13929">
      <w:pPr>
        <w:spacing w:line="420" w:lineRule="exact"/>
        <w:jc w:val="center"/>
        <w:rPr>
          <w:rFonts w:hint="default" w:ascii="Times New Roman" w:hAnsi="Times New Roman" w:cs="Times New Roman"/>
          <w:color w:val="auto"/>
          <w:sz w:val="22"/>
          <w:szCs w:val="22"/>
          <w:highlight w:val="none"/>
        </w:rPr>
      </w:pPr>
    </w:p>
    <w:p w14:paraId="35623D19">
      <w:pPr>
        <w:spacing w:line="420" w:lineRule="exact"/>
        <w:jc w:val="center"/>
        <w:rPr>
          <w:rFonts w:hint="default" w:ascii="Times New Roman" w:hAnsi="Times New Roman" w:cs="Times New Roman"/>
          <w:color w:val="auto"/>
          <w:sz w:val="22"/>
          <w:szCs w:val="22"/>
          <w:highlight w:val="none"/>
        </w:rPr>
      </w:pPr>
    </w:p>
    <w:p w14:paraId="6436F4C4">
      <w:pPr>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发包人</w:t>
      </w:r>
      <w:r>
        <w:rPr>
          <w:rFonts w:hint="default" w:ascii="Times New Roman" w:hAnsi="Times New Roman" w:cs="Times New Roman"/>
          <w:color w:val="auto"/>
          <w:sz w:val="22"/>
          <w:szCs w:val="22"/>
          <w:highlight w:val="none"/>
          <w:lang w:eastAsia="zh-CN"/>
        </w:rPr>
        <w:t>：</w:t>
      </w:r>
      <w:r>
        <w:rPr>
          <w:rFonts w:hint="default" w:ascii="Times New Roman" w:hAnsi="Times New Roman" w:cs="Times New Roman"/>
          <w:color w:val="auto"/>
          <w:sz w:val="22"/>
          <w:szCs w:val="22"/>
          <w:highlight w:val="none"/>
        </w:rPr>
        <w:t>（全称）</w:t>
      </w:r>
      <w:r>
        <w:rPr>
          <w:rFonts w:hint="default" w:ascii="Times New Roman" w:hAnsi="Times New Roman" w:cs="Times New Roman"/>
          <w:color w:val="auto"/>
          <w:sz w:val="22"/>
          <w:szCs w:val="22"/>
          <w:highlight w:val="none"/>
          <w:u w:val="single"/>
          <w:lang w:val="en-US" w:eastAsia="zh-CN"/>
        </w:rPr>
        <w:t xml:space="preserve">                                </w:t>
      </w:r>
      <w:r>
        <w:rPr>
          <w:rFonts w:hint="default" w:ascii="Times New Roman" w:hAnsi="Times New Roman" w:cs="Times New Roman"/>
          <w:color w:val="auto"/>
          <w:sz w:val="22"/>
          <w:szCs w:val="22"/>
          <w:highlight w:val="none"/>
          <w:u w:val="single"/>
        </w:rPr>
        <w:t xml:space="preserve">                            </w:t>
      </w:r>
    </w:p>
    <w:p w14:paraId="5B563388">
      <w:pPr>
        <w:spacing w:line="420" w:lineRule="exact"/>
        <w:rPr>
          <w:rFonts w:hint="default" w:ascii="Times New Roman" w:hAnsi="Times New Roman" w:cs="Times New Roman"/>
          <w:color w:val="auto"/>
          <w:sz w:val="22"/>
          <w:szCs w:val="22"/>
          <w:highlight w:val="none"/>
          <w:u w:val="single"/>
        </w:rPr>
      </w:pPr>
      <w:r>
        <w:rPr>
          <w:rFonts w:hint="default" w:ascii="Times New Roman" w:hAnsi="Times New Roman" w:cs="Times New Roman"/>
          <w:color w:val="auto"/>
          <w:sz w:val="22"/>
          <w:szCs w:val="22"/>
          <w:highlight w:val="none"/>
        </w:rPr>
        <w:t>承包人</w:t>
      </w:r>
      <w:r>
        <w:rPr>
          <w:rFonts w:hint="default" w:ascii="Times New Roman" w:hAnsi="Times New Roman" w:cs="Times New Roman"/>
          <w:color w:val="auto"/>
          <w:sz w:val="22"/>
          <w:szCs w:val="22"/>
          <w:highlight w:val="none"/>
          <w:lang w:eastAsia="zh-CN"/>
        </w:rPr>
        <w:t>：</w:t>
      </w:r>
      <w:r>
        <w:rPr>
          <w:rFonts w:hint="default" w:ascii="Times New Roman" w:hAnsi="Times New Roman" w:cs="Times New Roman"/>
          <w:color w:val="auto"/>
          <w:sz w:val="22"/>
          <w:szCs w:val="22"/>
          <w:highlight w:val="none"/>
        </w:rPr>
        <w:t>（全称）</w:t>
      </w:r>
      <w:r>
        <w:rPr>
          <w:rFonts w:hint="default" w:ascii="Times New Roman" w:hAnsi="Times New Roman" w:cs="Times New Roman"/>
          <w:color w:val="auto"/>
          <w:sz w:val="22"/>
          <w:szCs w:val="22"/>
          <w:highlight w:val="none"/>
          <w:u w:val="single"/>
          <w:lang w:val="en-US" w:eastAsia="zh-CN"/>
        </w:rPr>
        <w:t xml:space="preserve">                                </w:t>
      </w:r>
      <w:r>
        <w:rPr>
          <w:rFonts w:hint="default" w:ascii="Times New Roman" w:hAnsi="Times New Roman" w:cs="Times New Roman"/>
          <w:color w:val="auto"/>
          <w:sz w:val="22"/>
          <w:szCs w:val="22"/>
          <w:highlight w:val="none"/>
          <w:u w:val="single"/>
        </w:rPr>
        <w:t xml:space="preserve">                            </w:t>
      </w:r>
    </w:p>
    <w:p w14:paraId="71424F2F">
      <w:pPr>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 xml:space="preserve">    </w:t>
      </w:r>
    </w:p>
    <w:p w14:paraId="39F552D4">
      <w:pPr>
        <w:keepNext w:val="0"/>
        <w:keepLines w:val="0"/>
        <w:pageBreakBefore w:val="0"/>
        <w:widowControl w:val="0"/>
        <w:kinsoku/>
        <w:wordWrap/>
        <w:overflowPunct/>
        <w:topLinePunct w:val="0"/>
        <w:autoSpaceDE/>
        <w:autoSpaceDN/>
        <w:bidi w:val="0"/>
        <w:adjustRightInd/>
        <w:snapToGrid/>
        <w:spacing w:line="420" w:lineRule="exact"/>
        <w:ind w:firstLine="440" w:firstLineChars="200"/>
        <w:textAlignment w:val="auto"/>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依照《中华人民共和国民法典</w:t>
      </w:r>
      <w:r>
        <w:rPr>
          <w:rFonts w:hint="default" w:ascii="Times New Roman" w:hAnsi="Times New Roman" w:cs="Times New Roman"/>
          <w:color w:val="auto"/>
          <w:sz w:val="22"/>
          <w:szCs w:val="22"/>
          <w:highlight w:val="none"/>
          <w:lang w:eastAsia="zh-CN"/>
        </w:rPr>
        <w:t>》《</w:t>
      </w:r>
      <w:r>
        <w:rPr>
          <w:rFonts w:hint="default" w:ascii="Times New Roman" w:hAnsi="Times New Roman" w:cs="Times New Roman"/>
          <w:color w:val="auto"/>
          <w:sz w:val="22"/>
          <w:szCs w:val="22"/>
          <w:highlight w:val="none"/>
        </w:rPr>
        <w:t>中华人民共和国建筑法》及其他有关法律法规，遵循平等、自愿、公平和诚实信用的原则，双方就合同工程施工有关事项达成一致意见，订立本合同。</w:t>
      </w:r>
    </w:p>
    <w:p w14:paraId="518E29DF">
      <w:pPr>
        <w:spacing w:line="420" w:lineRule="exact"/>
        <w:rPr>
          <w:rFonts w:hint="default" w:ascii="Times New Roman" w:hAnsi="Times New Roman" w:cs="Times New Roman"/>
          <w:color w:val="auto"/>
          <w:sz w:val="24"/>
          <w:szCs w:val="24"/>
          <w:highlight w:val="none"/>
        </w:rPr>
      </w:pPr>
    </w:p>
    <w:p w14:paraId="03E6968D">
      <w:pPr>
        <w:spacing w:line="420" w:lineRule="exact"/>
        <w:outlineLvl w:val="1"/>
        <w:rPr>
          <w:rFonts w:hint="default" w:ascii="Times New Roman" w:hAnsi="Times New Roman" w:eastAsia="方正小标宋_GBK" w:cs="Times New Roman"/>
          <w:b/>
          <w:bCs/>
          <w:color w:val="auto"/>
          <w:sz w:val="24"/>
          <w:szCs w:val="24"/>
          <w:highlight w:val="none"/>
        </w:rPr>
      </w:pPr>
      <w:bookmarkStart w:id="34" w:name="_Toc469383968"/>
      <w:bookmarkStart w:id="35" w:name="_Toc266892752"/>
      <w:bookmarkStart w:id="36" w:name="_Toc2125045988"/>
      <w:bookmarkStart w:id="37" w:name="_Toc9338"/>
      <w:r>
        <w:rPr>
          <w:rFonts w:hint="default" w:ascii="Times New Roman" w:hAnsi="Times New Roman" w:eastAsia="方正小标宋_GBK" w:cs="Times New Roman"/>
          <w:b/>
          <w:bCs/>
          <w:color w:val="auto"/>
          <w:sz w:val="24"/>
          <w:szCs w:val="24"/>
          <w:highlight w:val="none"/>
        </w:rPr>
        <w:t>一、工程概况</w:t>
      </w:r>
      <w:bookmarkEnd w:id="34"/>
      <w:bookmarkEnd w:id="35"/>
      <w:bookmarkEnd w:id="36"/>
      <w:bookmarkEnd w:id="37"/>
    </w:p>
    <w:p w14:paraId="40EDF096">
      <w:pPr>
        <w:spacing w:line="360" w:lineRule="auto"/>
        <w:ind w:firstLine="440" w:firstLineChars="200"/>
        <w:jc w:val="left"/>
        <w:rPr>
          <w:rFonts w:hint="default" w:ascii="Times New Roman" w:hAnsi="Times New Roman" w:cs="Times New Roman"/>
          <w:color w:val="auto"/>
          <w:sz w:val="22"/>
          <w:szCs w:val="22"/>
          <w:highlight w:val="none"/>
        </w:rPr>
      </w:pPr>
    </w:p>
    <w:p w14:paraId="2BACA3F8">
      <w:pPr>
        <w:spacing w:line="360" w:lineRule="auto"/>
        <w:ind w:firstLine="440" w:firstLineChars="200"/>
        <w:jc w:val="lef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立项批文编号或广东省企业基本建设投资项目备案证备案项目编号：</w:t>
      </w:r>
      <w:r>
        <w:rPr>
          <w:rFonts w:hint="default" w:ascii="Times New Roman" w:hAnsi="Times New Roman" w:cs="Times New Roman"/>
          <w:color w:val="auto"/>
          <w:sz w:val="22"/>
          <w:szCs w:val="22"/>
          <w:highlight w:val="none"/>
          <w:u w:val="single"/>
          <w:lang w:val="en-US" w:eastAsia="zh-CN"/>
        </w:rPr>
        <w:t xml:space="preserve">                         </w:t>
      </w:r>
    </w:p>
    <w:p w14:paraId="491E5118">
      <w:pPr>
        <w:spacing w:line="360" w:lineRule="auto"/>
        <w:ind w:firstLine="440" w:firstLineChars="200"/>
        <w:jc w:val="left"/>
        <w:rPr>
          <w:rFonts w:hint="default" w:ascii="Times New Roman" w:hAnsi="Times New Roman" w:cs="Times New Roman"/>
          <w:color w:val="auto"/>
          <w:highlight w:val="none"/>
          <w:u w:val="single"/>
          <w:lang w:val="en-US" w:eastAsia="zh-CN"/>
        </w:rPr>
      </w:pPr>
      <w:r>
        <w:rPr>
          <w:rFonts w:hint="default" w:ascii="Times New Roman" w:hAnsi="Times New Roman" w:cs="Times New Roman"/>
          <w:color w:val="auto"/>
          <w:sz w:val="22"/>
          <w:szCs w:val="22"/>
          <w:highlight w:val="none"/>
        </w:rPr>
        <w:t>项目名称：</w:t>
      </w:r>
      <w:r>
        <w:rPr>
          <w:rFonts w:hint="default" w:ascii="Times New Roman" w:hAnsi="Times New Roman" w:cs="Times New Roman"/>
          <w:color w:val="auto"/>
          <w:highlight w:val="none"/>
          <w:u w:val="single"/>
          <w:lang w:val="en-US" w:eastAsia="zh-CN"/>
        </w:rPr>
        <w:t xml:space="preserve">                                                                     </w:t>
      </w:r>
    </w:p>
    <w:p w14:paraId="62C9C53A">
      <w:pPr>
        <w:spacing w:line="360" w:lineRule="auto"/>
        <w:ind w:firstLine="440" w:firstLineChars="200"/>
        <w:jc w:val="left"/>
        <w:rPr>
          <w:rFonts w:hint="default" w:ascii="Times New Roman" w:hAnsi="Times New Roman" w:cs="Times New Roman"/>
          <w:color w:val="auto"/>
          <w:sz w:val="22"/>
          <w:szCs w:val="22"/>
          <w:highlight w:val="none"/>
          <w:u w:val="single"/>
        </w:rPr>
      </w:pPr>
      <w:r>
        <w:rPr>
          <w:rFonts w:hint="default" w:ascii="Times New Roman" w:hAnsi="Times New Roman" w:cs="Times New Roman"/>
          <w:color w:val="auto"/>
          <w:sz w:val="22"/>
          <w:szCs w:val="22"/>
          <w:highlight w:val="none"/>
        </w:rPr>
        <w:t>合同类型：</w:t>
      </w:r>
      <w:r>
        <w:rPr>
          <w:rFonts w:hint="default" w:ascii="Times New Roman" w:hAnsi="Times New Roman" w:cs="Times New Roman"/>
          <w:color w:val="auto"/>
          <w:sz w:val="22"/>
          <w:szCs w:val="22"/>
          <w:highlight w:val="none"/>
          <w:lang w:eastAsia="zh-CN"/>
        </w:rPr>
        <w:t>□</w:t>
      </w:r>
      <w:r>
        <w:rPr>
          <w:rFonts w:hint="default" w:ascii="Times New Roman" w:hAnsi="Times New Roman" w:cs="Times New Roman"/>
          <w:color w:val="auto"/>
          <w:sz w:val="22"/>
          <w:szCs w:val="22"/>
          <w:highlight w:val="none"/>
        </w:rPr>
        <w:t>总承包施工合同   □专业分包施工合同   □</w:t>
      </w:r>
      <w:r>
        <w:rPr>
          <w:rFonts w:hint="default" w:ascii="Times New Roman" w:hAnsi="Times New Roman" w:cs="Times New Roman"/>
          <w:color w:val="auto"/>
          <w:sz w:val="22"/>
          <w:szCs w:val="22"/>
          <w:highlight w:val="none"/>
          <w:lang w:eastAsia="zh-CN"/>
        </w:rPr>
        <w:t>其他</w:t>
      </w:r>
      <w:r>
        <w:rPr>
          <w:rFonts w:hint="default" w:ascii="Times New Roman" w:hAnsi="Times New Roman" w:cs="Times New Roman"/>
          <w:color w:val="auto"/>
          <w:sz w:val="22"/>
          <w:szCs w:val="22"/>
          <w:highlight w:val="none"/>
        </w:rPr>
        <w:t>：</w:t>
      </w:r>
    </w:p>
    <w:p w14:paraId="1B8C9313">
      <w:pPr>
        <w:spacing w:line="360" w:lineRule="auto"/>
        <w:ind w:firstLine="440" w:firstLineChars="200"/>
        <w:jc w:val="left"/>
        <w:rPr>
          <w:rFonts w:hint="default" w:ascii="Times New Roman" w:hAnsi="Times New Roman" w:cs="Times New Roman"/>
          <w:color w:val="auto"/>
          <w:sz w:val="22"/>
          <w:szCs w:val="22"/>
          <w:highlight w:val="none"/>
          <w:u w:val="single"/>
        </w:rPr>
      </w:pPr>
      <w:r>
        <w:rPr>
          <w:rFonts w:hint="default" w:ascii="Times New Roman" w:hAnsi="Times New Roman" w:cs="Times New Roman"/>
          <w:color w:val="auto"/>
          <w:sz w:val="22"/>
          <w:szCs w:val="22"/>
          <w:highlight w:val="none"/>
        </w:rPr>
        <w:t>工程规模：</w:t>
      </w:r>
      <w:r>
        <w:rPr>
          <w:rFonts w:hint="default" w:ascii="Times New Roman" w:hAnsi="Times New Roman" w:cs="Times New Roman"/>
          <w:color w:val="auto"/>
          <w:highlight w:val="none"/>
          <w:u w:val="single"/>
          <w:lang w:val="en-US" w:eastAsia="zh-CN"/>
        </w:rPr>
        <w:t xml:space="preserve">                                                                     </w:t>
      </w:r>
    </w:p>
    <w:p w14:paraId="139AED76">
      <w:pPr>
        <w:spacing w:line="360" w:lineRule="auto"/>
        <w:ind w:firstLine="440" w:firstLineChars="200"/>
        <w:jc w:val="left"/>
        <w:rPr>
          <w:rFonts w:hint="default" w:ascii="Times New Roman" w:hAnsi="Times New Roman" w:cs="Times New Roman"/>
          <w:color w:val="auto"/>
          <w:sz w:val="22"/>
          <w:szCs w:val="22"/>
          <w:highlight w:val="none"/>
          <w:u w:val="single"/>
        </w:rPr>
      </w:pPr>
      <w:r>
        <w:rPr>
          <w:rFonts w:hint="default" w:ascii="Times New Roman" w:hAnsi="Times New Roman" w:cs="Times New Roman"/>
          <w:color w:val="auto"/>
          <w:sz w:val="22"/>
          <w:szCs w:val="22"/>
          <w:highlight w:val="none"/>
        </w:rPr>
        <w:t>结构形式：</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u w:val="single"/>
          <w:lang w:val="en-US" w:eastAsia="zh-CN"/>
        </w:rPr>
        <w:t xml:space="preserve">                                                               </w:t>
      </w:r>
      <w:r>
        <w:rPr>
          <w:rFonts w:hint="default" w:ascii="Times New Roman" w:hAnsi="Times New Roman" w:cs="Times New Roman"/>
          <w:color w:val="auto"/>
          <w:sz w:val="22"/>
          <w:szCs w:val="22"/>
          <w:highlight w:val="none"/>
          <w:u w:val="single"/>
        </w:rPr>
        <w:t xml:space="preserve">  </w:t>
      </w:r>
    </w:p>
    <w:p w14:paraId="7A6BF593">
      <w:pPr>
        <w:spacing w:line="360" w:lineRule="auto"/>
        <w:ind w:firstLine="440" w:firstLineChars="200"/>
        <w:jc w:val="left"/>
        <w:rPr>
          <w:rFonts w:hint="default" w:ascii="Times New Roman" w:hAnsi="Times New Roman" w:cs="Times New Roman"/>
          <w:color w:val="auto"/>
          <w:sz w:val="22"/>
          <w:szCs w:val="22"/>
          <w:highlight w:val="none"/>
          <w:u w:val="single"/>
        </w:rPr>
      </w:pPr>
      <w:r>
        <w:rPr>
          <w:rFonts w:hint="default" w:ascii="Times New Roman" w:hAnsi="Times New Roman" w:cs="Times New Roman"/>
          <w:color w:val="auto"/>
          <w:sz w:val="22"/>
          <w:szCs w:val="22"/>
          <w:highlight w:val="none"/>
        </w:rPr>
        <w:t>资金来源：</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u w:val="single"/>
          <w:lang w:val="en-US" w:eastAsia="zh-CN"/>
        </w:rPr>
        <w:t xml:space="preserve">                                                             </w:t>
      </w:r>
      <w:r>
        <w:rPr>
          <w:rFonts w:hint="default" w:ascii="Times New Roman" w:hAnsi="Times New Roman" w:cs="Times New Roman"/>
          <w:color w:val="auto"/>
          <w:sz w:val="22"/>
          <w:szCs w:val="22"/>
          <w:highlight w:val="none"/>
          <w:u w:val="single"/>
        </w:rPr>
        <w:t xml:space="preserve">  </w:t>
      </w:r>
    </w:p>
    <w:p w14:paraId="0265C901">
      <w:pPr>
        <w:spacing w:line="360" w:lineRule="auto"/>
        <w:ind w:firstLine="420" w:firstLineChars="0"/>
        <w:jc w:val="left"/>
        <w:rPr>
          <w:rFonts w:hint="default" w:ascii="Times New Roman" w:hAnsi="Times New Roman" w:cs="Times New Roman"/>
          <w:color w:val="auto"/>
          <w:sz w:val="22"/>
          <w:szCs w:val="22"/>
          <w:highlight w:val="none"/>
        </w:rPr>
      </w:pPr>
      <w:r>
        <w:rPr>
          <w:rFonts w:hint="default" w:ascii="Times New Roman" w:hAnsi="Times New Roman" w:cs="Times New Roman"/>
          <w:color w:val="auto"/>
          <w:spacing w:val="220"/>
          <w:kern w:val="0"/>
          <w:sz w:val="22"/>
          <w:szCs w:val="22"/>
          <w:highlight w:val="none"/>
          <w:fitText w:val="880" w:id="1221662620"/>
        </w:rPr>
        <w:t>其</w:t>
      </w:r>
      <w:r>
        <w:rPr>
          <w:rFonts w:hint="default" w:ascii="Times New Roman" w:hAnsi="Times New Roman" w:cs="Times New Roman"/>
          <w:color w:val="auto"/>
          <w:spacing w:val="0"/>
          <w:kern w:val="0"/>
          <w:sz w:val="22"/>
          <w:szCs w:val="22"/>
          <w:highlight w:val="none"/>
          <w:fitText w:val="880" w:id="1221662620"/>
        </w:rPr>
        <w:t>他</w:t>
      </w:r>
      <w:r>
        <w:rPr>
          <w:rFonts w:hint="default" w:ascii="Times New Roman" w:hAnsi="Times New Roman" w:cs="Times New Roman"/>
          <w:color w:val="auto"/>
          <w:sz w:val="22"/>
          <w:szCs w:val="22"/>
          <w:highlight w:val="none"/>
        </w:rPr>
        <w:t>：</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u w:val="single"/>
          <w:lang w:val="en-US" w:eastAsia="zh-CN"/>
        </w:rPr>
        <w:t xml:space="preserve">                                                                </w:t>
      </w:r>
    </w:p>
    <w:p w14:paraId="2BDC56E9">
      <w:pPr>
        <w:spacing w:line="420" w:lineRule="exact"/>
        <w:outlineLvl w:val="1"/>
        <w:rPr>
          <w:rFonts w:hint="default" w:ascii="Times New Roman" w:hAnsi="Times New Roman" w:eastAsia="方正小标宋_GBK" w:cs="Times New Roman"/>
          <w:b/>
          <w:bCs/>
          <w:color w:val="auto"/>
          <w:sz w:val="24"/>
          <w:szCs w:val="24"/>
          <w:highlight w:val="none"/>
        </w:rPr>
      </w:pPr>
      <w:bookmarkStart w:id="38" w:name="_Toc469383969"/>
      <w:bookmarkStart w:id="39" w:name="_Toc700224909"/>
      <w:bookmarkStart w:id="40" w:name="_Toc10187"/>
      <w:bookmarkStart w:id="41" w:name="_Toc266892753"/>
      <w:r>
        <w:rPr>
          <w:rFonts w:hint="default" w:ascii="Times New Roman" w:hAnsi="Times New Roman" w:eastAsia="方正小标宋_GBK" w:cs="Times New Roman"/>
          <w:b/>
          <w:bCs/>
          <w:color w:val="auto"/>
          <w:sz w:val="24"/>
          <w:szCs w:val="24"/>
          <w:highlight w:val="none"/>
        </w:rPr>
        <w:t>二、工程内容与承包范围</w:t>
      </w:r>
      <w:bookmarkEnd w:id="38"/>
      <w:bookmarkEnd w:id="39"/>
      <w:bookmarkEnd w:id="40"/>
      <w:bookmarkEnd w:id="41"/>
    </w:p>
    <w:p w14:paraId="75E2A02B">
      <w:pPr>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 xml:space="preserve">    </w:t>
      </w:r>
    </w:p>
    <w:p w14:paraId="6321D1AE">
      <w:pPr>
        <w:spacing w:line="360" w:lineRule="auto"/>
        <w:ind w:firstLine="440" w:firstLineChars="2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工程内容与承包范围</w:t>
      </w:r>
      <w:r>
        <w:rPr>
          <w:rFonts w:hint="default" w:ascii="Times New Roman" w:hAnsi="Times New Roman" w:cs="Times New Roman"/>
          <w:color w:val="auto"/>
          <w:sz w:val="22"/>
          <w:szCs w:val="22"/>
          <w:highlight w:val="none"/>
          <w:lang w:eastAsia="zh-CN"/>
        </w:rPr>
        <w:t>：</w:t>
      </w:r>
    </w:p>
    <w:p w14:paraId="725820BC">
      <w:pPr>
        <w:spacing w:line="360" w:lineRule="auto"/>
        <w:ind w:firstLine="440" w:firstLineChars="2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1.工程内容：</w:t>
      </w:r>
    </w:p>
    <w:p w14:paraId="106AF4B0">
      <w:pPr>
        <w:spacing w:line="360" w:lineRule="auto"/>
        <w:ind w:firstLine="440" w:firstLineChars="200"/>
        <w:rPr>
          <w:rFonts w:hint="default" w:ascii="Times New Roman" w:hAnsi="Times New Roman" w:eastAsia="宋体" w:cs="Times New Roman"/>
          <w:color w:val="auto"/>
          <w:sz w:val="22"/>
          <w:szCs w:val="22"/>
          <w:highlight w:val="none"/>
          <w:u w:val="single"/>
          <w:lang w:val="en-US" w:eastAsia="zh-CN"/>
        </w:rPr>
      </w:pPr>
      <w:r>
        <w:rPr>
          <w:rFonts w:hint="default" w:ascii="Times New Roman" w:hAnsi="Times New Roman" w:cs="Times New Roman"/>
          <w:color w:val="auto"/>
          <w:sz w:val="22"/>
          <w:szCs w:val="22"/>
          <w:highlight w:val="none"/>
          <w:u w:val="none"/>
        </w:rPr>
        <w:t>（1）工程设计：</w:t>
      </w:r>
      <w:r>
        <w:rPr>
          <w:rFonts w:hint="default" w:ascii="Times New Roman" w:hAnsi="Times New Roman" w:cs="Times New Roman"/>
          <w:color w:val="auto"/>
          <w:sz w:val="22"/>
          <w:szCs w:val="22"/>
          <w:highlight w:val="none"/>
          <w:u w:val="single"/>
          <w:lang w:val="en-US" w:eastAsia="zh-CN"/>
        </w:rPr>
        <w:t xml:space="preserve">                                                                           </w:t>
      </w:r>
    </w:p>
    <w:p w14:paraId="130F201A">
      <w:pPr>
        <w:spacing w:line="360" w:lineRule="auto"/>
        <w:ind w:firstLine="440" w:firstLineChars="200"/>
        <w:rPr>
          <w:rFonts w:hint="default" w:ascii="Times New Roman" w:hAnsi="Times New Roman" w:eastAsia="宋体" w:cs="Times New Roman"/>
          <w:color w:val="auto"/>
          <w:sz w:val="22"/>
          <w:szCs w:val="22"/>
          <w:highlight w:val="none"/>
          <w:u w:val="single"/>
          <w:lang w:val="en-US" w:eastAsia="zh-CN"/>
        </w:rPr>
      </w:pPr>
      <w:r>
        <w:rPr>
          <w:rFonts w:hint="default" w:ascii="Times New Roman" w:hAnsi="Times New Roman" w:cs="Times New Roman"/>
          <w:color w:val="auto"/>
          <w:sz w:val="22"/>
          <w:szCs w:val="22"/>
          <w:highlight w:val="none"/>
          <w:u w:val="none"/>
        </w:rPr>
        <w:t>（2）工程施工范围：</w:t>
      </w:r>
      <w:r>
        <w:rPr>
          <w:rFonts w:hint="default" w:ascii="Times New Roman" w:hAnsi="Times New Roman" w:cs="Times New Roman"/>
          <w:color w:val="auto"/>
          <w:sz w:val="22"/>
          <w:szCs w:val="22"/>
          <w:highlight w:val="none"/>
          <w:u w:val="single"/>
          <w:lang w:val="en-US" w:eastAsia="zh-CN"/>
        </w:rPr>
        <w:t xml:space="preserve">                                                                       </w:t>
      </w:r>
    </w:p>
    <w:p w14:paraId="14B79AB0">
      <w:pPr>
        <w:spacing w:line="360" w:lineRule="auto"/>
        <w:ind w:firstLine="440" w:firstLineChars="200"/>
        <w:rPr>
          <w:rFonts w:hint="default" w:ascii="Times New Roman" w:hAnsi="Times New Roman" w:eastAsia="宋体" w:cs="Times New Roman"/>
          <w:color w:val="auto"/>
          <w:sz w:val="22"/>
          <w:szCs w:val="22"/>
          <w:highlight w:val="none"/>
          <w:u w:val="single"/>
          <w:lang w:val="en-US" w:eastAsia="zh-CN"/>
        </w:rPr>
      </w:pPr>
      <w:r>
        <w:rPr>
          <w:rFonts w:hint="default" w:ascii="Times New Roman" w:hAnsi="Times New Roman" w:cs="Times New Roman"/>
          <w:color w:val="auto"/>
          <w:sz w:val="22"/>
          <w:szCs w:val="22"/>
          <w:highlight w:val="none"/>
          <w:u w:val="none"/>
        </w:rPr>
        <w:t>（3）</w:t>
      </w:r>
      <w:r>
        <w:rPr>
          <w:rFonts w:hint="default" w:ascii="Times New Roman" w:hAnsi="Times New Roman" w:cs="Times New Roman"/>
          <w:color w:val="auto"/>
          <w:sz w:val="22"/>
          <w:szCs w:val="22"/>
          <w:highlight w:val="none"/>
          <w:u w:val="none"/>
          <w:lang w:eastAsia="zh-CN"/>
        </w:rPr>
        <w:t>其他：</w:t>
      </w:r>
      <w:r>
        <w:rPr>
          <w:rFonts w:hint="default" w:ascii="Times New Roman" w:hAnsi="Times New Roman" w:cs="Times New Roman"/>
          <w:color w:val="auto"/>
          <w:sz w:val="22"/>
          <w:szCs w:val="22"/>
          <w:highlight w:val="none"/>
          <w:u w:val="single"/>
          <w:lang w:val="en-US" w:eastAsia="zh-CN"/>
        </w:rPr>
        <w:t xml:space="preserve">                                                                              </w:t>
      </w:r>
    </w:p>
    <w:p w14:paraId="69D6B7DC">
      <w:pPr>
        <w:spacing w:line="360" w:lineRule="auto"/>
        <w:ind w:firstLine="440" w:firstLineChars="200"/>
        <w:rPr>
          <w:rFonts w:hint="default" w:ascii="Times New Roman" w:hAnsi="Times New Roman" w:eastAsia="宋体" w:cs="Times New Roman"/>
          <w:color w:val="auto"/>
          <w:sz w:val="22"/>
          <w:szCs w:val="22"/>
          <w:highlight w:val="none"/>
          <w:u w:val="single"/>
          <w:lang w:val="en-US" w:eastAsia="zh-CN"/>
        </w:rPr>
      </w:pPr>
      <w:bookmarkStart w:id="42" w:name="_Toc22376"/>
      <w:bookmarkStart w:id="43" w:name="_Toc20265"/>
      <w:r>
        <w:rPr>
          <w:rFonts w:hint="default" w:ascii="Times New Roman" w:hAnsi="Times New Roman" w:cs="Times New Roman"/>
          <w:color w:val="auto"/>
          <w:sz w:val="22"/>
          <w:szCs w:val="22"/>
          <w:highlight w:val="none"/>
        </w:rPr>
        <w:t>2.承包范围：</w:t>
      </w:r>
      <w:bookmarkEnd w:id="42"/>
      <w:bookmarkEnd w:id="43"/>
      <w:bookmarkStart w:id="44" w:name="_Toc2128"/>
      <w:bookmarkStart w:id="45" w:name="_Toc469383970"/>
      <w:bookmarkStart w:id="46" w:name="_Toc266892754"/>
      <w:r>
        <w:rPr>
          <w:rFonts w:hint="default" w:ascii="Times New Roman" w:hAnsi="Times New Roman" w:cs="Times New Roman"/>
          <w:color w:val="auto"/>
          <w:sz w:val="22"/>
          <w:szCs w:val="22"/>
          <w:highlight w:val="none"/>
          <w:u w:val="single"/>
          <w:lang w:val="en-US" w:eastAsia="zh-CN"/>
        </w:rPr>
        <w:t xml:space="preserve">                                                                              </w:t>
      </w:r>
    </w:p>
    <w:p w14:paraId="26A3F4A6">
      <w:pPr>
        <w:spacing w:line="420" w:lineRule="exact"/>
        <w:rPr>
          <w:rFonts w:hint="default" w:ascii="Times New Roman" w:hAnsi="Times New Roman" w:cs="Times New Roman"/>
          <w:color w:val="auto"/>
          <w:sz w:val="22"/>
          <w:szCs w:val="22"/>
          <w:highlight w:val="none"/>
        </w:rPr>
      </w:pPr>
    </w:p>
    <w:p w14:paraId="60B44E23">
      <w:pPr>
        <w:spacing w:line="420" w:lineRule="exact"/>
        <w:outlineLvl w:val="1"/>
        <w:rPr>
          <w:rFonts w:hint="default" w:ascii="Times New Roman" w:hAnsi="Times New Roman" w:eastAsia="方正小标宋_GBK" w:cs="Times New Roman"/>
          <w:b/>
          <w:bCs/>
          <w:color w:val="auto"/>
          <w:sz w:val="24"/>
          <w:szCs w:val="24"/>
          <w:highlight w:val="none"/>
        </w:rPr>
      </w:pPr>
      <w:bookmarkStart w:id="47" w:name="_Toc2093224083"/>
      <w:r>
        <w:rPr>
          <w:rFonts w:hint="default" w:ascii="Times New Roman" w:hAnsi="Times New Roman" w:eastAsia="方正小标宋_GBK" w:cs="Times New Roman"/>
          <w:b/>
          <w:bCs/>
          <w:color w:val="auto"/>
          <w:sz w:val="24"/>
          <w:szCs w:val="24"/>
          <w:highlight w:val="none"/>
        </w:rPr>
        <w:t>三、合同工期</w:t>
      </w:r>
      <w:bookmarkEnd w:id="44"/>
      <w:bookmarkEnd w:id="45"/>
      <w:bookmarkEnd w:id="46"/>
      <w:bookmarkEnd w:id="47"/>
    </w:p>
    <w:p w14:paraId="37D3C0A4">
      <w:pPr>
        <w:spacing w:line="420" w:lineRule="exact"/>
        <w:ind w:left="440" w:hanging="440" w:hangingChars="2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 xml:space="preserve">     </w:t>
      </w:r>
    </w:p>
    <w:p w14:paraId="09CF09FB">
      <w:pPr>
        <w:keepNext w:val="0"/>
        <w:keepLines w:val="0"/>
        <w:pageBreakBefore w:val="0"/>
        <w:widowControl w:val="0"/>
        <w:kinsoku/>
        <w:wordWrap/>
        <w:overflowPunct/>
        <w:topLinePunct w:val="0"/>
        <w:autoSpaceDE/>
        <w:autoSpaceDN/>
        <w:bidi w:val="0"/>
        <w:adjustRightInd/>
        <w:snapToGrid/>
        <w:spacing w:line="420" w:lineRule="exact"/>
        <w:ind w:firstLine="440" w:firstLineChars="200"/>
        <w:textAlignment w:val="auto"/>
        <w:rPr>
          <w:rFonts w:hint="default" w:ascii="Times New Roman" w:hAnsi="Times New Roman" w:eastAsia="宋体" w:cs="Times New Roman"/>
          <w:color w:val="auto"/>
          <w:sz w:val="22"/>
          <w:szCs w:val="22"/>
          <w:highlight w:val="none"/>
          <w:lang w:eastAsia="zh-CN"/>
        </w:rPr>
      </w:pPr>
      <w:r>
        <w:rPr>
          <w:rFonts w:hint="default" w:ascii="Times New Roman" w:hAnsi="Times New Roman" w:cs="Times New Roman"/>
          <w:color w:val="auto"/>
          <w:sz w:val="22"/>
          <w:szCs w:val="22"/>
          <w:highlight w:val="none"/>
        </w:rPr>
        <w:t>工程合同工期总日历天数：</w:t>
      </w:r>
      <w:r>
        <w:rPr>
          <w:rFonts w:hint="default" w:ascii="Times New Roman" w:hAnsi="Times New Roman" w:cs="Times New Roman"/>
          <w:color w:val="auto"/>
          <w:sz w:val="22"/>
          <w:szCs w:val="22"/>
          <w:highlight w:val="none"/>
          <w:u w:val="single"/>
          <w:lang w:val="en-US" w:eastAsia="zh-CN"/>
        </w:rPr>
        <w:t xml:space="preserve">      </w:t>
      </w:r>
      <w:r>
        <w:rPr>
          <w:rFonts w:hint="default" w:ascii="Times New Roman" w:hAnsi="Times New Roman" w:cs="Times New Roman"/>
          <w:color w:val="auto"/>
          <w:sz w:val="22"/>
          <w:szCs w:val="22"/>
          <w:highlight w:val="none"/>
          <w:u w:val="none"/>
        </w:rPr>
        <w:t>天</w:t>
      </w:r>
      <w:r>
        <w:rPr>
          <w:rFonts w:hint="default" w:ascii="Times New Roman" w:hAnsi="Times New Roman" w:cs="Times New Roman"/>
          <w:color w:val="auto"/>
          <w:sz w:val="22"/>
          <w:szCs w:val="22"/>
          <w:highlight w:val="none"/>
        </w:rPr>
        <w:t>。</w:t>
      </w:r>
      <w:r>
        <w:rPr>
          <w:rFonts w:hint="default" w:ascii="Times New Roman" w:hAnsi="Times New Roman" w:cs="Times New Roman"/>
          <w:color w:val="auto"/>
          <w:sz w:val="22"/>
          <w:szCs w:val="22"/>
          <w:highlight w:val="none"/>
          <w:lang w:eastAsia="zh-CN"/>
        </w:rPr>
        <w:t>（</w:t>
      </w:r>
      <w:r>
        <w:rPr>
          <w:rFonts w:hint="default" w:ascii="Times New Roman" w:hAnsi="Times New Roman" w:cs="Times New Roman"/>
          <w:color w:val="auto"/>
          <w:sz w:val="22"/>
          <w:szCs w:val="22"/>
          <w:highlight w:val="none"/>
          <w:lang w:val="en-US" w:eastAsia="zh-CN"/>
        </w:rPr>
        <w:t>因行政审批、场地协调、极端天气等客观因素导致无法实施的天数除外</w:t>
      </w:r>
      <w:r>
        <w:rPr>
          <w:rFonts w:hint="default" w:ascii="Times New Roman" w:hAnsi="Times New Roman" w:cs="Times New Roman"/>
          <w:color w:val="auto"/>
          <w:sz w:val="22"/>
          <w:szCs w:val="22"/>
          <w:highlight w:val="none"/>
          <w:lang w:eastAsia="zh-CN"/>
        </w:rPr>
        <w:t>）</w:t>
      </w:r>
    </w:p>
    <w:p w14:paraId="240628B2">
      <w:pPr>
        <w:spacing w:line="420" w:lineRule="exact"/>
        <w:ind w:firstLine="440" w:firstLineChars="200"/>
        <w:jc w:val="lef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 xml:space="preserve">暂定从 </w:t>
      </w:r>
      <w:r>
        <w:rPr>
          <w:rFonts w:hint="default" w:ascii="Times New Roman" w:hAnsi="Times New Roman" w:cs="Times New Roman"/>
          <w:color w:val="auto"/>
          <w:sz w:val="22"/>
          <w:szCs w:val="22"/>
          <w:highlight w:val="none"/>
          <w:u w:val="single"/>
          <w:lang w:val="en-US" w:eastAsia="zh-CN"/>
        </w:rPr>
        <w:t xml:space="preserve">      </w:t>
      </w:r>
      <w:r>
        <w:rPr>
          <w:rFonts w:hint="default" w:ascii="Times New Roman" w:hAnsi="Times New Roman" w:cs="Times New Roman"/>
          <w:color w:val="auto"/>
          <w:sz w:val="22"/>
          <w:szCs w:val="22"/>
          <w:highlight w:val="none"/>
        </w:rPr>
        <w:t xml:space="preserve"> 年</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u w:val="single"/>
          <w:lang w:val="en-US" w:eastAsia="zh-CN"/>
        </w:rPr>
        <w:t xml:space="preserve">     </w:t>
      </w:r>
      <w:r>
        <w:rPr>
          <w:rFonts w:hint="default" w:ascii="Times New Roman" w:hAnsi="Times New Roman" w:cs="Times New Roman"/>
          <w:color w:val="auto"/>
          <w:sz w:val="22"/>
          <w:szCs w:val="22"/>
          <w:highlight w:val="none"/>
        </w:rPr>
        <w:t>月</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u w:val="single"/>
          <w:lang w:val="en-US" w:eastAsia="zh-CN"/>
        </w:rPr>
        <w:t xml:space="preserve">  </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rPr>
        <w:t>日开始施工，至</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u w:val="single"/>
          <w:lang w:val="en-US" w:eastAsia="zh-CN"/>
        </w:rPr>
        <w:t xml:space="preserve">  </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rPr>
        <w:t xml:space="preserve">年 </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u w:val="single"/>
          <w:lang w:val="en-US" w:eastAsia="zh-CN"/>
        </w:rPr>
        <w:t xml:space="preserve">  </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rPr>
        <w:t>月</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u w:val="single"/>
          <w:lang w:val="en-US" w:eastAsia="zh-CN"/>
        </w:rPr>
        <w:t xml:space="preserve">  </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rPr>
        <w:t>日完工验收完成，具体开工日期以现场具备施工条件且在项目依法领取施工许可证后，</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u w:val="single"/>
          <w:lang w:val="en-US" w:eastAsia="zh-CN"/>
        </w:rPr>
        <w:t xml:space="preserve">      </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rPr>
        <w:t>签发的</w:t>
      </w:r>
      <w:r>
        <w:rPr>
          <w:rFonts w:hint="default" w:ascii="Times New Roman" w:hAnsi="Times New Roman" w:cs="Times New Roman"/>
          <w:color w:val="auto"/>
          <w:sz w:val="22"/>
          <w:szCs w:val="22"/>
          <w:highlight w:val="none"/>
          <w:lang w:eastAsia="zh-CN"/>
        </w:rPr>
        <w:t>开工日期</w:t>
      </w:r>
      <w:r>
        <w:rPr>
          <w:rFonts w:hint="default" w:ascii="Times New Roman" w:hAnsi="Times New Roman" w:cs="Times New Roman"/>
          <w:color w:val="auto"/>
          <w:sz w:val="22"/>
          <w:szCs w:val="22"/>
          <w:highlight w:val="none"/>
        </w:rPr>
        <w:t>为准。工期总日历天数与根据前述计划开完工日期计算的工期天数不一致的，以工期总日历天数为准。</w:t>
      </w:r>
    </w:p>
    <w:p w14:paraId="54DAAA5E">
      <w:pPr>
        <w:spacing w:line="420" w:lineRule="exact"/>
        <w:rPr>
          <w:rFonts w:hint="default" w:ascii="Times New Roman" w:hAnsi="Times New Roman" w:cs="Times New Roman"/>
          <w:color w:val="auto"/>
          <w:sz w:val="22"/>
          <w:szCs w:val="22"/>
          <w:highlight w:val="none"/>
        </w:rPr>
      </w:pPr>
    </w:p>
    <w:p w14:paraId="1F451106">
      <w:pPr>
        <w:spacing w:line="420" w:lineRule="exact"/>
        <w:outlineLvl w:val="1"/>
        <w:rPr>
          <w:rFonts w:hint="default" w:ascii="Times New Roman" w:hAnsi="Times New Roman" w:eastAsia="方正小标宋_GBK" w:cs="Times New Roman"/>
          <w:b/>
          <w:bCs/>
          <w:color w:val="auto"/>
          <w:sz w:val="24"/>
          <w:szCs w:val="24"/>
          <w:highlight w:val="none"/>
        </w:rPr>
      </w:pPr>
      <w:bookmarkStart w:id="48" w:name="_Toc469383971"/>
      <w:bookmarkStart w:id="49" w:name="_Toc152477180"/>
      <w:bookmarkStart w:id="50" w:name="_Toc12557"/>
      <w:bookmarkStart w:id="51" w:name="_Toc266892755"/>
      <w:r>
        <w:rPr>
          <w:rFonts w:hint="default" w:ascii="Times New Roman" w:hAnsi="Times New Roman" w:eastAsia="方正小标宋_GBK" w:cs="Times New Roman"/>
          <w:b/>
          <w:bCs/>
          <w:color w:val="auto"/>
          <w:sz w:val="24"/>
          <w:szCs w:val="24"/>
          <w:highlight w:val="none"/>
        </w:rPr>
        <w:t>★四、质量标准</w:t>
      </w:r>
      <w:bookmarkEnd w:id="48"/>
      <w:bookmarkEnd w:id="49"/>
      <w:bookmarkEnd w:id="50"/>
      <w:bookmarkEnd w:id="51"/>
    </w:p>
    <w:p w14:paraId="26DF5482">
      <w:pPr>
        <w:spacing w:line="420" w:lineRule="exact"/>
        <w:ind w:left="440" w:hanging="440" w:hangingChars="2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 xml:space="preserve">     </w:t>
      </w:r>
    </w:p>
    <w:p w14:paraId="22FE2897">
      <w:pPr>
        <w:spacing w:line="420" w:lineRule="exact"/>
        <w:ind w:left="479" w:leftChars="228" w:firstLine="39" w:firstLineChars="18"/>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工程质量标准：</w:t>
      </w:r>
    </w:p>
    <w:p w14:paraId="2CD801F7">
      <w:pPr>
        <w:ind w:firstLine="440" w:firstLineChars="2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lang w:eastAsia="zh-CN"/>
        </w:rPr>
        <w:t>□</w:t>
      </w:r>
      <w:r>
        <w:rPr>
          <w:rFonts w:hint="default" w:ascii="Times New Roman" w:hAnsi="Times New Roman" w:cs="Times New Roman"/>
          <w:color w:val="auto"/>
          <w:sz w:val="22"/>
          <w:szCs w:val="22"/>
          <w:highlight w:val="none"/>
        </w:rPr>
        <w:t xml:space="preserve"> </w:t>
      </w:r>
      <w:r>
        <w:rPr>
          <w:rFonts w:hint="default" w:ascii="Times New Roman" w:hAnsi="Times New Roman" w:cs="Times New Roman"/>
          <w:color w:val="auto"/>
          <w:kern w:val="0"/>
          <w:sz w:val="22"/>
          <w:szCs w:val="22"/>
          <w:highlight w:val="none"/>
        </w:rPr>
        <w:t>1、</w:t>
      </w:r>
      <w:r>
        <w:rPr>
          <w:rFonts w:hint="default" w:ascii="Times New Roman" w:hAnsi="Times New Roman" w:cs="Times New Roman"/>
          <w:color w:val="auto"/>
          <w:sz w:val="22"/>
          <w:szCs w:val="22"/>
          <w:highlight w:val="none"/>
        </w:rPr>
        <w:t>设计质量要求：符合国家相关设计质量标准规定的要求。</w:t>
      </w:r>
    </w:p>
    <w:p w14:paraId="37061F9E">
      <w:pPr>
        <w:spacing w:line="360" w:lineRule="auto"/>
        <w:ind w:left="938" w:leftChars="342" w:hanging="220" w:hangingChars="1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2、施工质量要求：执行国家、地方或行业现行的工程建设质量验收标准及规范，须达到合格标准，满足招标人、建设管理单位对工程质量的要求。</w:t>
      </w:r>
    </w:p>
    <w:p w14:paraId="54698322">
      <w:pPr>
        <w:spacing w:line="420" w:lineRule="exact"/>
        <w:ind w:left="479" w:leftChars="228" w:firstLine="39" w:firstLineChars="18"/>
        <w:rPr>
          <w:rFonts w:hint="default" w:ascii="Times New Roman" w:hAnsi="Times New Roman" w:cs="Times New Roman"/>
          <w:color w:val="auto"/>
          <w:sz w:val="22"/>
          <w:szCs w:val="22"/>
          <w:highlight w:val="none"/>
          <w:u w:val="single"/>
        </w:rPr>
      </w:pPr>
      <w:r>
        <w:rPr>
          <w:rFonts w:hint="default" w:ascii="Times New Roman" w:hAnsi="Times New Roman" w:cs="Times New Roman"/>
          <w:color w:val="auto"/>
          <w:sz w:val="22"/>
          <w:szCs w:val="22"/>
          <w:highlight w:val="none"/>
        </w:rPr>
        <w:t>□ 以及符合优质工程</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rPr>
        <w:t xml:space="preserve"> 质量验收标准。</w:t>
      </w:r>
    </w:p>
    <w:p w14:paraId="655BF31F">
      <w:pPr>
        <w:spacing w:line="420" w:lineRule="exact"/>
        <w:ind w:firstLine="440" w:firstLineChars="20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创优目标：</w:t>
      </w:r>
    </w:p>
    <w:p w14:paraId="6DF21E06">
      <w:pPr>
        <w:autoSpaceDE w:val="0"/>
        <w:autoSpaceDN w:val="0"/>
        <w:adjustRightInd w:val="0"/>
        <w:spacing w:line="420" w:lineRule="exact"/>
        <w:ind w:firstLine="440" w:firstLineChars="200"/>
        <w:jc w:val="lef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w:t>
      </w:r>
      <w:r>
        <w:rPr>
          <w:rFonts w:hint="default" w:ascii="Times New Roman" w:hAnsi="Times New Roman" w:cs="Times New Roman"/>
          <w:color w:val="auto"/>
          <w:sz w:val="22"/>
          <w:szCs w:val="22"/>
          <w:highlight w:val="none"/>
        </w:rPr>
        <w:t>市级工程优质奖</w:t>
      </w:r>
      <w:r>
        <w:rPr>
          <w:rFonts w:hint="default" w:ascii="Times New Roman" w:hAnsi="Times New Roman" w:cs="Times New Roman"/>
          <w:color w:val="auto"/>
          <w:kern w:val="0"/>
          <w:sz w:val="22"/>
          <w:szCs w:val="22"/>
          <w:highlight w:val="none"/>
        </w:rPr>
        <w:t>；</w:t>
      </w:r>
    </w:p>
    <w:p w14:paraId="3BF55013">
      <w:pPr>
        <w:autoSpaceDE w:val="0"/>
        <w:autoSpaceDN w:val="0"/>
        <w:adjustRightInd w:val="0"/>
        <w:spacing w:line="420" w:lineRule="exact"/>
        <w:ind w:firstLine="440" w:firstLineChars="200"/>
        <w:jc w:val="lef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w:t>
      </w:r>
      <w:r>
        <w:rPr>
          <w:rFonts w:hint="default" w:ascii="Times New Roman" w:hAnsi="Times New Roman" w:cs="Times New Roman"/>
          <w:color w:val="auto"/>
          <w:sz w:val="22"/>
          <w:szCs w:val="22"/>
          <w:highlight w:val="none"/>
        </w:rPr>
        <w:t>省级工程优质奖</w:t>
      </w:r>
      <w:r>
        <w:rPr>
          <w:rFonts w:hint="default" w:ascii="Times New Roman" w:hAnsi="Times New Roman" w:cs="Times New Roman"/>
          <w:color w:val="auto"/>
          <w:kern w:val="0"/>
          <w:sz w:val="22"/>
          <w:szCs w:val="22"/>
          <w:highlight w:val="none"/>
        </w:rPr>
        <w:t>；</w:t>
      </w:r>
    </w:p>
    <w:p w14:paraId="2C8CE128">
      <w:pPr>
        <w:pStyle w:val="9"/>
        <w:spacing w:line="420" w:lineRule="exact"/>
        <w:ind w:firstLine="440" w:firstLineChars="20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w:t>
      </w:r>
      <w:r>
        <w:rPr>
          <w:rFonts w:hint="default" w:ascii="Times New Roman" w:hAnsi="Times New Roman" w:cs="Times New Roman"/>
          <w:color w:val="auto"/>
          <w:sz w:val="22"/>
          <w:szCs w:val="22"/>
          <w:highlight w:val="none"/>
        </w:rPr>
        <w:t>国家级工程优质奖</w:t>
      </w:r>
      <w:r>
        <w:rPr>
          <w:rFonts w:hint="default" w:ascii="Times New Roman" w:hAnsi="Times New Roman" w:cs="Times New Roman"/>
          <w:color w:val="auto"/>
          <w:kern w:val="0"/>
          <w:sz w:val="22"/>
          <w:szCs w:val="22"/>
          <w:highlight w:val="none"/>
        </w:rPr>
        <w:t>；</w:t>
      </w:r>
    </w:p>
    <w:p w14:paraId="35811369">
      <w:pPr>
        <w:pStyle w:val="9"/>
        <w:spacing w:line="420" w:lineRule="exact"/>
        <w:ind w:firstLine="440" w:firstLineChars="200"/>
        <w:rPr>
          <w:rFonts w:hint="default" w:ascii="Times New Roman" w:hAnsi="Times New Roman" w:eastAsia="宋体" w:cs="Times New Roman"/>
          <w:color w:val="auto"/>
          <w:kern w:val="0"/>
          <w:sz w:val="22"/>
          <w:szCs w:val="22"/>
          <w:highlight w:val="none"/>
          <w:lang w:val="en-US" w:eastAsia="zh-CN"/>
        </w:rPr>
      </w:pPr>
      <w:r>
        <w:rPr>
          <w:rFonts w:hint="default" w:ascii="Times New Roman" w:hAnsi="Times New Roman" w:cs="Times New Roman"/>
          <w:color w:val="auto"/>
          <w:kern w:val="0"/>
          <w:sz w:val="22"/>
          <w:szCs w:val="22"/>
          <w:highlight w:val="none"/>
        </w:rPr>
        <w:t>□</w:t>
      </w:r>
      <w:r>
        <w:rPr>
          <w:rFonts w:hint="default" w:ascii="Times New Roman" w:hAnsi="Times New Roman" w:cs="Times New Roman"/>
          <w:color w:val="auto"/>
          <w:kern w:val="0"/>
          <w:sz w:val="22"/>
          <w:szCs w:val="22"/>
          <w:highlight w:val="none"/>
          <w:lang w:val="en-US" w:eastAsia="zh-CN"/>
        </w:rPr>
        <w:t xml:space="preserve"> 水务精品工程；</w:t>
      </w:r>
    </w:p>
    <w:p w14:paraId="4269D1B7">
      <w:pPr>
        <w:spacing w:line="360" w:lineRule="auto"/>
        <w:ind w:left="0" w:leftChars="0" w:firstLine="440" w:firstLineChars="200"/>
        <w:rPr>
          <w:rFonts w:hint="default" w:ascii="Times New Roman" w:hAnsi="Times New Roman" w:cs="Times New Roman"/>
          <w:color w:val="auto"/>
          <w:sz w:val="24"/>
          <w:highlight w:val="none"/>
        </w:rPr>
      </w:pPr>
      <w:r>
        <w:rPr>
          <w:rFonts w:hint="default" w:ascii="Times New Roman" w:hAnsi="Times New Roman" w:cs="Times New Roman"/>
          <w:color w:val="auto"/>
          <w:kern w:val="0"/>
          <w:sz w:val="22"/>
          <w:szCs w:val="22"/>
          <w:highlight w:val="none"/>
        </w:rPr>
        <w:t>□ 其他：</w:t>
      </w:r>
    </w:p>
    <w:p w14:paraId="301D0A0C">
      <w:pPr>
        <w:spacing w:line="420" w:lineRule="exact"/>
        <w:ind w:firstLine="440" w:firstLineChars="200"/>
        <w:rPr>
          <w:rFonts w:hint="default" w:ascii="Times New Roman" w:hAnsi="Times New Roman" w:cs="Times New Roman"/>
          <w:color w:val="auto"/>
          <w:sz w:val="22"/>
          <w:szCs w:val="22"/>
          <w:highlight w:val="none"/>
          <w:u w:val="single"/>
        </w:rPr>
      </w:pPr>
    </w:p>
    <w:p w14:paraId="663BE005">
      <w:pPr>
        <w:spacing w:line="420" w:lineRule="exact"/>
        <w:ind w:firstLine="440" w:firstLineChars="20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创文明工地目标：</w:t>
      </w:r>
    </w:p>
    <w:p w14:paraId="794B9D2D">
      <w:pPr>
        <w:autoSpaceDE w:val="0"/>
        <w:autoSpaceDN w:val="0"/>
        <w:adjustRightInd w:val="0"/>
        <w:spacing w:line="420" w:lineRule="exact"/>
        <w:ind w:firstLine="440" w:firstLineChars="200"/>
        <w:jc w:val="lef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w:t>
      </w:r>
      <w:r>
        <w:rPr>
          <w:rFonts w:hint="default" w:ascii="Times New Roman" w:hAnsi="Times New Roman" w:cs="Times New Roman"/>
          <w:color w:val="auto"/>
          <w:sz w:val="22"/>
          <w:szCs w:val="22"/>
          <w:highlight w:val="none"/>
        </w:rPr>
        <w:t>市级安全文明绿色施工样板工地</w:t>
      </w:r>
      <w:r>
        <w:rPr>
          <w:rFonts w:hint="default" w:ascii="Times New Roman" w:hAnsi="Times New Roman" w:cs="Times New Roman"/>
          <w:color w:val="auto"/>
          <w:kern w:val="0"/>
          <w:sz w:val="22"/>
          <w:szCs w:val="22"/>
          <w:highlight w:val="none"/>
        </w:rPr>
        <w:t>；</w:t>
      </w:r>
    </w:p>
    <w:p w14:paraId="04D82A5E">
      <w:pPr>
        <w:autoSpaceDE w:val="0"/>
        <w:autoSpaceDN w:val="0"/>
        <w:adjustRightInd w:val="0"/>
        <w:spacing w:line="420" w:lineRule="exact"/>
        <w:ind w:firstLine="440" w:firstLineChars="200"/>
        <w:jc w:val="left"/>
        <w:rPr>
          <w:rFonts w:hint="default" w:ascii="Times New Roman" w:hAnsi="Times New Roman" w:cs="Times New Roman"/>
          <w:color w:val="auto"/>
          <w:sz w:val="22"/>
          <w:szCs w:val="22"/>
          <w:highlight w:val="none"/>
        </w:rPr>
      </w:pPr>
      <w:r>
        <w:rPr>
          <w:rFonts w:hint="default" w:ascii="Times New Roman" w:hAnsi="Times New Roman" w:cs="Times New Roman"/>
          <w:color w:val="auto"/>
          <w:kern w:val="0"/>
          <w:sz w:val="22"/>
          <w:szCs w:val="22"/>
          <w:highlight w:val="none"/>
        </w:rPr>
        <w:t xml:space="preserve">□ </w:t>
      </w:r>
      <w:r>
        <w:rPr>
          <w:rFonts w:hint="default" w:ascii="Times New Roman" w:hAnsi="Times New Roman" w:cs="Times New Roman"/>
          <w:color w:val="auto"/>
          <w:sz w:val="22"/>
          <w:szCs w:val="22"/>
          <w:highlight w:val="none"/>
        </w:rPr>
        <w:t>省级安全文明示范工地；</w:t>
      </w:r>
    </w:p>
    <w:p w14:paraId="71985B7C">
      <w:pPr>
        <w:autoSpaceDE w:val="0"/>
        <w:autoSpaceDN w:val="0"/>
        <w:adjustRightInd w:val="0"/>
        <w:spacing w:line="420" w:lineRule="exact"/>
        <w:ind w:firstLine="440" w:firstLineChars="200"/>
        <w:jc w:val="lef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w:t>
      </w:r>
      <w:r>
        <w:rPr>
          <w:rFonts w:hint="default" w:ascii="Times New Roman" w:hAnsi="Times New Roman" w:cs="Times New Roman"/>
          <w:color w:val="auto"/>
          <w:sz w:val="22"/>
          <w:szCs w:val="22"/>
          <w:highlight w:val="none"/>
        </w:rPr>
        <w:t>国家级安全文明工地</w:t>
      </w:r>
      <w:r>
        <w:rPr>
          <w:rFonts w:hint="default" w:ascii="Times New Roman" w:hAnsi="Times New Roman" w:cs="Times New Roman"/>
          <w:color w:val="auto"/>
          <w:kern w:val="0"/>
          <w:sz w:val="22"/>
          <w:szCs w:val="22"/>
          <w:highlight w:val="none"/>
        </w:rPr>
        <w:t>；</w:t>
      </w:r>
    </w:p>
    <w:p w14:paraId="188F5B6A">
      <w:pPr>
        <w:spacing w:line="420" w:lineRule="exact"/>
        <w:ind w:firstLine="440" w:firstLineChars="20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广州市建筑业绿色施工示范工程；</w:t>
      </w:r>
    </w:p>
    <w:p w14:paraId="664B4E13">
      <w:pPr>
        <w:spacing w:line="420" w:lineRule="exact"/>
        <w:ind w:firstLine="440" w:firstLineChars="20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广东省建筑业绿色施工示范工程；</w:t>
      </w:r>
    </w:p>
    <w:p w14:paraId="152E1009">
      <w:pPr>
        <w:spacing w:line="420" w:lineRule="exact"/>
        <w:ind w:firstLine="440" w:firstLineChars="20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全国建筑业绿色施工示范工程；</w:t>
      </w:r>
    </w:p>
    <w:p w14:paraId="405E439B">
      <w:pPr>
        <w:spacing w:line="420" w:lineRule="exact"/>
        <w:ind w:firstLine="440" w:firstLineChars="20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w:t>
      </w:r>
      <w:r>
        <w:rPr>
          <w:rFonts w:hint="default" w:ascii="Times New Roman" w:hAnsi="Times New Roman" w:cs="Times New Roman"/>
          <w:color w:val="auto"/>
          <w:kern w:val="0"/>
          <w:sz w:val="22"/>
          <w:szCs w:val="22"/>
          <w:highlight w:val="none"/>
          <w:lang w:eastAsia="zh-CN"/>
        </w:rPr>
        <w:t>其他</w:t>
      </w:r>
    </w:p>
    <w:p w14:paraId="5710CE0B">
      <w:pPr>
        <w:spacing w:line="420" w:lineRule="exact"/>
        <w:rPr>
          <w:rFonts w:hint="default" w:ascii="Times New Roman" w:hAnsi="Times New Roman" w:cs="Times New Roman"/>
          <w:color w:val="auto"/>
          <w:sz w:val="22"/>
          <w:szCs w:val="22"/>
          <w:highlight w:val="none"/>
          <w:u w:val="single"/>
        </w:rPr>
      </w:pPr>
    </w:p>
    <w:p w14:paraId="440F8B43">
      <w:pPr>
        <w:spacing w:line="420" w:lineRule="exact"/>
        <w:outlineLvl w:val="1"/>
        <w:rPr>
          <w:rFonts w:hint="default" w:ascii="Times New Roman" w:hAnsi="Times New Roman" w:eastAsia="方正小标宋_GBK" w:cs="Times New Roman"/>
          <w:b/>
          <w:bCs/>
          <w:color w:val="auto"/>
          <w:sz w:val="24"/>
          <w:szCs w:val="24"/>
          <w:highlight w:val="none"/>
        </w:rPr>
      </w:pPr>
      <w:bookmarkStart w:id="52" w:name="_Toc21612"/>
      <w:bookmarkStart w:id="53" w:name="_Toc2111588854"/>
      <w:bookmarkStart w:id="54" w:name="_Toc266892756"/>
      <w:bookmarkStart w:id="55" w:name="_Toc469383972"/>
      <w:r>
        <w:rPr>
          <w:rFonts w:hint="default" w:ascii="Times New Roman" w:hAnsi="Times New Roman" w:eastAsia="方正小标宋_GBK" w:cs="Times New Roman"/>
          <w:b/>
          <w:bCs/>
          <w:color w:val="auto"/>
          <w:sz w:val="24"/>
          <w:szCs w:val="24"/>
          <w:highlight w:val="none"/>
        </w:rPr>
        <w:t>五、合同价款</w:t>
      </w:r>
      <w:bookmarkEnd w:id="52"/>
      <w:bookmarkEnd w:id="53"/>
      <w:bookmarkEnd w:id="54"/>
      <w:bookmarkEnd w:id="55"/>
    </w:p>
    <w:p w14:paraId="6E77BE05">
      <w:pPr>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 xml:space="preserve">    </w:t>
      </w:r>
    </w:p>
    <w:p w14:paraId="4A78F866">
      <w:pPr>
        <w:spacing w:line="420" w:lineRule="exact"/>
        <w:ind w:firstLine="479" w:firstLineChars="218"/>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含税合同总价（大写）：</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rPr>
        <w:t>元；</w:t>
      </w:r>
    </w:p>
    <w:p w14:paraId="6D6156CF">
      <w:pPr>
        <w:spacing w:line="420" w:lineRule="exact"/>
        <w:ind w:firstLine="1797" w:firstLineChars="817"/>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（小写）：</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rPr>
        <w:t>元。</w:t>
      </w:r>
    </w:p>
    <w:p w14:paraId="6B52140D">
      <w:pPr>
        <w:keepNext w:val="0"/>
        <w:keepLines w:val="0"/>
        <w:pageBreakBefore w:val="0"/>
        <w:widowControl w:val="0"/>
        <w:kinsoku/>
        <w:wordWrap w:val="0"/>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kern w:val="0"/>
          <w:sz w:val="22"/>
          <w:szCs w:val="22"/>
          <w:highlight w:val="none"/>
        </w:rPr>
      </w:pPr>
      <w:r>
        <w:rPr>
          <w:rFonts w:hint="default" w:ascii="Times New Roman" w:hAnsi="Times New Roman" w:cs="Times New Roman"/>
          <w:b w:val="0"/>
          <w:bCs/>
          <w:color w:val="auto"/>
          <w:sz w:val="24"/>
          <w:highlight w:val="none"/>
          <w:lang w:eastAsia="zh-CN"/>
        </w:rPr>
        <w:t>其中市出资</w:t>
      </w:r>
      <w:r>
        <w:rPr>
          <w:rFonts w:hint="default" w:ascii="Times New Roman" w:hAnsi="Times New Roman" w:cs="Times New Roman"/>
          <w:b w:val="0"/>
          <w:bCs/>
          <w:color w:val="auto"/>
          <w:sz w:val="24"/>
          <w:highlight w:val="none"/>
          <w:u w:val="single"/>
          <w:lang w:val="en-US" w:eastAsia="zh-CN"/>
        </w:rPr>
        <w:t xml:space="preserve">            </w:t>
      </w:r>
      <w:r>
        <w:rPr>
          <w:rFonts w:hint="default" w:ascii="Times New Roman" w:hAnsi="Times New Roman" w:cs="Times New Roman"/>
          <w:b w:val="0"/>
          <w:bCs/>
          <w:color w:val="auto"/>
          <w:sz w:val="24"/>
          <w:highlight w:val="none"/>
          <w:u w:val="none"/>
          <w:lang w:val="en-US" w:eastAsia="zh-CN"/>
        </w:rPr>
        <w:t>元，区出资</w:t>
      </w:r>
      <w:r>
        <w:rPr>
          <w:rFonts w:hint="default" w:ascii="Times New Roman" w:hAnsi="Times New Roman" w:cs="Times New Roman"/>
          <w:b w:val="0"/>
          <w:bCs/>
          <w:color w:val="auto"/>
          <w:sz w:val="24"/>
          <w:highlight w:val="none"/>
          <w:u w:val="single"/>
          <w:lang w:val="en-US" w:eastAsia="zh-CN"/>
        </w:rPr>
        <w:t xml:space="preserve">          </w:t>
      </w:r>
      <w:r>
        <w:rPr>
          <w:rFonts w:hint="default" w:ascii="Times New Roman" w:hAnsi="Times New Roman" w:cs="Times New Roman"/>
          <w:b w:val="0"/>
          <w:bCs/>
          <w:color w:val="auto"/>
          <w:sz w:val="24"/>
          <w:highlight w:val="none"/>
          <w:u w:val="none"/>
          <w:lang w:val="en-US" w:eastAsia="zh-CN"/>
        </w:rPr>
        <w:t>元，其他资金出资</w:t>
      </w:r>
      <w:r>
        <w:rPr>
          <w:rFonts w:hint="default" w:ascii="Times New Roman" w:hAnsi="Times New Roman" w:cs="Times New Roman"/>
          <w:b w:val="0"/>
          <w:bCs/>
          <w:color w:val="auto"/>
          <w:sz w:val="24"/>
          <w:highlight w:val="none"/>
          <w:u w:val="single"/>
          <w:lang w:val="en-US" w:eastAsia="zh-CN"/>
        </w:rPr>
        <w:t xml:space="preserve">          </w:t>
      </w:r>
      <w:r>
        <w:rPr>
          <w:rFonts w:hint="default" w:ascii="Times New Roman" w:hAnsi="Times New Roman" w:cs="Times New Roman"/>
          <w:b w:val="0"/>
          <w:bCs/>
          <w:color w:val="auto"/>
          <w:sz w:val="24"/>
          <w:highlight w:val="none"/>
          <w:u w:val="none"/>
          <w:lang w:val="en-US" w:eastAsia="zh-CN"/>
        </w:rPr>
        <w:t>元；</w:t>
      </w:r>
      <w:r>
        <w:rPr>
          <w:rFonts w:hint="default" w:ascii="Times New Roman" w:hAnsi="Times New Roman" w:cs="Times New Roman"/>
          <w:b w:val="0"/>
          <w:bCs/>
          <w:color w:val="auto"/>
          <w:sz w:val="24"/>
          <w:highlight w:val="none"/>
        </w:rPr>
        <w:t>投标下浮率</w:t>
      </w:r>
      <w:r>
        <w:rPr>
          <w:rFonts w:hint="default" w:ascii="Times New Roman" w:hAnsi="Times New Roman" w:cs="Times New Roman"/>
          <w:b w:val="0"/>
          <w:bCs/>
          <w:color w:val="auto"/>
          <w:sz w:val="24"/>
          <w:highlight w:val="none"/>
          <w:u w:val="single"/>
          <w:lang w:val="en-US" w:eastAsia="zh-CN"/>
        </w:rPr>
        <w:t xml:space="preserve">         </w:t>
      </w:r>
      <w:r>
        <w:rPr>
          <w:rFonts w:hint="default" w:ascii="Times New Roman" w:hAnsi="Times New Roman" w:cs="Times New Roman"/>
          <w:b w:val="0"/>
          <w:bCs/>
          <w:color w:val="auto"/>
          <w:sz w:val="24"/>
          <w:highlight w:val="none"/>
          <w:u w:val="none"/>
        </w:rPr>
        <w:t>%</w:t>
      </w:r>
      <w:r>
        <w:rPr>
          <w:rFonts w:hint="default" w:ascii="Times New Roman" w:hAnsi="Times New Roman" w:cs="Times New Roman"/>
          <w:b w:val="0"/>
          <w:bCs/>
          <w:color w:val="auto"/>
          <w:sz w:val="24"/>
          <w:highlight w:val="none"/>
          <w:u w:val="none"/>
          <w:lang w:eastAsia="zh-CN"/>
        </w:rPr>
        <w:t>。</w:t>
      </w:r>
    </w:p>
    <w:p w14:paraId="5D29376E">
      <w:pPr>
        <w:pStyle w:val="6"/>
        <w:ind w:left="0" w:leftChars="0"/>
        <w:rPr>
          <w:rFonts w:hint="default" w:ascii="Times New Roman" w:hAnsi="Times New Roman" w:cs="Times New Roman"/>
          <w:color w:val="auto"/>
          <w:highlight w:val="none"/>
        </w:rPr>
      </w:pPr>
    </w:p>
    <w:p w14:paraId="3F8E86D2">
      <w:pPr>
        <w:spacing w:line="360" w:lineRule="auto"/>
        <w:ind w:firstLine="323" w:firstLineChars="147"/>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其中设计费暂定：</w:t>
      </w:r>
      <w:r>
        <w:rPr>
          <w:rFonts w:hint="default" w:ascii="Times New Roman" w:hAnsi="Times New Roman" w:cs="Times New Roman"/>
          <w:b w:val="0"/>
          <w:bCs/>
          <w:color w:val="auto"/>
          <w:sz w:val="24"/>
          <w:highlight w:val="none"/>
          <w:u w:val="single"/>
          <w:lang w:val="en-US" w:eastAsia="zh-CN"/>
        </w:rPr>
        <w:t xml:space="preserve">          </w:t>
      </w:r>
      <w:r>
        <w:rPr>
          <w:rFonts w:hint="default" w:ascii="Times New Roman" w:hAnsi="Times New Roman" w:cs="Times New Roman"/>
          <w:color w:val="auto"/>
          <w:sz w:val="22"/>
          <w:szCs w:val="22"/>
          <w:highlight w:val="none"/>
        </w:rPr>
        <w:t>元，其中：市财政</w:t>
      </w:r>
      <w:r>
        <w:rPr>
          <w:rFonts w:hint="default" w:ascii="Times New Roman" w:hAnsi="Times New Roman" w:cs="Times New Roman"/>
          <w:color w:val="auto"/>
          <w:sz w:val="22"/>
          <w:szCs w:val="22"/>
          <w:highlight w:val="none"/>
          <w:lang w:eastAsia="zh-CN"/>
        </w:rPr>
        <w:t>资金</w:t>
      </w:r>
      <w:r>
        <w:rPr>
          <w:rFonts w:hint="default" w:ascii="Times New Roman" w:hAnsi="Times New Roman" w:cs="Times New Roman"/>
          <w:b w:val="0"/>
          <w:bCs/>
          <w:color w:val="auto"/>
          <w:sz w:val="24"/>
          <w:highlight w:val="none"/>
          <w:u w:val="single"/>
          <w:lang w:val="en-US" w:eastAsia="zh-CN"/>
        </w:rPr>
        <w:t xml:space="preserve">          </w:t>
      </w:r>
      <w:r>
        <w:rPr>
          <w:rFonts w:hint="default" w:ascii="Times New Roman" w:hAnsi="Times New Roman" w:cs="Times New Roman"/>
          <w:color w:val="auto"/>
          <w:sz w:val="22"/>
          <w:szCs w:val="22"/>
          <w:highlight w:val="none"/>
        </w:rPr>
        <w:t>元，区财政资金</w:t>
      </w:r>
      <w:r>
        <w:rPr>
          <w:rFonts w:hint="default" w:ascii="Times New Roman" w:hAnsi="Times New Roman" w:cs="Times New Roman"/>
          <w:b w:val="0"/>
          <w:bCs/>
          <w:color w:val="auto"/>
          <w:sz w:val="24"/>
          <w:highlight w:val="none"/>
          <w:u w:val="single"/>
          <w:lang w:val="en-US" w:eastAsia="zh-CN"/>
        </w:rPr>
        <w:t xml:space="preserve">          </w:t>
      </w:r>
      <w:r>
        <w:rPr>
          <w:rFonts w:hint="default" w:ascii="Times New Roman" w:hAnsi="Times New Roman" w:cs="Times New Roman"/>
          <w:color w:val="auto"/>
          <w:sz w:val="22"/>
          <w:szCs w:val="22"/>
          <w:highlight w:val="none"/>
        </w:rPr>
        <w:t>元，</w:t>
      </w:r>
      <w:r>
        <w:rPr>
          <w:rFonts w:hint="default" w:ascii="Times New Roman" w:hAnsi="Times New Roman" w:cs="Times New Roman"/>
          <w:b w:val="0"/>
          <w:bCs/>
          <w:color w:val="auto"/>
          <w:sz w:val="24"/>
          <w:highlight w:val="none"/>
          <w:u w:val="none"/>
          <w:lang w:val="en-US" w:eastAsia="zh-CN"/>
        </w:rPr>
        <w:t>其他资金出资</w:t>
      </w:r>
      <w:r>
        <w:rPr>
          <w:rFonts w:hint="default" w:ascii="Times New Roman" w:hAnsi="Times New Roman" w:cs="Times New Roman"/>
          <w:b w:val="0"/>
          <w:bCs/>
          <w:color w:val="auto"/>
          <w:sz w:val="24"/>
          <w:highlight w:val="none"/>
          <w:u w:val="single"/>
          <w:lang w:val="en-US" w:eastAsia="zh-CN"/>
        </w:rPr>
        <w:t xml:space="preserve">          </w:t>
      </w:r>
      <w:r>
        <w:rPr>
          <w:rFonts w:hint="default" w:ascii="Times New Roman" w:hAnsi="Times New Roman" w:cs="Times New Roman"/>
          <w:b w:val="0"/>
          <w:bCs/>
          <w:color w:val="auto"/>
          <w:sz w:val="24"/>
          <w:highlight w:val="none"/>
          <w:u w:val="none"/>
          <w:lang w:val="en-US" w:eastAsia="zh-CN"/>
        </w:rPr>
        <w:t>元，</w:t>
      </w:r>
      <w:r>
        <w:rPr>
          <w:rFonts w:hint="default" w:ascii="Times New Roman" w:hAnsi="Times New Roman" w:cs="Times New Roman"/>
          <w:color w:val="auto"/>
          <w:sz w:val="22"/>
          <w:szCs w:val="22"/>
          <w:highlight w:val="none"/>
        </w:rPr>
        <w:t>投标下浮率</w:t>
      </w:r>
      <w:r>
        <w:rPr>
          <w:rFonts w:hint="default" w:ascii="Times New Roman" w:hAnsi="Times New Roman" w:cs="Times New Roman"/>
          <w:b w:val="0"/>
          <w:bCs/>
          <w:color w:val="auto"/>
          <w:sz w:val="24"/>
          <w:highlight w:val="none"/>
          <w:u w:val="single"/>
          <w:lang w:val="en-US" w:eastAsia="zh-CN"/>
        </w:rPr>
        <w:t xml:space="preserve">          </w:t>
      </w:r>
      <w:r>
        <w:rPr>
          <w:rFonts w:hint="default" w:ascii="Times New Roman" w:hAnsi="Times New Roman" w:cs="Times New Roman"/>
          <w:color w:val="auto"/>
          <w:sz w:val="22"/>
          <w:szCs w:val="22"/>
          <w:highlight w:val="none"/>
        </w:rPr>
        <w:t>；</w:t>
      </w:r>
    </w:p>
    <w:p w14:paraId="2C2559D0">
      <w:pPr>
        <w:spacing w:line="360" w:lineRule="auto"/>
        <w:ind w:firstLine="440" w:firstLineChars="2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施工工程费暂定：</w:t>
      </w:r>
      <w:r>
        <w:rPr>
          <w:rFonts w:hint="default" w:ascii="Times New Roman" w:hAnsi="Times New Roman" w:cs="Times New Roman"/>
          <w:b w:val="0"/>
          <w:bCs/>
          <w:color w:val="auto"/>
          <w:sz w:val="24"/>
          <w:highlight w:val="none"/>
          <w:u w:val="single"/>
          <w:lang w:val="en-US" w:eastAsia="zh-CN"/>
        </w:rPr>
        <w:t xml:space="preserve">          </w:t>
      </w:r>
      <w:r>
        <w:rPr>
          <w:rFonts w:hint="default" w:ascii="Times New Roman" w:hAnsi="Times New Roman" w:cs="Times New Roman"/>
          <w:color w:val="auto"/>
          <w:sz w:val="22"/>
          <w:szCs w:val="22"/>
          <w:highlight w:val="none"/>
        </w:rPr>
        <w:t>元，其中：市财政资金</w:t>
      </w:r>
      <w:r>
        <w:rPr>
          <w:rFonts w:hint="default" w:ascii="Times New Roman" w:hAnsi="Times New Roman" w:cs="Times New Roman"/>
          <w:b w:val="0"/>
          <w:bCs/>
          <w:color w:val="auto"/>
          <w:sz w:val="24"/>
          <w:highlight w:val="none"/>
          <w:u w:val="single"/>
          <w:lang w:val="en-US" w:eastAsia="zh-CN"/>
        </w:rPr>
        <w:t xml:space="preserve">          </w:t>
      </w:r>
      <w:r>
        <w:rPr>
          <w:rFonts w:hint="default" w:ascii="Times New Roman" w:hAnsi="Times New Roman" w:cs="Times New Roman"/>
          <w:color w:val="auto"/>
          <w:sz w:val="22"/>
          <w:szCs w:val="22"/>
          <w:highlight w:val="none"/>
        </w:rPr>
        <w:t>元，区财政资金</w:t>
      </w:r>
      <w:r>
        <w:rPr>
          <w:rFonts w:hint="default" w:ascii="Times New Roman" w:hAnsi="Times New Roman" w:cs="Times New Roman"/>
          <w:b w:val="0"/>
          <w:bCs/>
          <w:color w:val="auto"/>
          <w:sz w:val="24"/>
          <w:highlight w:val="none"/>
          <w:u w:val="single"/>
          <w:lang w:val="en-US" w:eastAsia="zh-CN"/>
        </w:rPr>
        <w:t xml:space="preserve">          </w:t>
      </w:r>
      <w:r>
        <w:rPr>
          <w:rFonts w:hint="default" w:ascii="Times New Roman" w:hAnsi="Times New Roman" w:cs="Times New Roman"/>
          <w:color w:val="auto"/>
          <w:sz w:val="22"/>
          <w:szCs w:val="22"/>
          <w:highlight w:val="none"/>
        </w:rPr>
        <w:t>元，</w:t>
      </w:r>
      <w:r>
        <w:rPr>
          <w:rFonts w:hint="default" w:ascii="Times New Roman" w:hAnsi="Times New Roman" w:cs="Times New Roman"/>
          <w:b w:val="0"/>
          <w:bCs/>
          <w:color w:val="auto"/>
          <w:sz w:val="24"/>
          <w:highlight w:val="none"/>
          <w:u w:val="none"/>
          <w:lang w:val="en-US" w:eastAsia="zh-CN"/>
        </w:rPr>
        <w:t>其他资金出资</w:t>
      </w:r>
      <w:r>
        <w:rPr>
          <w:rFonts w:hint="default" w:ascii="Times New Roman" w:hAnsi="Times New Roman" w:cs="Times New Roman"/>
          <w:b w:val="0"/>
          <w:bCs/>
          <w:color w:val="auto"/>
          <w:sz w:val="24"/>
          <w:highlight w:val="none"/>
          <w:u w:val="single"/>
          <w:lang w:val="en-US" w:eastAsia="zh-CN"/>
        </w:rPr>
        <w:t xml:space="preserve">          </w:t>
      </w:r>
      <w:r>
        <w:rPr>
          <w:rFonts w:hint="default" w:ascii="Times New Roman" w:hAnsi="Times New Roman" w:cs="Times New Roman"/>
          <w:b w:val="0"/>
          <w:bCs/>
          <w:color w:val="auto"/>
          <w:sz w:val="24"/>
          <w:highlight w:val="none"/>
          <w:u w:val="none"/>
          <w:lang w:val="en-US" w:eastAsia="zh-CN"/>
        </w:rPr>
        <w:t>元，</w:t>
      </w:r>
      <w:r>
        <w:rPr>
          <w:rFonts w:hint="default" w:ascii="Times New Roman" w:hAnsi="Times New Roman" w:cs="Times New Roman"/>
          <w:color w:val="auto"/>
          <w:sz w:val="22"/>
          <w:szCs w:val="22"/>
          <w:highlight w:val="none"/>
        </w:rPr>
        <w:t>投标下浮率</w:t>
      </w:r>
      <w:r>
        <w:rPr>
          <w:rFonts w:hint="default" w:ascii="Times New Roman" w:hAnsi="Times New Roman" w:cs="Times New Roman"/>
          <w:b w:val="0"/>
          <w:bCs/>
          <w:color w:val="auto"/>
          <w:sz w:val="24"/>
          <w:highlight w:val="none"/>
          <w:u w:val="single"/>
          <w:lang w:val="en-US" w:eastAsia="zh-CN"/>
        </w:rPr>
        <w:t xml:space="preserve">          </w:t>
      </w:r>
      <w:r>
        <w:rPr>
          <w:rFonts w:hint="default" w:ascii="Times New Roman" w:hAnsi="Times New Roman" w:cs="Times New Roman"/>
          <w:color w:val="auto"/>
          <w:sz w:val="22"/>
          <w:szCs w:val="22"/>
          <w:highlight w:val="none"/>
        </w:rPr>
        <w:t>。</w:t>
      </w:r>
    </w:p>
    <w:p w14:paraId="341048DB">
      <w:pPr>
        <w:autoSpaceDE w:val="0"/>
        <w:autoSpaceDN w:val="0"/>
        <w:adjustRightInd w:val="0"/>
        <w:spacing w:line="420" w:lineRule="exact"/>
        <w:ind w:firstLine="1430" w:firstLineChars="650"/>
        <w:jc w:val="lef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其中：暂列金额</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rPr>
        <w:t>元；</w:t>
      </w:r>
    </w:p>
    <w:p w14:paraId="02F31DDB">
      <w:pPr>
        <w:spacing w:line="420" w:lineRule="exact"/>
        <w:ind w:firstLine="2200" w:firstLineChars="100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安全防护、文明施工措施费用</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u w:val="single"/>
          <w:lang w:val="en-US" w:eastAsia="zh-CN"/>
        </w:rPr>
        <w:t xml:space="preserve"> </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rPr>
        <w:t>元，</w:t>
      </w:r>
    </w:p>
    <w:p w14:paraId="6F08D2B0">
      <w:pPr>
        <w:spacing w:line="420" w:lineRule="exact"/>
        <w:ind w:firstLine="2090" w:firstLineChars="950"/>
        <w:rPr>
          <w:rFonts w:hint="default" w:ascii="Times New Roman" w:hAnsi="Times New Roman" w:cs="Times New Roman"/>
          <w:color w:val="auto"/>
          <w:sz w:val="22"/>
          <w:szCs w:val="22"/>
          <w:highlight w:val="none"/>
        </w:rPr>
      </w:pPr>
      <w:r>
        <w:rPr>
          <w:rFonts w:hint="default" w:ascii="Times New Roman" w:hAnsi="Times New Roman" w:cs="Times New Roman"/>
          <w:color w:val="auto"/>
          <w:kern w:val="0"/>
          <w:sz w:val="22"/>
          <w:szCs w:val="22"/>
          <w:highlight w:val="none"/>
        </w:rPr>
        <w:t xml:space="preserve"> 余泥渣土（土方、石方、淤泥）场外运输与排放费用</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u w:val="single"/>
          <w:lang w:val="en-US" w:eastAsia="zh-CN"/>
        </w:rPr>
        <w:t xml:space="preserve">  </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rPr>
        <w:t>元。</w:t>
      </w:r>
    </w:p>
    <w:p w14:paraId="4CC7836F">
      <w:pPr>
        <w:spacing w:line="420" w:lineRule="exact"/>
        <w:ind w:firstLine="479" w:firstLineChars="218"/>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项目单价：</w:t>
      </w:r>
      <w:r>
        <w:rPr>
          <w:rFonts w:hint="default" w:ascii="Times New Roman" w:hAnsi="Times New Roman" w:cs="Times New Roman"/>
          <w:color w:val="auto"/>
          <w:sz w:val="22"/>
          <w:szCs w:val="22"/>
          <w:highlight w:val="none"/>
          <w:lang w:eastAsia="zh-CN"/>
        </w:rPr>
        <w:t>□</w:t>
      </w:r>
      <w:r>
        <w:rPr>
          <w:rFonts w:hint="default" w:ascii="Times New Roman" w:hAnsi="Times New Roman" w:cs="Times New Roman"/>
          <w:color w:val="auto"/>
          <w:sz w:val="22"/>
          <w:szCs w:val="22"/>
          <w:highlight w:val="none"/>
        </w:rPr>
        <w:t>详见承包人的投标报价书（招标工程）；</w:t>
      </w:r>
    </w:p>
    <w:p w14:paraId="7837E839">
      <w:pPr>
        <w:spacing w:line="420" w:lineRule="exact"/>
        <w:ind w:firstLine="1540" w:firstLineChars="7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□详见经确认的工程量清单报价单或施工图预算书（非招标工程）。</w:t>
      </w:r>
    </w:p>
    <w:p w14:paraId="42CCA82C">
      <w:pPr>
        <w:pStyle w:val="11"/>
        <w:rPr>
          <w:rFonts w:hint="default" w:ascii="Times New Roman" w:hAnsi="Times New Roman" w:eastAsia="宋体" w:cs="Times New Roman"/>
          <w:color w:val="auto"/>
          <w:highlight w:val="none"/>
          <w:u w:val="none"/>
          <w:lang w:val="en-US" w:eastAsia="zh-CN"/>
        </w:rPr>
      </w:pPr>
      <w:r>
        <w:rPr>
          <w:rFonts w:hint="default" w:ascii="Times New Roman" w:hAnsi="Times New Roman" w:cs="Times New Roman"/>
          <w:color w:val="auto"/>
          <w:highlight w:val="none"/>
          <w:u w:val="none"/>
          <w:lang w:val="en-US" w:eastAsia="zh-CN"/>
        </w:rPr>
        <w:t xml:space="preserve">               </w:t>
      </w:r>
      <w:r>
        <w:rPr>
          <w:rFonts w:hint="default" w:ascii="Times New Roman" w:hAnsi="Times New Roman" w:cs="Times New Roman"/>
          <w:color w:val="auto"/>
          <w:sz w:val="22"/>
          <w:szCs w:val="22"/>
          <w:highlight w:val="none"/>
          <w:u w:val="none"/>
          <w:lang w:val="en-US" w:eastAsia="zh-CN"/>
        </w:rPr>
        <w:t>上述合同价为暂定价，最终以财政评审的金额为准。</w:t>
      </w:r>
    </w:p>
    <w:p w14:paraId="71E97A9D">
      <w:pPr>
        <w:spacing w:line="360" w:lineRule="auto"/>
        <w:ind w:firstLine="440" w:firstLineChars="2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（1）本工程施工款由发包人直接拨付至</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u w:val="none"/>
          <w:lang w:eastAsia="zh-CN"/>
        </w:rPr>
        <w:t>（公司）</w:t>
      </w:r>
      <w:r>
        <w:rPr>
          <w:rFonts w:hint="default" w:ascii="Times New Roman" w:hAnsi="Times New Roman" w:cs="Times New Roman"/>
          <w:color w:val="auto"/>
          <w:sz w:val="22"/>
          <w:szCs w:val="22"/>
          <w:highlight w:val="none"/>
        </w:rPr>
        <w:t>账户，账户如下：</w:t>
      </w:r>
    </w:p>
    <w:p w14:paraId="32E916C4">
      <w:pPr>
        <w:spacing w:line="360" w:lineRule="auto"/>
        <w:ind w:firstLine="440" w:firstLineChars="200"/>
        <w:jc w:val="lef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账户名称：</w:t>
      </w:r>
      <w:r>
        <w:rPr>
          <w:rFonts w:hint="default" w:ascii="Times New Roman" w:hAnsi="Times New Roman" w:cs="Times New Roman"/>
          <w:color w:val="auto"/>
          <w:highlight w:val="none"/>
          <w:u w:val="single"/>
          <w:lang w:val="en-US" w:eastAsia="zh-CN"/>
        </w:rPr>
        <w:t xml:space="preserve">                                                                     </w:t>
      </w:r>
      <w:r>
        <w:rPr>
          <w:rFonts w:hint="default" w:ascii="Times New Roman" w:hAnsi="Times New Roman" w:cs="Times New Roman"/>
          <w:color w:val="auto"/>
          <w:sz w:val="22"/>
          <w:szCs w:val="22"/>
          <w:highlight w:val="none"/>
        </w:rPr>
        <w:t xml:space="preserve">          </w:t>
      </w:r>
    </w:p>
    <w:p w14:paraId="4327F17F">
      <w:pPr>
        <w:spacing w:line="360" w:lineRule="auto"/>
        <w:ind w:firstLine="440" w:firstLineChars="200"/>
        <w:rPr>
          <w:rFonts w:hint="default" w:ascii="Times New Roman" w:hAnsi="Times New Roman" w:cs="Times New Roman"/>
          <w:color w:val="auto"/>
          <w:kern w:val="0"/>
          <w:sz w:val="22"/>
          <w:szCs w:val="22"/>
          <w:highlight w:val="none"/>
          <w:u w:val="single"/>
        </w:rPr>
      </w:pPr>
      <w:r>
        <w:rPr>
          <w:rFonts w:hint="default" w:ascii="Times New Roman" w:hAnsi="Times New Roman" w:cs="Times New Roman"/>
          <w:color w:val="auto"/>
          <w:sz w:val="22"/>
          <w:szCs w:val="22"/>
          <w:highlight w:val="none"/>
        </w:rPr>
        <w:t>开户账号：</w:t>
      </w:r>
      <w:r>
        <w:rPr>
          <w:rFonts w:hint="default" w:ascii="Times New Roman" w:hAnsi="Times New Roman" w:cs="Times New Roman"/>
          <w:color w:val="auto"/>
          <w:highlight w:val="none"/>
          <w:u w:val="single"/>
          <w:lang w:val="en-US" w:eastAsia="zh-CN"/>
        </w:rPr>
        <w:t xml:space="preserve">                                                                     </w:t>
      </w:r>
    </w:p>
    <w:p w14:paraId="4028A645">
      <w:pPr>
        <w:spacing w:line="360" w:lineRule="auto"/>
        <w:ind w:firstLine="420" w:firstLineChars="0"/>
        <w:rPr>
          <w:rFonts w:hint="default" w:ascii="Times New Roman" w:hAnsi="Times New Roman" w:cs="Times New Roman"/>
          <w:color w:val="auto"/>
          <w:sz w:val="22"/>
          <w:szCs w:val="22"/>
          <w:highlight w:val="none"/>
        </w:rPr>
      </w:pPr>
      <w:r>
        <w:rPr>
          <w:rFonts w:hint="default" w:ascii="Times New Roman" w:hAnsi="Times New Roman" w:cs="Times New Roman"/>
          <w:color w:val="auto"/>
          <w:spacing w:val="55"/>
          <w:kern w:val="0"/>
          <w:sz w:val="22"/>
          <w:szCs w:val="22"/>
          <w:highlight w:val="none"/>
          <w:fitText w:val="880" w:id="1311990120"/>
        </w:rPr>
        <w:t>开户</w:t>
      </w:r>
      <w:r>
        <w:rPr>
          <w:rFonts w:hint="default" w:ascii="Times New Roman" w:hAnsi="Times New Roman" w:cs="Times New Roman"/>
          <w:color w:val="auto"/>
          <w:spacing w:val="0"/>
          <w:kern w:val="0"/>
          <w:sz w:val="22"/>
          <w:szCs w:val="22"/>
          <w:highlight w:val="none"/>
          <w:fitText w:val="880" w:id="1311990120"/>
        </w:rPr>
        <w:t>行</w:t>
      </w:r>
      <w:r>
        <w:rPr>
          <w:rFonts w:hint="default" w:ascii="Times New Roman" w:hAnsi="Times New Roman" w:cs="Times New Roman"/>
          <w:color w:val="auto"/>
          <w:sz w:val="22"/>
          <w:szCs w:val="22"/>
          <w:highlight w:val="none"/>
        </w:rPr>
        <w:t>：</w:t>
      </w:r>
      <w:r>
        <w:rPr>
          <w:rFonts w:hint="default" w:ascii="Times New Roman" w:hAnsi="Times New Roman" w:cs="Times New Roman"/>
          <w:color w:val="auto"/>
          <w:highlight w:val="none"/>
          <w:u w:val="single"/>
          <w:lang w:val="en-US" w:eastAsia="zh-CN"/>
        </w:rPr>
        <w:t xml:space="preserve">                                                                     </w:t>
      </w:r>
      <w:r>
        <w:rPr>
          <w:rFonts w:hint="default" w:ascii="Times New Roman" w:hAnsi="Times New Roman" w:cs="Times New Roman"/>
          <w:color w:val="auto"/>
          <w:sz w:val="22"/>
          <w:szCs w:val="22"/>
          <w:highlight w:val="none"/>
        </w:rPr>
        <w:t xml:space="preserve"> </w:t>
      </w:r>
    </w:p>
    <w:p w14:paraId="2B6DDE6E">
      <w:pPr>
        <w:spacing w:line="360" w:lineRule="auto"/>
        <w:ind w:firstLine="440" w:firstLineChars="2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（2）本工程设计服务费由发包人直接拨付至</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u w:val="none"/>
          <w:lang w:eastAsia="zh-CN"/>
        </w:rPr>
        <w:t>（公司）</w:t>
      </w:r>
      <w:r>
        <w:rPr>
          <w:rFonts w:hint="default" w:ascii="Times New Roman" w:hAnsi="Times New Roman" w:cs="Times New Roman"/>
          <w:color w:val="auto"/>
          <w:sz w:val="22"/>
          <w:szCs w:val="22"/>
          <w:highlight w:val="none"/>
        </w:rPr>
        <w:t>账户，账户如下：</w:t>
      </w:r>
    </w:p>
    <w:p w14:paraId="6C053CFE">
      <w:pPr>
        <w:spacing w:line="360" w:lineRule="auto"/>
        <w:ind w:firstLine="440" w:firstLineChars="200"/>
        <w:rPr>
          <w:rFonts w:hint="default" w:ascii="Times New Roman" w:hAnsi="Times New Roman" w:cs="Times New Roman"/>
          <w:color w:val="auto"/>
          <w:kern w:val="0"/>
          <w:sz w:val="22"/>
          <w:szCs w:val="22"/>
          <w:highlight w:val="none"/>
          <w:u w:val="single"/>
        </w:rPr>
      </w:pPr>
      <w:r>
        <w:rPr>
          <w:rFonts w:hint="default" w:ascii="Times New Roman" w:hAnsi="Times New Roman" w:cs="Times New Roman"/>
          <w:color w:val="auto"/>
          <w:sz w:val="22"/>
          <w:szCs w:val="22"/>
          <w:highlight w:val="none"/>
        </w:rPr>
        <w:t>账户名称：</w:t>
      </w:r>
      <w:r>
        <w:rPr>
          <w:rFonts w:hint="default" w:ascii="Times New Roman" w:hAnsi="Times New Roman" w:cs="Times New Roman"/>
          <w:color w:val="auto"/>
          <w:highlight w:val="none"/>
          <w:u w:val="single"/>
          <w:lang w:val="en-US" w:eastAsia="zh-CN"/>
        </w:rPr>
        <w:t xml:space="preserve">                                                                     </w:t>
      </w:r>
    </w:p>
    <w:p w14:paraId="10D03AFE">
      <w:pPr>
        <w:spacing w:line="360" w:lineRule="auto"/>
        <w:ind w:firstLine="440" w:firstLineChars="2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开户账号：</w:t>
      </w:r>
      <w:r>
        <w:rPr>
          <w:rFonts w:hint="default" w:ascii="Times New Roman" w:hAnsi="Times New Roman" w:cs="Times New Roman"/>
          <w:color w:val="auto"/>
          <w:highlight w:val="none"/>
          <w:u w:val="single"/>
          <w:lang w:val="en-US" w:eastAsia="zh-CN"/>
        </w:rPr>
        <w:t xml:space="preserve">                                                                     </w:t>
      </w:r>
    </w:p>
    <w:p w14:paraId="0F93C979">
      <w:pPr>
        <w:spacing w:line="420" w:lineRule="exact"/>
        <w:ind w:firstLine="420" w:firstLineChars="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spacing w:val="55"/>
          <w:kern w:val="0"/>
          <w:sz w:val="22"/>
          <w:szCs w:val="22"/>
          <w:highlight w:val="none"/>
          <w:fitText w:val="880" w:id="1508995728"/>
        </w:rPr>
        <w:t>开户</w:t>
      </w:r>
      <w:r>
        <w:rPr>
          <w:rFonts w:hint="default" w:ascii="Times New Roman" w:hAnsi="Times New Roman" w:cs="Times New Roman"/>
          <w:color w:val="auto"/>
          <w:spacing w:val="0"/>
          <w:kern w:val="0"/>
          <w:sz w:val="22"/>
          <w:szCs w:val="22"/>
          <w:highlight w:val="none"/>
          <w:fitText w:val="880" w:id="1508995728"/>
        </w:rPr>
        <w:t>行</w:t>
      </w:r>
      <w:r>
        <w:rPr>
          <w:rFonts w:hint="default" w:ascii="Times New Roman" w:hAnsi="Times New Roman" w:cs="Times New Roman"/>
          <w:color w:val="auto"/>
          <w:sz w:val="22"/>
          <w:szCs w:val="22"/>
          <w:highlight w:val="none"/>
        </w:rPr>
        <w:t>：</w:t>
      </w:r>
      <w:r>
        <w:rPr>
          <w:rFonts w:hint="default" w:ascii="Times New Roman" w:hAnsi="Times New Roman" w:cs="Times New Roman"/>
          <w:color w:val="auto"/>
          <w:highlight w:val="none"/>
          <w:u w:val="single"/>
          <w:lang w:val="en-US" w:eastAsia="zh-CN"/>
        </w:rPr>
        <w:t xml:space="preserve">                                                                     </w:t>
      </w:r>
    </w:p>
    <w:p w14:paraId="6F5474AA">
      <w:pPr>
        <w:spacing w:line="360" w:lineRule="auto"/>
        <w:rPr>
          <w:rFonts w:hint="default" w:ascii="Times New Roman" w:hAnsi="Times New Roman" w:cs="Times New Roman"/>
          <w:color w:val="auto"/>
          <w:sz w:val="22"/>
          <w:szCs w:val="22"/>
          <w:highlight w:val="none"/>
        </w:rPr>
      </w:pPr>
    </w:p>
    <w:p w14:paraId="52158267">
      <w:pPr>
        <w:spacing w:line="420" w:lineRule="exact"/>
        <w:outlineLvl w:val="1"/>
        <w:rPr>
          <w:rFonts w:hint="default" w:ascii="Times New Roman" w:hAnsi="Times New Roman" w:eastAsia="方正小标宋_GBK" w:cs="Times New Roman"/>
          <w:b/>
          <w:bCs/>
          <w:color w:val="auto"/>
          <w:sz w:val="24"/>
          <w:szCs w:val="24"/>
          <w:highlight w:val="none"/>
        </w:rPr>
      </w:pPr>
      <w:bookmarkStart w:id="56" w:name="_Toc1439925532"/>
      <w:bookmarkStart w:id="57" w:name="_Toc25019"/>
      <w:r>
        <w:rPr>
          <w:rFonts w:hint="default" w:ascii="Times New Roman" w:hAnsi="Times New Roman" w:eastAsia="方正小标宋_GBK" w:cs="Times New Roman"/>
          <w:b/>
          <w:bCs/>
          <w:color w:val="auto"/>
          <w:sz w:val="24"/>
          <w:szCs w:val="24"/>
          <w:highlight w:val="none"/>
        </w:rPr>
        <w:t>★六、工人工资支付分账</w:t>
      </w:r>
      <w:bookmarkEnd w:id="56"/>
      <w:bookmarkEnd w:id="57"/>
    </w:p>
    <w:p w14:paraId="7C032E75">
      <w:pPr>
        <w:spacing w:line="360" w:lineRule="auto"/>
        <w:ind w:firstLine="479" w:firstLineChars="218"/>
        <w:rPr>
          <w:rFonts w:hint="default" w:ascii="Times New Roman" w:hAnsi="Times New Roman" w:cs="Times New Roman"/>
          <w:color w:val="auto"/>
          <w:sz w:val="22"/>
          <w:szCs w:val="22"/>
          <w:highlight w:val="none"/>
          <w:u w:val="single"/>
        </w:rPr>
      </w:pPr>
      <w:r>
        <w:rPr>
          <w:rFonts w:hint="default" w:ascii="Times New Roman" w:hAnsi="Times New Roman" w:cs="Times New Roman"/>
          <w:color w:val="auto"/>
          <w:sz w:val="22"/>
          <w:szCs w:val="22"/>
          <w:highlight w:val="none"/>
        </w:rPr>
        <w:t>工人工资支付专用账户开设的约定内容：</w:t>
      </w:r>
      <w:r>
        <w:rPr>
          <w:rFonts w:hint="default" w:ascii="Times New Roman" w:hAnsi="Times New Roman" w:cs="Times New Roman"/>
          <w:color w:val="auto"/>
          <w:kern w:val="0"/>
          <w:sz w:val="22"/>
          <w:szCs w:val="22"/>
          <w:highlight w:val="none"/>
          <w:u w:val="single"/>
          <w:lang w:val="en-US" w:eastAsia="zh-CN" w:bidi="ar"/>
        </w:rPr>
        <w:t>由承包单位按相关规定开设。</w:t>
      </w:r>
      <w:r>
        <w:rPr>
          <w:rFonts w:hint="default" w:ascii="Times New Roman" w:hAnsi="Times New Roman" w:cs="Times New Roman"/>
          <w:color w:val="auto"/>
          <w:sz w:val="22"/>
          <w:szCs w:val="22"/>
          <w:highlight w:val="none"/>
          <w:u w:val="single"/>
        </w:rPr>
        <w:t>专款专用、按实计量、独立拨付、独立核算。</w:t>
      </w:r>
    </w:p>
    <w:p w14:paraId="7B849598">
      <w:pPr>
        <w:spacing w:line="360" w:lineRule="auto"/>
        <w:ind w:firstLine="479" w:firstLineChars="218"/>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 xml:space="preserve">工人工资支付专用账户开户银行（如有）： </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u w:val="single"/>
          <w:lang w:val="en-US" w:eastAsia="zh-CN"/>
        </w:rPr>
        <w:t xml:space="preserve">  </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rPr>
        <w:t>，</w:t>
      </w:r>
    </w:p>
    <w:p w14:paraId="0F6A71DC">
      <w:pPr>
        <w:spacing w:line="360" w:lineRule="auto"/>
        <w:ind w:firstLine="479" w:firstLineChars="218"/>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工人工资支付专用账户（如有）：</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u w:val="single"/>
          <w:lang w:val="en-US" w:eastAsia="zh-CN"/>
        </w:rPr>
        <w:t xml:space="preserve"> </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rPr>
        <w:t>。</w:t>
      </w:r>
    </w:p>
    <w:p w14:paraId="051FD526">
      <w:pPr>
        <w:spacing w:line="360" w:lineRule="auto"/>
        <w:ind w:firstLine="479" w:firstLineChars="218"/>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施工企业应依法支付工人工资，实现月清月结。工程款中的工人工资款比例：</w:t>
      </w:r>
      <w:r>
        <w:rPr>
          <w:rFonts w:hint="default" w:ascii="Times New Roman" w:hAnsi="Times New Roman" w:eastAsia="宋体" w:cs="Times New Roman"/>
          <w:color w:val="auto"/>
          <w:kern w:val="0"/>
          <w:sz w:val="22"/>
          <w:szCs w:val="22"/>
          <w:highlight w:val="none"/>
          <w:lang w:val="en-US" w:eastAsia="zh-CN" w:bidi="ar"/>
        </w:rPr>
        <w:sym w:font="Wingdings 2" w:char="00A3"/>
      </w:r>
      <w:r>
        <w:rPr>
          <w:rFonts w:hint="default" w:ascii="Times New Roman" w:hAnsi="Times New Roman" w:cs="Times New Roman"/>
          <w:color w:val="auto"/>
          <w:sz w:val="22"/>
          <w:szCs w:val="22"/>
          <w:highlight w:val="none"/>
        </w:rPr>
        <w:t>15% 或以上，即</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rPr>
        <w:t>%。其中：</w:t>
      </w:r>
      <w:r>
        <w:rPr>
          <w:rFonts w:hint="default" w:ascii="Times New Roman" w:hAnsi="Times New Roman" w:cs="Times New Roman"/>
          <w:color w:val="auto"/>
          <w:sz w:val="22"/>
          <w:szCs w:val="22"/>
          <w:highlight w:val="none"/>
          <w:lang w:eastAsia="zh-CN"/>
        </w:rPr>
        <w:t>预付款及</w:t>
      </w:r>
      <w:r>
        <w:rPr>
          <w:rFonts w:hint="default" w:ascii="Times New Roman" w:hAnsi="Times New Roman" w:cs="Times New Roman"/>
          <w:color w:val="auto"/>
          <w:sz w:val="22"/>
          <w:szCs w:val="22"/>
          <w:highlight w:val="none"/>
        </w:rPr>
        <w:t>每一期工程进度款中的工人工资款比例：</w:t>
      </w:r>
      <w:r>
        <w:rPr>
          <w:rFonts w:hint="default" w:ascii="Times New Roman" w:hAnsi="Times New Roman" w:cs="Times New Roman"/>
          <w:color w:val="auto"/>
          <w:sz w:val="22"/>
          <w:szCs w:val="22"/>
          <w:highlight w:val="none"/>
          <w:u w:val="single"/>
        </w:rPr>
        <w:t>工程进度款15</w:t>
      </w:r>
      <w:r>
        <w:rPr>
          <w:rFonts w:hint="default" w:ascii="Times New Roman" w:hAnsi="Times New Roman" w:cs="Times New Roman"/>
          <w:color w:val="auto"/>
          <w:sz w:val="22"/>
          <w:szCs w:val="22"/>
          <w:highlight w:val="none"/>
          <w:u w:val="single"/>
          <w:lang w:eastAsia="zh-CN"/>
        </w:rPr>
        <w:t>%支</w:t>
      </w:r>
      <w:r>
        <w:rPr>
          <w:rFonts w:hint="default" w:ascii="Times New Roman" w:hAnsi="Times New Roman" w:cs="Times New Roman"/>
          <w:color w:val="auto"/>
          <w:sz w:val="22"/>
          <w:szCs w:val="22"/>
          <w:highlight w:val="none"/>
          <w:u w:val="single"/>
        </w:rPr>
        <w:t>付至工人工资专用账户统一管理。</w:t>
      </w:r>
      <w:r>
        <w:rPr>
          <w:rFonts w:hint="default" w:ascii="Times New Roman" w:hAnsi="Times New Roman" w:cs="Times New Roman"/>
          <w:color w:val="auto"/>
          <w:sz w:val="22"/>
          <w:szCs w:val="22"/>
          <w:highlight w:val="none"/>
        </w:rPr>
        <w:t xml:space="preserve">      </w:t>
      </w:r>
    </w:p>
    <w:p w14:paraId="5F824B91">
      <w:pPr>
        <w:keepNext w:val="0"/>
        <w:keepLines w:val="0"/>
        <w:widowControl w:val="0"/>
        <w:suppressLineNumbers w:val="0"/>
        <w:spacing w:before="0" w:beforeAutospacing="0" w:after="0" w:afterAutospacing="0" w:line="420" w:lineRule="exact"/>
        <w:ind w:right="0" w:firstLine="440" w:firstLineChars="200"/>
        <w:jc w:val="left"/>
        <w:rPr>
          <w:rFonts w:hint="default" w:ascii="Times New Roman" w:hAnsi="Times New Roman" w:eastAsia="宋体" w:cs="Times New Roman"/>
          <w:color w:val="auto"/>
          <w:kern w:val="0"/>
          <w:sz w:val="22"/>
          <w:szCs w:val="22"/>
          <w:highlight w:val="none"/>
          <w:lang w:val="en-US"/>
        </w:rPr>
      </w:pPr>
      <w:r>
        <w:rPr>
          <w:rFonts w:hint="default" w:ascii="Times New Roman" w:hAnsi="Times New Roman" w:eastAsia="宋体" w:cs="Times New Roman"/>
          <w:color w:val="auto"/>
          <w:kern w:val="0"/>
          <w:sz w:val="22"/>
          <w:szCs w:val="22"/>
          <w:highlight w:val="none"/>
          <w:lang w:val="en-US" w:eastAsia="zh-CN" w:bidi="ar"/>
        </w:rPr>
        <w:t>工人工资支付周期：</w:t>
      </w:r>
      <w:r>
        <w:rPr>
          <w:rFonts w:hint="default" w:ascii="Times New Roman" w:hAnsi="Times New Roman" w:eastAsia="宋体" w:cs="Times New Roman"/>
          <w:color w:val="auto"/>
          <w:kern w:val="0"/>
          <w:sz w:val="22"/>
          <w:szCs w:val="22"/>
          <w:highlight w:val="none"/>
          <w:u w:val="single"/>
          <w:lang w:val="en-US" w:eastAsia="zh-CN" w:bidi="ar"/>
        </w:rPr>
        <w:t xml:space="preserve"> </w:t>
      </w:r>
      <w:r>
        <w:rPr>
          <w:rFonts w:hint="default" w:ascii="Times New Roman" w:hAnsi="Times New Roman" w:cs="Times New Roman"/>
          <w:color w:val="auto"/>
          <w:kern w:val="0"/>
          <w:sz w:val="22"/>
          <w:szCs w:val="22"/>
          <w:highlight w:val="none"/>
          <w:u w:val="single"/>
          <w:lang w:val="en-US" w:eastAsia="zh-CN" w:bidi="ar"/>
        </w:rPr>
        <w:t>按月支付</w:t>
      </w:r>
      <w:r>
        <w:rPr>
          <w:rFonts w:hint="default" w:ascii="Times New Roman" w:hAnsi="Times New Roman" w:eastAsia="宋体" w:cs="Times New Roman"/>
          <w:color w:val="auto"/>
          <w:kern w:val="0"/>
          <w:sz w:val="22"/>
          <w:szCs w:val="22"/>
          <w:highlight w:val="none"/>
          <w:u w:val="single"/>
          <w:lang w:val="en-US" w:eastAsia="zh-CN" w:bidi="ar"/>
        </w:rPr>
        <w:t xml:space="preserve">                             </w:t>
      </w:r>
      <w:r>
        <w:rPr>
          <w:rFonts w:hint="default" w:ascii="Times New Roman" w:hAnsi="Times New Roman" w:eastAsia="宋体" w:cs="Times New Roman"/>
          <w:color w:val="auto"/>
          <w:kern w:val="0"/>
          <w:sz w:val="22"/>
          <w:szCs w:val="22"/>
          <w:highlight w:val="none"/>
          <w:lang w:val="en-US" w:eastAsia="zh-CN" w:bidi="ar"/>
        </w:rPr>
        <w:t>。</w:t>
      </w:r>
    </w:p>
    <w:p w14:paraId="16E53551">
      <w:pPr>
        <w:spacing w:line="420" w:lineRule="exact"/>
        <w:ind w:firstLine="440" w:firstLineChars="200"/>
        <w:jc w:val="lef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sz w:val="22"/>
          <w:szCs w:val="22"/>
          <w:highlight w:val="none"/>
        </w:rPr>
        <w:t>工人工资支付专用账户支付期限：</w:t>
      </w:r>
      <w:r>
        <w:rPr>
          <w:rFonts w:hint="default" w:ascii="Times New Roman" w:hAnsi="Times New Roman" w:cs="Times New Roman"/>
          <w:color w:val="auto"/>
          <w:sz w:val="22"/>
          <w:szCs w:val="22"/>
          <w:highlight w:val="none"/>
          <w:u w:val="single"/>
        </w:rPr>
        <w:t>工程完工</w:t>
      </w:r>
      <w:r>
        <w:rPr>
          <w:rFonts w:hint="default" w:ascii="Times New Roman" w:hAnsi="Times New Roman" w:eastAsia="宋体" w:cs="Times New Roman"/>
          <w:color w:val="auto"/>
          <w:kern w:val="0"/>
          <w:sz w:val="22"/>
          <w:szCs w:val="22"/>
          <w:highlight w:val="none"/>
          <w:u w:val="single"/>
          <w:lang w:val="en-US" w:eastAsia="zh-CN" w:bidi="ar"/>
        </w:rPr>
        <w:t xml:space="preserve">                         </w:t>
      </w:r>
      <w:r>
        <w:rPr>
          <w:rFonts w:hint="default" w:ascii="Times New Roman" w:hAnsi="Times New Roman" w:cs="Times New Roman"/>
          <w:color w:val="auto"/>
          <w:sz w:val="22"/>
          <w:szCs w:val="22"/>
          <w:highlight w:val="none"/>
          <w:u w:val="single"/>
        </w:rPr>
        <w:t>。</w:t>
      </w:r>
    </w:p>
    <w:p w14:paraId="7C0F699F">
      <w:pPr>
        <w:spacing w:line="420" w:lineRule="exact"/>
        <w:ind w:firstLine="465"/>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承包人已确认上述约定工程款中的工人工资款比例能满足本工程项目的工人工资支付。</w:t>
      </w:r>
    </w:p>
    <w:p w14:paraId="760562FB">
      <w:pPr>
        <w:spacing w:line="420" w:lineRule="exact"/>
        <w:rPr>
          <w:rFonts w:hint="default" w:ascii="Times New Roman" w:hAnsi="Times New Roman" w:cs="Times New Roman"/>
          <w:color w:val="auto"/>
          <w:sz w:val="22"/>
          <w:szCs w:val="22"/>
          <w:highlight w:val="none"/>
        </w:rPr>
      </w:pPr>
    </w:p>
    <w:p w14:paraId="1FC3B1EE">
      <w:pPr>
        <w:spacing w:line="420" w:lineRule="exact"/>
        <w:outlineLvl w:val="1"/>
        <w:rPr>
          <w:rFonts w:hint="default" w:ascii="Times New Roman" w:hAnsi="Times New Roman" w:eastAsia="方正小标宋_GBK" w:cs="Times New Roman"/>
          <w:b/>
          <w:bCs/>
          <w:color w:val="auto"/>
          <w:sz w:val="24"/>
          <w:szCs w:val="24"/>
          <w:highlight w:val="none"/>
        </w:rPr>
      </w:pPr>
      <w:bookmarkStart w:id="58" w:name="_Toc469383973"/>
      <w:bookmarkStart w:id="59" w:name="_Toc266892757"/>
      <w:bookmarkStart w:id="60" w:name="_Toc593677123"/>
      <w:bookmarkStart w:id="61" w:name="_Toc8951"/>
      <w:r>
        <w:rPr>
          <w:rFonts w:hint="default" w:ascii="Times New Roman" w:hAnsi="Times New Roman" w:eastAsia="方正小标宋_GBK" w:cs="Times New Roman"/>
          <w:b/>
          <w:bCs/>
          <w:color w:val="auto"/>
          <w:sz w:val="24"/>
          <w:szCs w:val="24"/>
          <w:highlight w:val="none"/>
        </w:rPr>
        <w:t>七、组成合同的文件</w:t>
      </w:r>
      <w:bookmarkEnd w:id="58"/>
      <w:bookmarkEnd w:id="59"/>
      <w:bookmarkEnd w:id="60"/>
      <w:bookmarkEnd w:id="61"/>
    </w:p>
    <w:p w14:paraId="0B8A7759">
      <w:pPr>
        <w:pStyle w:val="15"/>
        <w:tabs>
          <w:tab w:val="left" w:pos="1260"/>
        </w:tabs>
        <w:spacing w:line="420" w:lineRule="exact"/>
        <w:ind w:left="450" w:leftChars="-100" w:hanging="660" w:hangingChars="3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 xml:space="preserve">         </w:t>
      </w:r>
    </w:p>
    <w:p w14:paraId="11C15DA5">
      <w:pPr>
        <w:pStyle w:val="15"/>
        <w:tabs>
          <w:tab w:val="left" w:pos="1260"/>
        </w:tabs>
        <w:spacing w:line="420" w:lineRule="exact"/>
        <w:ind w:firstLine="440" w:firstLineChars="2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组成本合同的文件及其优先解释顺序与本合同第二部分《通用条款》第2.2款赋予的规定一致。</w:t>
      </w:r>
    </w:p>
    <w:p w14:paraId="10E2A707">
      <w:pPr>
        <w:pStyle w:val="15"/>
        <w:tabs>
          <w:tab w:val="left" w:pos="1260"/>
        </w:tabs>
        <w:spacing w:line="420" w:lineRule="exact"/>
        <w:ind w:firstLine="477" w:firstLineChars="217"/>
        <w:rPr>
          <w:rFonts w:hint="default" w:ascii="Times New Roman" w:hAnsi="Times New Roman" w:cs="Times New Roman"/>
          <w:color w:val="auto"/>
          <w:sz w:val="22"/>
          <w:szCs w:val="22"/>
          <w:highlight w:val="none"/>
        </w:rPr>
      </w:pPr>
    </w:p>
    <w:p w14:paraId="2D0E137A">
      <w:pPr>
        <w:spacing w:line="420" w:lineRule="exact"/>
        <w:outlineLvl w:val="1"/>
        <w:rPr>
          <w:rFonts w:hint="default" w:ascii="Times New Roman" w:hAnsi="Times New Roman" w:eastAsia="方正小标宋_GBK" w:cs="Times New Roman"/>
          <w:b/>
          <w:bCs/>
          <w:color w:val="auto"/>
          <w:sz w:val="24"/>
          <w:szCs w:val="24"/>
          <w:highlight w:val="none"/>
        </w:rPr>
      </w:pPr>
      <w:bookmarkStart w:id="62" w:name="_Toc30074"/>
      <w:bookmarkStart w:id="63" w:name="_Toc344964773"/>
      <w:bookmarkStart w:id="64" w:name="_Toc266892758"/>
      <w:bookmarkStart w:id="65" w:name="_Toc469383974"/>
      <w:r>
        <w:rPr>
          <w:rFonts w:hint="default" w:ascii="Times New Roman" w:hAnsi="Times New Roman" w:eastAsia="方正小标宋_GBK" w:cs="Times New Roman"/>
          <w:b/>
          <w:bCs/>
          <w:color w:val="auto"/>
          <w:sz w:val="24"/>
          <w:szCs w:val="24"/>
          <w:highlight w:val="none"/>
        </w:rPr>
        <w:t>八、词语含义</w:t>
      </w:r>
      <w:bookmarkEnd w:id="62"/>
      <w:bookmarkEnd w:id="63"/>
      <w:bookmarkEnd w:id="64"/>
      <w:bookmarkEnd w:id="65"/>
    </w:p>
    <w:p w14:paraId="1596E858">
      <w:pPr>
        <w:pStyle w:val="12"/>
        <w:spacing w:line="420" w:lineRule="exact"/>
        <w:ind w:firstLine="440" w:firstLineChars="200"/>
        <w:rPr>
          <w:rFonts w:hint="default" w:ascii="Times New Roman" w:hAnsi="Times New Roman" w:cs="Times New Roman"/>
          <w:color w:val="auto"/>
          <w:sz w:val="22"/>
          <w:szCs w:val="22"/>
          <w:highlight w:val="none"/>
        </w:rPr>
      </w:pPr>
    </w:p>
    <w:p w14:paraId="7B3FC9E6">
      <w:pPr>
        <w:pStyle w:val="12"/>
        <w:spacing w:line="420" w:lineRule="exact"/>
        <w:ind w:firstLine="440" w:firstLineChars="2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本协议书中有关词语含义与本合同第二部分《通用条款》第1条赋予它们的定义相同。</w:t>
      </w:r>
    </w:p>
    <w:p w14:paraId="5146EEB8">
      <w:pPr>
        <w:pStyle w:val="12"/>
        <w:spacing w:line="420" w:lineRule="exact"/>
        <w:ind w:firstLine="0"/>
        <w:rPr>
          <w:rFonts w:hint="default" w:ascii="Times New Roman" w:hAnsi="Times New Roman" w:cs="Times New Roman"/>
          <w:color w:val="auto"/>
          <w:sz w:val="22"/>
          <w:szCs w:val="22"/>
          <w:highlight w:val="none"/>
        </w:rPr>
      </w:pPr>
    </w:p>
    <w:p w14:paraId="340E31F2">
      <w:pPr>
        <w:spacing w:line="420" w:lineRule="exact"/>
        <w:outlineLvl w:val="1"/>
        <w:rPr>
          <w:rFonts w:hint="default" w:ascii="Times New Roman" w:hAnsi="Times New Roman" w:eastAsia="方正小标宋_GBK" w:cs="Times New Roman"/>
          <w:b/>
          <w:bCs/>
          <w:color w:val="auto"/>
          <w:sz w:val="24"/>
          <w:szCs w:val="24"/>
          <w:highlight w:val="none"/>
        </w:rPr>
      </w:pPr>
      <w:bookmarkStart w:id="66" w:name="_Toc469383975"/>
      <w:bookmarkStart w:id="67" w:name="_Toc266892759"/>
      <w:bookmarkStart w:id="68" w:name="_Toc1643287006"/>
      <w:bookmarkStart w:id="69" w:name="_Toc1599"/>
      <w:r>
        <w:rPr>
          <w:rFonts w:hint="default" w:ascii="Times New Roman" w:hAnsi="Times New Roman" w:eastAsia="方正小标宋_GBK" w:cs="Times New Roman"/>
          <w:b/>
          <w:bCs/>
          <w:color w:val="auto"/>
          <w:sz w:val="24"/>
          <w:szCs w:val="24"/>
          <w:highlight w:val="none"/>
        </w:rPr>
        <w:t>九、承包人承诺</w:t>
      </w:r>
      <w:bookmarkEnd w:id="66"/>
      <w:bookmarkEnd w:id="67"/>
      <w:bookmarkEnd w:id="68"/>
      <w:bookmarkEnd w:id="69"/>
    </w:p>
    <w:p w14:paraId="4C132C35">
      <w:pPr>
        <w:pStyle w:val="12"/>
        <w:spacing w:line="420" w:lineRule="exact"/>
        <w:ind w:firstLine="440" w:firstLineChars="200"/>
        <w:rPr>
          <w:rFonts w:hint="default" w:ascii="Times New Roman" w:hAnsi="Times New Roman" w:cs="Times New Roman"/>
          <w:color w:val="auto"/>
          <w:sz w:val="22"/>
          <w:szCs w:val="22"/>
          <w:highlight w:val="none"/>
        </w:rPr>
      </w:pPr>
    </w:p>
    <w:p w14:paraId="03131B37">
      <w:pPr>
        <w:adjustRightInd w:val="0"/>
        <w:snapToGrid w:val="0"/>
        <w:spacing w:line="360" w:lineRule="auto"/>
        <w:ind w:right="11" w:firstLine="440" w:firstLineChars="200"/>
        <w:rPr>
          <w:rFonts w:hint="default" w:ascii="Times New Roman" w:hAnsi="Times New Roman" w:cs="Times New Roman"/>
          <w:bCs/>
          <w:snapToGrid w:val="0"/>
          <w:color w:val="auto"/>
          <w:kern w:val="0"/>
          <w:sz w:val="22"/>
          <w:szCs w:val="22"/>
          <w:highlight w:val="none"/>
        </w:rPr>
      </w:pPr>
      <w:r>
        <w:rPr>
          <w:rFonts w:hint="default" w:ascii="Times New Roman" w:hAnsi="Times New Roman" w:cs="Times New Roman"/>
          <w:color w:val="auto"/>
          <w:sz w:val="22"/>
          <w:szCs w:val="22"/>
          <w:highlight w:val="none"/>
        </w:rPr>
        <w:t>1.承包人向发包人承诺已阅读、理解并接受本合同所有条款，</w:t>
      </w:r>
      <w:r>
        <w:rPr>
          <w:rFonts w:hint="default" w:ascii="Times New Roman" w:hAnsi="Times New Roman" w:cs="Times New Roman"/>
          <w:bCs/>
          <w:snapToGrid w:val="0"/>
          <w:color w:val="auto"/>
          <w:kern w:val="0"/>
          <w:sz w:val="22"/>
          <w:szCs w:val="22"/>
          <w:highlight w:val="none"/>
        </w:rPr>
        <w:t>按照合同约定进行设计、采购、施工、竣工验收、移交、结算及配合服务，并在缺陷责任期及质量保修期内承担工程质量保修责任。</w:t>
      </w:r>
    </w:p>
    <w:p w14:paraId="73ACE9A1">
      <w:pPr>
        <w:adjustRightInd w:val="0"/>
        <w:snapToGrid w:val="0"/>
        <w:spacing w:line="360" w:lineRule="auto"/>
        <w:ind w:right="11" w:firstLine="440" w:firstLineChars="200"/>
        <w:rPr>
          <w:rFonts w:hint="default" w:ascii="Times New Roman" w:hAnsi="Times New Roman" w:eastAsia="宋体" w:cs="Times New Roman"/>
          <w:color w:val="auto"/>
          <w:sz w:val="22"/>
          <w:szCs w:val="22"/>
          <w:highlight w:val="none"/>
          <w:lang w:eastAsia="zh-CN"/>
        </w:rPr>
      </w:pPr>
      <w:r>
        <w:rPr>
          <w:rFonts w:hint="default" w:ascii="Times New Roman" w:hAnsi="Times New Roman" w:cs="Times New Roman"/>
          <w:color w:val="auto"/>
          <w:sz w:val="22"/>
          <w:szCs w:val="22"/>
          <w:highlight w:val="none"/>
        </w:rPr>
        <w:t>2.承包人为联合体的，联合体主办方作为本项目总负责单位，除承担本项目的施工外，还对本项目的进度、质量、安全、投资控制、管理、协调等负全责。同时，联合体各成员应当共同与发包人签订合同，并就合同项下彼此的责任和义务，包</w:t>
      </w:r>
      <w:r>
        <w:rPr>
          <w:rFonts w:hint="default" w:ascii="Times New Roman" w:hAnsi="Times New Roman" w:cs="Times New Roman"/>
          <w:color w:val="auto"/>
          <w:sz w:val="22"/>
          <w:szCs w:val="22"/>
          <w:highlight w:val="none"/>
          <w:lang w:eastAsia="zh-CN"/>
        </w:rPr>
        <w:t>括但</w:t>
      </w:r>
      <w:r>
        <w:rPr>
          <w:rFonts w:hint="default" w:ascii="Times New Roman" w:hAnsi="Times New Roman" w:cs="Times New Roman"/>
          <w:color w:val="auto"/>
          <w:sz w:val="22"/>
          <w:szCs w:val="22"/>
          <w:highlight w:val="none"/>
        </w:rPr>
        <w:t>不限于：人力资源、材料、机械设备投入，材料设备采购及管理，工程投资控制，设计成果文件提交、修改完善及质量保证，工程工期，工程质量安全，工程进度，工程变更，工程竣工验收及结算，文明施工及环境保护，工程移交，缺陷责任及质量保修，工程转包、分包，工人工资支付，投资控制，报批报建等方面，按照招标文件及合同约定向发包人承担不可撤销的连带责任</w:t>
      </w:r>
      <w:r>
        <w:rPr>
          <w:rFonts w:hint="default" w:ascii="Times New Roman" w:hAnsi="Times New Roman" w:cs="Times New Roman"/>
          <w:color w:val="auto"/>
          <w:sz w:val="22"/>
          <w:szCs w:val="22"/>
          <w:highlight w:val="none"/>
          <w:lang w:eastAsia="zh-CN"/>
        </w:rPr>
        <w:t>。</w:t>
      </w:r>
    </w:p>
    <w:p w14:paraId="6749AF7F">
      <w:pPr>
        <w:spacing w:line="420" w:lineRule="exact"/>
        <w:outlineLvl w:val="1"/>
        <w:rPr>
          <w:rFonts w:hint="default" w:ascii="Times New Roman" w:hAnsi="Times New Roman" w:eastAsia="方正小标宋_GBK" w:cs="Times New Roman"/>
          <w:b/>
          <w:bCs/>
          <w:color w:val="auto"/>
          <w:sz w:val="24"/>
          <w:szCs w:val="24"/>
          <w:highlight w:val="none"/>
        </w:rPr>
      </w:pPr>
      <w:bookmarkStart w:id="70" w:name="_Toc2048992581"/>
      <w:bookmarkStart w:id="71" w:name="_Toc469383976"/>
      <w:bookmarkStart w:id="72" w:name="_Toc266892760"/>
      <w:bookmarkStart w:id="73" w:name="_Toc6708"/>
      <w:r>
        <w:rPr>
          <w:rFonts w:hint="default" w:ascii="Times New Roman" w:hAnsi="Times New Roman" w:eastAsia="方正小标宋_GBK" w:cs="Times New Roman"/>
          <w:b/>
          <w:bCs/>
          <w:color w:val="auto"/>
          <w:sz w:val="24"/>
          <w:szCs w:val="24"/>
          <w:highlight w:val="none"/>
        </w:rPr>
        <w:t>十、发包人承诺</w:t>
      </w:r>
      <w:bookmarkEnd w:id="70"/>
      <w:bookmarkEnd w:id="71"/>
      <w:bookmarkEnd w:id="72"/>
      <w:bookmarkEnd w:id="73"/>
    </w:p>
    <w:p w14:paraId="60696BBF">
      <w:pPr>
        <w:spacing w:line="420" w:lineRule="exact"/>
        <w:ind w:firstLine="440" w:firstLineChars="200"/>
        <w:rPr>
          <w:rFonts w:hint="default" w:ascii="Times New Roman" w:hAnsi="Times New Roman" w:cs="Times New Roman"/>
          <w:color w:val="auto"/>
          <w:sz w:val="22"/>
          <w:szCs w:val="22"/>
          <w:highlight w:val="none"/>
        </w:rPr>
      </w:pPr>
    </w:p>
    <w:p w14:paraId="78C3A9B2">
      <w:pPr>
        <w:spacing w:line="420" w:lineRule="exact"/>
        <w:ind w:firstLine="440" w:firstLineChars="2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发包人向承包人承诺已阅读、理解并接受本合同所有条款，按照本合同约定的时限和方法支付工程款及其他应当支付的款项，履行本合同所约定的全部义务。</w:t>
      </w:r>
    </w:p>
    <w:p w14:paraId="4B2379D1">
      <w:pPr>
        <w:spacing w:line="420" w:lineRule="exact"/>
        <w:ind w:firstLine="440" w:firstLineChars="200"/>
        <w:rPr>
          <w:rFonts w:hint="default" w:ascii="Times New Roman" w:hAnsi="Times New Roman" w:cs="Times New Roman"/>
          <w:color w:val="auto"/>
          <w:sz w:val="22"/>
          <w:szCs w:val="22"/>
          <w:highlight w:val="none"/>
        </w:rPr>
      </w:pPr>
    </w:p>
    <w:p w14:paraId="65B932F4">
      <w:pPr>
        <w:numPr>
          <w:ilvl w:val="0"/>
          <w:numId w:val="3"/>
        </w:numPr>
        <w:spacing w:line="420" w:lineRule="exact"/>
        <w:outlineLvl w:val="1"/>
        <w:rPr>
          <w:rFonts w:hint="default" w:ascii="Times New Roman" w:hAnsi="Times New Roman" w:eastAsia="方正小标宋_GBK" w:cs="Times New Roman"/>
          <w:b/>
          <w:bCs/>
          <w:color w:val="auto"/>
          <w:sz w:val="24"/>
          <w:szCs w:val="24"/>
          <w:highlight w:val="none"/>
        </w:rPr>
      </w:pPr>
      <w:bookmarkStart w:id="74" w:name="_Toc11765"/>
      <w:bookmarkStart w:id="75" w:name="_Toc469383977"/>
      <w:bookmarkStart w:id="76" w:name="_Toc491771285"/>
      <w:bookmarkStart w:id="77" w:name="_Toc266892761"/>
      <w:r>
        <w:rPr>
          <w:rFonts w:hint="default" w:ascii="Times New Roman" w:hAnsi="Times New Roman" w:eastAsia="方正小标宋_GBK" w:cs="Times New Roman"/>
          <w:b/>
          <w:bCs/>
          <w:color w:val="auto"/>
          <w:sz w:val="24"/>
          <w:szCs w:val="24"/>
          <w:highlight w:val="none"/>
        </w:rPr>
        <w:t>合同生效</w:t>
      </w:r>
      <w:bookmarkEnd w:id="74"/>
      <w:bookmarkEnd w:id="75"/>
      <w:bookmarkEnd w:id="76"/>
      <w:bookmarkEnd w:id="77"/>
    </w:p>
    <w:p w14:paraId="5A61DFC6">
      <w:pPr>
        <w:spacing w:line="420" w:lineRule="exact"/>
        <w:ind w:left="525"/>
        <w:rPr>
          <w:rFonts w:hint="default" w:ascii="Times New Roman" w:hAnsi="Times New Roman" w:cs="Times New Roman"/>
          <w:color w:val="auto"/>
          <w:sz w:val="22"/>
          <w:szCs w:val="22"/>
          <w:highlight w:val="none"/>
        </w:rPr>
      </w:pPr>
    </w:p>
    <w:p w14:paraId="4E92ECD8">
      <w:pPr>
        <w:spacing w:line="420" w:lineRule="exact"/>
        <w:ind w:left="525"/>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本合同订立时间：</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rPr>
        <w:t>年</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rPr>
        <w:t>月</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rPr>
        <w:t>日</w:t>
      </w:r>
    </w:p>
    <w:p w14:paraId="30730AA3">
      <w:pPr>
        <w:spacing w:line="420" w:lineRule="exact"/>
        <w:ind w:left="525"/>
        <w:rPr>
          <w:rFonts w:hint="default" w:ascii="Times New Roman" w:hAnsi="Times New Roman" w:cs="Times New Roman"/>
          <w:color w:val="auto"/>
          <w:sz w:val="22"/>
          <w:szCs w:val="22"/>
          <w:highlight w:val="none"/>
          <w:u w:val="single"/>
        </w:rPr>
      </w:pPr>
      <w:r>
        <w:rPr>
          <w:rFonts w:hint="default" w:ascii="Times New Roman" w:hAnsi="Times New Roman" w:cs="Times New Roman"/>
          <w:color w:val="auto"/>
          <w:sz w:val="22"/>
          <w:szCs w:val="22"/>
          <w:highlight w:val="none"/>
        </w:rPr>
        <w:t>本合同订立地点：</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u w:val="single"/>
          <w:lang w:val="en-US" w:eastAsia="zh-CN"/>
        </w:rPr>
        <w:t xml:space="preserve">                         </w:t>
      </w:r>
      <w:r>
        <w:rPr>
          <w:rFonts w:hint="default" w:ascii="Times New Roman" w:hAnsi="Times New Roman" w:cs="Times New Roman"/>
          <w:color w:val="auto"/>
          <w:sz w:val="22"/>
          <w:szCs w:val="22"/>
          <w:highlight w:val="none"/>
          <w:u w:val="single"/>
        </w:rPr>
        <w:t xml:space="preserve">     </w:t>
      </w:r>
    </w:p>
    <w:p w14:paraId="641C75AC">
      <w:pPr>
        <w:spacing w:line="420" w:lineRule="exact"/>
        <w:ind w:left="525"/>
        <w:rPr>
          <w:rFonts w:hint="default" w:ascii="Times New Roman" w:hAnsi="Times New Roman" w:cs="Times New Roman"/>
          <w:color w:val="auto"/>
          <w:sz w:val="22"/>
          <w:szCs w:val="22"/>
          <w:highlight w:val="none"/>
          <w:u w:val="single"/>
        </w:rPr>
      </w:pPr>
    </w:p>
    <w:p w14:paraId="1EB30667">
      <w:pPr>
        <w:numPr>
          <w:ilvl w:val="0"/>
          <w:numId w:val="3"/>
        </w:numPr>
        <w:spacing w:line="420" w:lineRule="exact"/>
        <w:outlineLvl w:val="1"/>
        <w:rPr>
          <w:rFonts w:hint="default" w:ascii="Times New Roman" w:hAnsi="Times New Roman" w:eastAsia="方正小标宋_GBK" w:cs="Times New Roman"/>
          <w:b/>
          <w:bCs/>
          <w:color w:val="auto"/>
          <w:sz w:val="24"/>
          <w:szCs w:val="24"/>
          <w:highlight w:val="none"/>
        </w:rPr>
      </w:pPr>
      <w:bookmarkStart w:id="78" w:name="_Toc570629499"/>
      <w:bookmarkStart w:id="79" w:name="_Toc23688"/>
      <w:r>
        <w:rPr>
          <w:rFonts w:hint="default" w:ascii="Times New Roman" w:hAnsi="Times New Roman" w:eastAsia="方正小标宋_GBK" w:cs="Times New Roman"/>
          <w:b/>
          <w:bCs/>
          <w:color w:val="auto"/>
          <w:sz w:val="24"/>
          <w:szCs w:val="24"/>
          <w:highlight w:val="none"/>
        </w:rPr>
        <w:t>合同份数</w:t>
      </w:r>
      <w:bookmarkEnd w:id="78"/>
      <w:bookmarkEnd w:id="79"/>
    </w:p>
    <w:p w14:paraId="2DB1062B">
      <w:pPr>
        <w:spacing w:line="420" w:lineRule="exact"/>
        <w:ind w:left="525"/>
        <w:rPr>
          <w:rFonts w:hint="default" w:ascii="Times New Roman" w:hAnsi="Times New Roman" w:cs="Times New Roman"/>
          <w:color w:val="auto"/>
          <w:sz w:val="22"/>
          <w:szCs w:val="22"/>
          <w:highlight w:val="none"/>
        </w:rPr>
      </w:pPr>
    </w:p>
    <w:p w14:paraId="30ACFA3F">
      <w:pPr>
        <w:spacing w:line="420" w:lineRule="exact"/>
        <w:ind w:left="525"/>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本合同一式</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rPr>
        <w:t>份，具有同等法律效力，其中甲方执</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rPr>
        <w:t>份，乙方执</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rPr>
        <w:t>份。</w:t>
      </w:r>
    </w:p>
    <w:p w14:paraId="33BD49EB">
      <w:pPr>
        <w:spacing w:line="420" w:lineRule="exact"/>
        <w:ind w:firstLine="479" w:firstLineChars="218"/>
        <w:jc w:val="lef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合同双方当事人约定本合同自双方签字、盖章后生效。</w:t>
      </w:r>
    </w:p>
    <w:p w14:paraId="5450C138">
      <w:pPr>
        <w:spacing w:line="420" w:lineRule="exact"/>
        <w:jc w:val="center"/>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br w:type="page"/>
      </w:r>
      <w:r>
        <w:rPr>
          <w:rFonts w:hint="default" w:ascii="Times New Roman" w:hAnsi="Times New Roman" w:cs="Times New Roman"/>
          <w:color w:val="auto"/>
          <w:sz w:val="22"/>
          <w:szCs w:val="22"/>
          <w:highlight w:val="none"/>
        </w:rPr>
        <w:t>（以下无正文）</w:t>
      </w:r>
    </w:p>
    <w:p w14:paraId="2DF63F60">
      <w:pPr>
        <w:spacing w:line="420" w:lineRule="exact"/>
        <w:rPr>
          <w:rFonts w:hint="default" w:ascii="Times New Roman" w:hAnsi="Times New Roman" w:cs="Times New Roman"/>
          <w:color w:val="auto"/>
          <w:sz w:val="22"/>
          <w:szCs w:val="22"/>
          <w:highlight w:val="none"/>
        </w:rPr>
      </w:pPr>
    </w:p>
    <w:tbl>
      <w:tblPr>
        <w:tblStyle w:val="29"/>
        <w:tblpPr w:leftFromText="180" w:rightFromText="180" w:vertAnchor="text" w:horzAnchor="page" w:tblpX="1412" w:tblpY="98"/>
        <w:tblW w:w="0" w:type="auto"/>
        <w:tblInd w:w="0" w:type="dxa"/>
        <w:tblLayout w:type="fixed"/>
        <w:tblCellMar>
          <w:top w:w="0" w:type="dxa"/>
          <w:left w:w="108" w:type="dxa"/>
          <w:bottom w:w="0" w:type="dxa"/>
          <w:right w:w="108" w:type="dxa"/>
        </w:tblCellMar>
      </w:tblPr>
      <w:tblGrid>
        <w:gridCol w:w="4789"/>
        <w:gridCol w:w="4850"/>
      </w:tblGrid>
      <w:tr w14:paraId="0718809D">
        <w:tblPrEx>
          <w:tblCellMar>
            <w:top w:w="0" w:type="dxa"/>
            <w:left w:w="108" w:type="dxa"/>
            <w:bottom w:w="0" w:type="dxa"/>
            <w:right w:w="108" w:type="dxa"/>
          </w:tblCellMar>
        </w:tblPrEx>
        <w:trPr>
          <w:trHeight w:val="1955" w:hRule="atLeast"/>
        </w:trPr>
        <w:tc>
          <w:tcPr>
            <w:tcW w:w="4789" w:type="dxa"/>
            <w:noWrap w:val="0"/>
            <w:vAlign w:val="top"/>
          </w:tcPr>
          <w:p w14:paraId="4AC9F9F4">
            <w:pPr>
              <w:pStyle w:val="67"/>
              <w:framePr w:hSpace="0" w:wrap="auto" w:vAnchor="margin" w:hAnchor="text" w:yAlign="inline"/>
              <w:spacing w:after="50" w:line="360" w:lineRule="auto"/>
              <w:rPr>
                <w:rFonts w:hint="default" w:ascii="Times New Roman" w:hAnsi="Times New Roman" w:eastAsia="仿宋_GB2312" w:cs="Times New Roman"/>
                <w:color w:val="auto"/>
                <w:sz w:val="30"/>
                <w:szCs w:val="30"/>
                <w:highlight w:val="none"/>
              </w:rPr>
            </w:pPr>
            <w:r>
              <w:rPr>
                <w:rFonts w:hint="default" w:ascii="Times New Roman" w:hAnsi="Times New Roman" w:cs="Times New Roman"/>
                <w:color w:val="auto"/>
                <w:sz w:val="22"/>
                <w:szCs w:val="22"/>
                <w:highlight w:val="none"/>
              </w:rPr>
              <w:t xml:space="preserve">发包人：（盖章） </w:t>
            </w:r>
          </w:p>
          <w:p w14:paraId="2BC5C019">
            <w:pPr>
              <w:pStyle w:val="67"/>
              <w:framePr w:hSpace="0" w:wrap="auto" w:vAnchor="margin" w:hAnchor="text" w:yAlign="inline"/>
              <w:spacing w:after="50" w:line="360" w:lineRule="auto"/>
              <w:rPr>
                <w:rFonts w:hint="default" w:ascii="Times New Roman" w:hAnsi="Times New Roman" w:eastAsia="仿宋_GB2312" w:cs="Times New Roman"/>
                <w:color w:val="auto"/>
                <w:sz w:val="30"/>
                <w:szCs w:val="30"/>
                <w:highlight w:val="none"/>
              </w:rPr>
            </w:pPr>
          </w:p>
        </w:tc>
        <w:tc>
          <w:tcPr>
            <w:tcW w:w="4850" w:type="dxa"/>
            <w:noWrap w:val="0"/>
            <w:vAlign w:val="top"/>
          </w:tcPr>
          <w:p w14:paraId="4DCBEE78">
            <w:pPr>
              <w:pStyle w:val="67"/>
              <w:framePr w:hSpace="0" w:wrap="auto" w:vAnchor="margin" w:hAnchor="text" w:yAlign="inline"/>
              <w:spacing w:after="50" w:line="360" w:lineRule="auto"/>
              <w:rPr>
                <w:rFonts w:hint="default" w:ascii="Times New Roman" w:hAnsi="Times New Roman" w:eastAsia="仿宋_GB2312" w:cs="Times New Roman"/>
                <w:color w:val="auto"/>
                <w:sz w:val="30"/>
                <w:szCs w:val="30"/>
                <w:highlight w:val="none"/>
              </w:rPr>
            </w:pPr>
            <w:r>
              <w:rPr>
                <w:rFonts w:hint="default" w:ascii="Times New Roman" w:hAnsi="Times New Roman" w:cs="Times New Roman"/>
                <w:color w:val="auto"/>
                <w:sz w:val="22"/>
                <w:szCs w:val="22"/>
                <w:highlight w:val="none"/>
              </w:rPr>
              <w:t xml:space="preserve"> 承包人：（盖章） </w:t>
            </w:r>
          </w:p>
          <w:p w14:paraId="12B27FCE">
            <w:pPr>
              <w:pStyle w:val="67"/>
              <w:framePr w:hSpace="0" w:wrap="auto" w:vAnchor="margin" w:hAnchor="text" w:yAlign="inline"/>
              <w:spacing w:after="50" w:line="360" w:lineRule="auto"/>
              <w:rPr>
                <w:rFonts w:hint="default" w:ascii="Times New Roman" w:hAnsi="Times New Roman" w:eastAsia="仿宋_GB2312" w:cs="Times New Roman"/>
                <w:color w:val="auto"/>
                <w:sz w:val="30"/>
                <w:szCs w:val="30"/>
                <w:highlight w:val="none"/>
              </w:rPr>
            </w:pPr>
          </w:p>
          <w:p w14:paraId="794CAF62">
            <w:pPr>
              <w:pStyle w:val="67"/>
              <w:framePr w:hSpace="0" w:wrap="auto" w:vAnchor="margin" w:hAnchor="text" w:yAlign="inline"/>
              <w:spacing w:after="50" w:line="360" w:lineRule="auto"/>
              <w:rPr>
                <w:rFonts w:hint="default" w:ascii="Times New Roman" w:hAnsi="Times New Roman" w:eastAsia="仿宋_GB2312" w:cs="Times New Roman"/>
                <w:color w:val="auto"/>
                <w:sz w:val="30"/>
                <w:szCs w:val="30"/>
                <w:highlight w:val="none"/>
              </w:rPr>
            </w:pPr>
          </w:p>
        </w:tc>
      </w:tr>
      <w:tr w14:paraId="1DB516E9">
        <w:tblPrEx>
          <w:tblCellMar>
            <w:top w:w="0" w:type="dxa"/>
            <w:left w:w="108" w:type="dxa"/>
            <w:bottom w:w="0" w:type="dxa"/>
            <w:right w:w="108" w:type="dxa"/>
          </w:tblCellMar>
        </w:tblPrEx>
        <w:trPr>
          <w:trHeight w:val="497" w:hRule="atLeast"/>
        </w:trPr>
        <w:tc>
          <w:tcPr>
            <w:tcW w:w="4789" w:type="dxa"/>
            <w:noWrap w:val="0"/>
            <w:vAlign w:val="top"/>
          </w:tcPr>
          <w:p w14:paraId="5F3CE8AA">
            <w:pPr>
              <w:pStyle w:val="67"/>
              <w:framePr w:hSpace="0" w:wrap="auto" w:vAnchor="margin" w:hAnchor="text" w:yAlign="inline"/>
              <w:spacing w:after="50" w:line="360" w:lineRule="auto"/>
              <w:rPr>
                <w:rFonts w:hint="default" w:ascii="Times New Roman" w:hAnsi="Times New Roman" w:eastAsia="仿宋_GB2312" w:cs="Times New Roman"/>
                <w:color w:val="auto"/>
                <w:sz w:val="30"/>
                <w:szCs w:val="30"/>
                <w:highlight w:val="none"/>
              </w:rPr>
            </w:pPr>
            <w:r>
              <w:rPr>
                <w:rFonts w:hint="default" w:ascii="Times New Roman" w:hAnsi="Times New Roman" w:cs="Times New Roman"/>
                <w:color w:val="auto"/>
                <w:sz w:val="22"/>
                <w:szCs w:val="22"/>
                <w:highlight w:val="none"/>
              </w:rPr>
              <w:t>地址：</w:t>
            </w:r>
          </w:p>
        </w:tc>
        <w:tc>
          <w:tcPr>
            <w:tcW w:w="4850" w:type="dxa"/>
            <w:noWrap w:val="0"/>
            <w:vAlign w:val="top"/>
          </w:tcPr>
          <w:p w14:paraId="7EC51952">
            <w:pPr>
              <w:pStyle w:val="67"/>
              <w:framePr w:hSpace="0" w:wrap="auto" w:vAnchor="margin" w:hAnchor="text" w:yAlign="inline"/>
              <w:spacing w:after="50" w:line="360" w:lineRule="auto"/>
              <w:rPr>
                <w:rFonts w:hint="default" w:ascii="Times New Roman" w:hAnsi="Times New Roman" w:eastAsia="仿宋_GB2312" w:cs="Times New Roman"/>
                <w:color w:val="auto"/>
                <w:sz w:val="30"/>
                <w:szCs w:val="30"/>
                <w:highlight w:val="none"/>
              </w:rPr>
            </w:pPr>
            <w:r>
              <w:rPr>
                <w:rFonts w:hint="default" w:ascii="Times New Roman" w:hAnsi="Times New Roman" w:cs="Times New Roman"/>
                <w:color w:val="auto"/>
                <w:sz w:val="22"/>
                <w:szCs w:val="22"/>
                <w:highlight w:val="none"/>
              </w:rPr>
              <w:t>地址：</w:t>
            </w:r>
          </w:p>
        </w:tc>
      </w:tr>
      <w:tr w14:paraId="44384BE5">
        <w:tblPrEx>
          <w:tblCellMar>
            <w:top w:w="0" w:type="dxa"/>
            <w:left w:w="108" w:type="dxa"/>
            <w:bottom w:w="0" w:type="dxa"/>
            <w:right w:w="108" w:type="dxa"/>
          </w:tblCellMar>
        </w:tblPrEx>
        <w:trPr>
          <w:trHeight w:val="4561" w:hRule="atLeast"/>
        </w:trPr>
        <w:tc>
          <w:tcPr>
            <w:tcW w:w="4789" w:type="dxa"/>
            <w:noWrap w:val="0"/>
            <w:vAlign w:val="top"/>
          </w:tcPr>
          <w:p w14:paraId="0748B15C">
            <w:pPr>
              <w:pStyle w:val="67"/>
              <w:framePr w:hSpace="0" w:wrap="auto" w:vAnchor="margin" w:hAnchor="text" w:yAlign="inline"/>
              <w:spacing w:after="50" w:line="360" w:lineRule="auto"/>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法定代表人：</w:t>
            </w:r>
            <w:r>
              <w:rPr>
                <w:rFonts w:hint="default" w:ascii="Times New Roman" w:hAnsi="Times New Roman" w:eastAsia="宋体" w:cs="Times New Roman"/>
                <w:color w:val="auto"/>
                <w:kern w:val="0"/>
                <w:sz w:val="22"/>
                <w:szCs w:val="22"/>
                <w:highlight w:val="none"/>
                <w:u w:val="single"/>
              </w:rPr>
              <w:t xml:space="preserve">                 </w:t>
            </w:r>
          </w:p>
          <w:p w14:paraId="5E8C5225">
            <w:pPr>
              <w:pStyle w:val="67"/>
              <w:framePr w:hSpace="0" w:wrap="auto" w:vAnchor="margin" w:hAnchor="text" w:yAlign="inline"/>
              <w:spacing w:after="50" w:line="360" w:lineRule="auto"/>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委托代理人：</w:t>
            </w:r>
            <w:r>
              <w:rPr>
                <w:rFonts w:hint="default" w:ascii="Times New Roman" w:hAnsi="Times New Roman" w:eastAsia="宋体" w:cs="Times New Roman"/>
                <w:color w:val="auto"/>
                <w:kern w:val="0"/>
                <w:sz w:val="22"/>
                <w:szCs w:val="22"/>
                <w:highlight w:val="none"/>
                <w:u w:val="single"/>
              </w:rPr>
              <w:t xml:space="preserve">                 </w:t>
            </w:r>
          </w:p>
          <w:p w14:paraId="1157E639">
            <w:pPr>
              <w:pStyle w:val="67"/>
              <w:framePr w:hSpace="0" w:wrap="auto" w:vAnchor="margin" w:hAnchor="text" w:yAlign="inline"/>
              <w:spacing w:after="50" w:line="360" w:lineRule="auto"/>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电话：</w:t>
            </w:r>
            <w:r>
              <w:rPr>
                <w:rFonts w:hint="default" w:ascii="Times New Roman" w:hAnsi="Times New Roman" w:eastAsia="宋体" w:cs="Times New Roman"/>
                <w:color w:val="auto"/>
                <w:kern w:val="0"/>
                <w:sz w:val="22"/>
                <w:szCs w:val="22"/>
                <w:highlight w:val="none"/>
                <w:u w:val="single"/>
              </w:rPr>
              <w:t xml:space="preserve">                       </w:t>
            </w:r>
          </w:p>
          <w:p w14:paraId="451D4C4F">
            <w:pPr>
              <w:pStyle w:val="67"/>
              <w:framePr w:hSpace="0" w:wrap="auto" w:vAnchor="margin" w:hAnchor="text" w:yAlign="inline"/>
              <w:spacing w:after="50" w:line="360" w:lineRule="auto"/>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 xml:space="preserve">传真： </w:t>
            </w:r>
            <w:r>
              <w:rPr>
                <w:rFonts w:hint="default" w:ascii="Times New Roman" w:hAnsi="Times New Roman" w:eastAsia="宋体" w:cs="Times New Roman"/>
                <w:color w:val="auto"/>
                <w:kern w:val="0"/>
                <w:sz w:val="22"/>
                <w:szCs w:val="22"/>
                <w:highlight w:val="none"/>
                <w:u w:val="single"/>
              </w:rPr>
              <w:t xml:space="preserve">                      </w:t>
            </w:r>
          </w:p>
          <w:p w14:paraId="14767843">
            <w:pPr>
              <w:pStyle w:val="67"/>
              <w:framePr w:hSpace="0" w:wrap="auto" w:vAnchor="margin" w:hAnchor="text" w:yAlign="inline"/>
              <w:spacing w:after="50" w:line="360" w:lineRule="auto"/>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开户银行：</w:t>
            </w:r>
            <w:r>
              <w:rPr>
                <w:rFonts w:hint="default" w:ascii="Times New Roman" w:hAnsi="Times New Roman" w:eastAsia="宋体" w:cs="Times New Roman"/>
                <w:color w:val="auto"/>
                <w:kern w:val="0"/>
                <w:sz w:val="22"/>
                <w:szCs w:val="22"/>
                <w:highlight w:val="none"/>
                <w:u w:val="single"/>
              </w:rPr>
              <w:t xml:space="preserve">                   </w:t>
            </w:r>
          </w:p>
          <w:p w14:paraId="349F62E7">
            <w:pPr>
              <w:pStyle w:val="67"/>
              <w:framePr w:hSpace="0" w:wrap="auto" w:vAnchor="margin" w:hAnchor="text" w:yAlign="inline"/>
              <w:spacing w:after="50" w:line="360" w:lineRule="auto"/>
              <w:rPr>
                <w:rFonts w:hint="default" w:ascii="Times New Roman" w:hAnsi="Times New Roman" w:eastAsia="宋体" w:cs="Times New Roman"/>
                <w:color w:val="auto"/>
                <w:kern w:val="0"/>
                <w:sz w:val="22"/>
                <w:szCs w:val="22"/>
                <w:highlight w:val="none"/>
                <w:u w:val="single"/>
              </w:rPr>
            </w:pPr>
            <w:r>
              <w:rPr>
                <w:rFonts w:hint="default" w:ascii="Times New Roman" w:hAnsi="Times New Roman" w:eastAsia="宋体" w:cs="Times New Roman"/>
                <w:color w:val="auto"/>
                <w:sz w:val="22"/>
                <w:szCs w:val="22"/>
                <w:highlight w:val="none"/>
              </w:rPr>
              <w:t>账号：</w:t>
            </w:r>
            <w:r>
              <w:rPr>
                <w:rFonts w:hint="default" w:ascii="Times New Roman" w:hAnsi="Times New Roman" w:eastAsia="宋体" w:cs="Times New Roman"/>
                <w:color w:val="auto"/>
                <w:kern w:val="0"/>
                <w:sz w:val="22"/>
                <w:szCs w:val="22"/>
                <w:highlight w:val="none"/>
                <w:u w:val="single"/>
              </w:rPr>
              <w:t xml:space="preserve">                       </w:t>
            </w:r>
          </w:p>
          <w:p w14:paraId="5D89914B">
            <w:pPr>
              <w:pStyle w:val="67"/>
              <w:framePr w:hSpace="0" w:wrap="auto" w:vAnchor="margin" w:hAnchor="text" w:yAlign="inline"/>
              <w:spacing w:after="50" w:line="360" w:lineRule="auto"/>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邮政编码：</w:t>
            </w:r>
            <w:r>
              <w:rPr>
                <w:rFonts w:hint="default" w:ascii="Times New Roman" w:hAnsi="Times New Roman" w:eastAsia="宋体" w:cs="Times New Roman"/>
                <w:color w:val="auto"/>
                <w:kern w:val="0"/>
                <w:sz w:val="22"/>
                <w:szCs w:val="22"/>
                <w:highlight w:val="none"/>
                <w:u w:val="single"/>
              </w:rPr>
              <w:t xml:space="preserve">                   </w:t>
            </w:r>
          </w:p>
          <w:p w14:paraId="750AB9D7">
            <w:pPr>
              <w:pStyle w:val="67"/>
              <w:framePr w:hSpace="0" w:wrap="auto" w:vAnchor="margin" w:hAnchor="text" w:yAlign="inline"/>
              <w:spacing w:after="50" w:line="360" w:lineRule="auto"/>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电子邮箱</w:t>
            </w:r>
            <w:r>
              <w:rPr>
                <w:rFonts w:hint="default" w:ascii="Times New Roman" w:hAnsi="Times New Roman" w:cs="Times New Roman"/>
                <w:color w:val="auto"/>
                <w:sz w:val="22"/>
                <w:szCs w:val="22"/>
                <w:highlight w:val="none"/>
                <w:lang w:eastAsia="zh-CN"/>
              </w:rPr>
              <w:t>：</w:t>
            </w:r>
            <w:r>
              <w:rPr>
                <w:rFonts w:hint="default" w:ascii="Times New Roman" w:hAnsi="Times New Roman" w:eastAsia="宋体" w:cs="Times New Roman"/>
                <w:color w:val="auto"/>
                <w:sz w:val="22"/>
                <w:szCs w:val="22"/>
                <w:highlight w:val="none"/>
              </w:rPr>
              <w:t xml:space="preserve"> </w:t>
            </w:r>
            <w:r>
              <w:rPr>
                <w:rFonts w:hint="default" w:ascii="Times New Roman" w:hAnsi="Times New Roman" w:eastAsia="宋体" w:cs="Times New Roman"/>
                <w:color w:val="auto"/>
                <w:kern w:val="0"/>
                <w:sz w:val="22"/>
                <w:szCs w:val="22"/>
                <w:highlight w:val="none"/>
                <w:u w:val="single"/>
              </w:rPr>
              <w:t xml:space="preserve">                   </w:t>
            </w:r>
          </w:p>
        </w:tc>
        <w:tc>
          <w:tcPr>
            <w:tcW w:w="4850" w:type="dxa"/>
            <w:noWrap w:val="0"/>
            <w:vAlign w:val="top"/>
          </w:tcPr>
          <w:p w14:paraId="13433E39">
            <w:pPr>
              <w:pStyle w:val="67"/>
              <w:framePr w:hSpace="0" w:wrap="auto" w:vAnchor="margin" w:hAnchor="text" w:yAlign="inline"/>
              <w:spacing w:after="50" w:line="360" w:lineRule="auto"/>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法定代表人：</w:t>
            </w:r>
            <w:r>
              <w:rPr>
                <w:rFonts w:hint="default" w:ascii="Times New Roman" w:hAnsi="Times New Roman" w:eastAsia="宋体" w:cs="Times New Roman"/>
                <w:color w:val="auto"/>
                <w:kern w:val="0"/>
                <w:sz w:val="22"/>
                <w:szCs w:val="22"/>
                <w:highlight w:val="none"/>
                <w:u w:val="single"/>
              </w:rPr>
              <w:t xml:space="preserve">                  </w:t>
            </w:r>
          </w:p>
          <w:p w14:paraId="14142DCF">
            <w:pPr>
              <w:pStyle w:val="67"/>
              <w:framePr w:hSpace="0" w:wrap="auto" w:vAnchor="margin" w:hAnchor="text" w:yAlign="inline"/>
              <w:spacing w:after="50" w:line="360" w:lineRule="auto"/>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委托代理人：</w:t>
            </w:r>
            <w:r>
              <w:rPr>
                <w:rFonts w:hint="default" w:ascii="Times New Roman" w:hAnsi="Times New Roman" w:eastAsia="宋体" w:cs="Times New Roman"/>
                <w:color w:val="auto"/>
                <w:kern w:val="0"/>
                <w:sz w:val="22"/>
                <w:szCs w:val="22"/>
                <w:highlight w:val="none"/>
                <w:u w:val="single"/>
              </w:rPr>
              <w:t xml:space="preserve">                 </w:t>
            </w:r>
          </w:p>
          <w:p w14:paraId="37FF9636">
            <w:pPr>
              <w:pStyle w:val="67"/>
              <w:framePr w:hSpace="0" w:wrap="auto" w:vAnchor="margin" w:hAnchor="text" w:yAlign="inline"/>
              <w:spacing w:after="50" w:line="360" w:lineRule="auto"/>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电话：</w:t>
            </w:r>
            <w:r>
              <w:rPr>
                <w:rFonts w:hint="default" w:ascii="Times New Roman" w:hAnsi="Times New Roman" w:eastAsia="宋体" w:cs="Times New Roman"/>
                <w:color w:val="auto"/>
                <w:kern w:val="0"/>
                <w:sz w:val="22"/>
                <w:szCs w:val="22"/>
                <w:highlight w:val="none"/>
                <w:u w:val="single"/>
              </w:rPr>
              <w:t xml:space="preserve">                       </w:t>
            </w:r>
          </w:p>
          <w:p w14:paraId="6B87263B">
            <w:pPr>
              <w:pStyle w:val="67"/>
              <w:framePr w:hSpace="0" w:wrap="auto" w:vAnchor="margin" w:hAnchor="text" w:yAlign="inline"/>
              <w:spacing w:after="50" w:line="360" w:lineRule="auto"/>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传真：</w:t>
            </w:r>
            <w:r>
              <w:rPr>
                <w:rFonts w:hint="default" w:ascii="Times New Roman" w:hAnsi="Times New Roman" w:eastAsia="宋体" w:cs="Times New Roman"/>
                <w:color w:val="auto"/>
                <w:kern w:val="0"/>
                <w:sz w:val="22"/>
                <w:szCs w:val="22"/>
                <w:highlight w:val="none"/>
                <w:u w:val="single"/>
              </w:rPr>
              <w:t xml:space="preserve">                       </w:t>
            </w:r>
          </w:p>
          <w:p w14:paraId="37BFBB4A">
            <w:pPr>
              <w:pStyle w:val="67"/>
              <w:framePr w:hSpace="0" w:wrap="auto" w:vAnchor="margin" w:hAnchor="text" w:yAlign="inline"/>
              <w:spacing w:after="50" w:line="360" w:lineRule="auto"/>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开户银行：</w:t>
            </w:r>
            <w:r>
              <w:rPr>
                <w:rFonts w:hint="default" w:ascii="Times New Roman" w:hAnsi="Times New Roman" w:eastAsia="宋体" w:cs="Times New Roman"/>
                <w:color w:val="auto"/>
                <w:kern w:val="0"/>
                <w:sz w:val="22"/>
                <w:szCs w:val="22"/>
                <w:highlight w:val="none"/>
                <w:u w:val="single"/>
              </w:rPr>
              <w:t xml:space="preserve">                   </w:t>
            </w:r>
          </w:p>
          <w:p w14:paraId="178298B4">
            <w:pPr>
              <w:pStyle w:val="67"/>
              <w:framePr w:hSpace="0" w:wrap="auto" w:vAnchor="margin" w:hAnchor="text" w:yAlign="inline"/>
              <w:spacing w:after="50" w:line="360" w:lineRule="auto"/>
              <w:rPr>
                <w:rFonts w:hint="default" w:ascii="Times New Roman" w:hAnsi="Times New Roman" w:eastAsia="宋体" w:cs="Times New Roman"/>
                <w:color w:val="auto"/>
                <w:sz w:val="22"/>
                <w:szCs w:val="22"/>
                <w:highlight w:val="none"/>
                <w:u w:val="single"/>
              </w:rPr>
            </w:pPr>
            <w:r>
              <w:rPr>
                <w:rFonts w:hint="default" w:ascii="Times New Roman" w:hAnsi="Times New Roman" w:eastAsia="宋体" w:cs="Times New Roman"/>
                <w:color w:val="auto"/>
                <w:sz w:val="22"/>
                <w:szCs w:val="22"/>
                <w:highlight w:val="none"/>
              </w:rPr>
              <w:t>账号：</w:t>
            </w:r>
            <w:r>
              <w:rPr>
                <w:rFonts w:hint="default" w:ascii="Times New Roman" w:hAnsi="Times New Roman" w:eastAsia="宋体" w:cs="Times New Roman"/>
                <w:color w:val="auto"/>
                <w:sz w:val="22"/>
                <w:szCs w:val="22"/>
                <w:highlight w:val="none"/>
                <w:u w:val="single"/>
              </w:rPr>
              <w:t xml:space="preserve">                       </w:t>
            </w:r>
          </w:p>
          <w:p w14:paraId="0E5F4A44">
            <w:pPr>
              <w:pStyle w:val="67"/>
              <w:framePr w:hSpace="0" w:wrap="auto" w:vAnchor="margin" w:hAnchor="text" w:yAlign="inline"/>
              <w:spacing w:after="50" w:line="360" w:lineRule="auto"/>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邮政编码：</w:t>
            </w:r>
            <w:r>
              <w:rPr>
                <w:rFonts w:hint="default" w:ascii="Times New Roman" w:hAnsi="Times New Roman" w:eastAsia="宋体" w:cs="Times New Roman"/>
                <w:color w:val="auto"/>
                <w:kern w:val="0"/>
                <w:sz w:val="22"/>
                <w:szCs w:val="22"/>
                <w:highlight w:val="none"/>
                <w:u w:val="single"/>
              </w:rPr>
              <w:t xml:space="preserve">                   </w:t>
            </w:r>
          </w:p>
          <w:p w14:paraId="715296A0">
            <w:pPr>
              <w:pStyle w:val="67"/>
              <w:framePr w:hSpace="0" w:wrap="auto" w:vAnchor="margin" w:hAnchor="text" w:yAlign="inline"/>
              <w:spacing w:after="50" w:line="360" w:lineRule="auto"/>
              <w:rPr>
                <w:rFonts w:hint="default" w:ascii="Times New Roman" w:hAnsi="Times New Roman" w:eastAsia="宋体" w:cs="Times New Roman"/>
                <w:color w:val="auto"/>
                <w:sz w:val="22"/>
                <w:szCs w:val="22"/>
                <w:highlight w:val="none"/>
                <w:u w:val="single"/>
              </w:rPr>
            </w:pPr>
            <w:r>
              <w:rPr>
                <w:rFonts w:hint="default" w:ascii="Times New Roman" w:hAnsi="Times New Roman" w:eastAsia="宋体" w:cs="Times New Roman"/>
                <w:color w:val="auto"/>
                <w:sz w:val="22"/>
                <w:szCs w:val="22"/>
                <w:highlight w:val="none"/>
              </w:rPr>
              <w:t>电子邮箱</w:t>
            </w:r>
            <w:r>
              <w:rPr>
                <w:rFonts w:hint="default" w:ascii="Times New Roman" w:hAnsi="Times New Roman" w:cs="Times New Roman"/>
                <w:color w:val="auto"/>
                <w:sz w:val="22"/>
                <w:szCs w:val="22"/>
                <w:highlight w:val="none"/>
                <w:lang w:eastAsia="zh-CN"/>
              </w:rPr>
              <w:t>：</w:t>
            </w:r>
            <w:r>
              <w:rPr>
                <w:rFonts w:hint="default" w:ascii="Times New Roman" w:hAnsi="Times New Roman" w:eastAsia="宋体" w:cs="Times New Roman"/>
                <w:color w:val="auto"/>
                <w:sz w:val="22"/>
                <w:szCs w:val="22"/>
                <w:highlight w:val="none"/>
              </w:rPr>
              <w:t xml:space="preserve"> </w:t>
            </w:r>
            <w:r>
              <w:rPr>
                <w:rFonts w:hint="default" w:ascii="Times New Roman" w:hAnsi="Times New Roman" w:eastAsia="宋体" w:cs="Times New Roman"/>
                <w:color w:val="auto"/>
                <w:kern w:val="0"/>
                <w:sz w:val="22"/>
                <w:szCs w:val="22"/>
                <w:highlight w:val="none"/>
                <w:u w:val="single"/>
              </w:rPr>
              <w:t xml:space="preserve">                   </w:t>
            </w:r>
          </w:p>
        </w:tc>
      </w:tr>
    </w:tbl>
    <w:p w14:paraId="5B59AC5A">
      <w:pPr>
        <w:spacing w:line="420" w:lineRule="exact"/>
        <w:ind w:firstLine="990" w:firstLineChars="450"/>
        <w:rPr>
          <w:rFonts w:hint="default" w:ascii="Times New Roman" w:hAnsi="Times New Roman" w:cs="Times New Roman"/>
          <w:color w:val="auto"/>
          <w:sz w:val="22"/>
          <w:szCs w:val="22"/>
          <w:highlight w:val="none"/>
        </w:rPr>
      </w:pPr>
    </w:p>
    <w:p w14:paraId="494F8862">
      <w:pPr>
        <w:spacing w:line="420" w:lineRule="exact"/>
        <w:rPr>
          <w:rFonts w:hint="default" w:ascii="Times New Roman" w:hAnsi="Times New Roman" w:cs="Times New Roman"/>
          <w:color w:val="auto"/>
          <w:sz w:val="22"/>
          <w:szCs w:val="22"/>
          <w:highlight w:val="none"/>
        </w:rPr>
      </w:pPr>
    </w:p>
    <w:p w14:paraId="2CFB204B">
      <w:pPr>
        <w:spacing w:line="420" w:lineRule="exact"/>
        <w:rPr>
          <w:rFonts w:hint="default" w:ascii="Times New Roman" w:hAnsi="Times New Roman" w:cs="Times New Roman"/>
          <w:color w:val="auto"/>
          <w:sz w:val="22"/>
          <w:szCs w:val="22"/>
          <w:highlight w:val="none"/>
        </w:rPr>
      </w:pPr>
    </w:p>
    <w:p w14:paraId="37533066">
      <w:pPr>
        <w:spacing w:line="420" w:lineRule="exact"/>
        <w:rPr>
          <w:rFonts w:hint="default" w:ascii="Times New Roman" w:hAnsi="Times New Roman" w:cs="Times New Roman"/>
          <w:color w:val="auto"/>
          <w:sz w:val="22"/>
          <w:szCs w:val="22"/>
          <w:highlight w:val="none"/>
        </w:rPr>
      </w:pPr>
    </w:p>
    <w:p w14:paraId="72361F76">
      <w:pPr>
        <w:spacing w:line="420" w:lineRule="exact"/>
        <w:rPr>
          <w:rFonts w:hint="default" w:ascii="Times New Roman" w:hAnsi="Times New Roman" w:cs="Times New Roman"/>
          <w:color w:val="auto"/>
          <w:sz w:val="22"/>
          <w:szCs w:val="22"/>
          <w:highlight w:val="none"/>
        </w:rPr>
      </w:pPr>
    </w:p>
    <w:p w14:paraId="07B34058">
      <w:pPr>
        <w:spacing w:line="420" w:lineRule="exact"/>
        <w:rPr>
          <w:rFonts w:hint="default" w:ascii="Times New Roman" w:hAnsi="Times New Roman" w:cs="Times New Roman"/>
          <w:color w:val="auto"/>
          <w:sz w:val="22"/>
          <w:szCs w:val="22"/>
          <w:highlight w:val="none"/>
        </w:rPr>
      </w:pPr>
    </w:p>
    <w:p w14:paraId="3EC39C31">
      <w:pPr>
        <w:spacing w:line="420" w:lineRule="exact"/>
        <w:rPr>
          <w:rFonts w:hint="default" w:ascii="Times New Roman" w:hAnsi="Times New Roman" w:cs="Times New Roman"/>
          <w:color w:val="auto"/>
          <w:sz w:val="22"/>
          <w:szCs w:val="22"/>
          <w:highlight w:val="none"/>
        </w:rPr>
      </w:pPr>
    </w:p>
    <w:p w14:paraId="150B3E3F">
      <w:pPr>
        <w:spacing w:line="420" w:lineRule="exact"/>
        <w:rPr>
          <w:rFonts w:hint="default" w:ascii="Times New Roman" w:hAnsi="Times New Roman" w:cs="Times New Roman"/>
          <w:color w:val="auto"/>
          <w:sz w:val="22"/>
          <w:szCs w:val="22"/>
          <w:highlight w:val="none"/>
        </w:rPr>
      </w:pPr>
    </w:p>
    <w:p w14:paraId="49EDE946">
      <w:pPr>
        <w:spacing w:line="420" w:lineRule="exact"/>
        <w:rPr>
          <w:rFonts w:hint="default" w:ascii="Times New Roman" w:hAnsi="Times New Roman" w:cs="Times New Roman"/>
          <w:color w:val="auto"/>
          <w:sz w:val="22"/>
          <w:szCs w:val="22"/>
          <w:highlight w:val="none"/>
        </w:rPr>
      </w:pPr>
    </w:p>
    <w:p w14:paraId="5FC1A70B">
      <w:pPr>
        <w:spacing w:line="420" w:lineRule="exact"/>
        <w:rPr>
          <w:rFonts w:hint="default" w:ascii="Times New Roman" w:hAnsi="Times New Roman" w:cs="Times New Roman"/>
          <w:color w:val="auto"/>
          <w:sz w:val="22"/>
          <w:szCs w:val="22"/>
          <w:highlight w:val="none"/>
        </w:rPr>
      </w:pPr>
    </w:p>
    <w:p w14:paraId="2BB1EBE9">
      <w:pPr>
        <w:jc w:val="center"/>
        <w:outlineLvl w:val="0"/>
        <w:rPr>
          <w:rFonts w:hint="default" w:ascii="Times New Roman" w:hAnsi="Times New Roman" w:eastAsia="方正黑体_GBK" w:cs="Times New Roman"/>
          <w:b/>
          <w:bCs/>
          <w:color w:val="auto"/>
          <w:sz w:val="28"/>
          <w:szCs w:val="28"/>
          <w:highlight w:val="none"/>
        </w:rPr>
      </w:pPr>
      <w:bookmarkStart w:id="80" w:name="_Toc469383978"/>
      <w:bookmarkStart w:id="81" w:name="_Toc18752"/>
      <w:r>
        <w:rPr>
          <w:rFonts w:hint="default" w:ascii="Times New Roman" w:hAnsi="Times New Roman" w:eastAsia="方正黑体_GBK" w:cs="Times New Roman"/>
          <w:b/>
          <w:bCs/>
          <w:color w:val="auto"/>
          <w:sz w:val="28"/>
          <w:szCs w:val="28"/>
          <w:highlight w:val="none"/>
        </w:rPr>
        <w:br w:type="page"/>
      </w:r>
      <w:bookmarkStart w:id="82" w:name="_Toc432491124"/>
      <w:r>
        <w:rPr>
          <w:rFonts w:hint="default" w:ascii="Times New Roman" w:hAnsi="Times New Roman" w:eastAsia="方正黑体_GBK" w:cs="Times New Roman"/>
          <w:b/>
          <w:bCs/>
          <w:color w:val="auto"/>
          <w:sz w:val="28"/>
          <w:szCs w:val="28"/>
          <w:highlight w:val="none"/>
        </w:rPr>
        <w:t>第二部分  通用条款</w:t>
      </w:r>
      <w:bookmarkEnd w:id="80"/>
      <w:bookmarkEnd w:id="81"/>
      <w:bookmarkEnd w:id="82"/>
    </w:p>
    <w:p w14:paraId="23C14856">
      <w:pPr>
        <w:pStyle w:val="15"/>
        <w:adjustRightInd w:val="0"/>
        <w:snapToGrid w:val="0"/>
        <w:spacing w:line="420" w:lineRule="exact"/>
        <w:rPr>
          <w:rFonts w:hint="default" w:ascii="Times New Roman" w:hAnsi="Times New Roman" w:cs="Times New Roman"/>
          <w:color w:val="auto"/>
          <w:sz w:val="22"/>
          <w:szCs w:val="22"/>
          <w:highlight w:val="none"/>
        </w:rPr>
      </w:pPr>
    </w:p>
    <w:p w14:paraId="5533DB35">
      <w:pPr>
        <w:pStyle w:val="15"/>
        <w:numPr>
          <w:ilvl w:val="0"/>
          <w:numId w:val="4"/>
        </w:numPr>
        <w:adjustRightInd w:val="0"/>
        <w:snapToGrid w:val="0"/>
        <w:spacing w:line="420" w:lineRule="exact"/>
        <w:jc w:val="center"/>
        <w:outlineLvl w:val="1"/>
        <w:rPr>
          <w:rFonts w:hint="default" w:ascii="Times New Roman" w:hAnsi="Times New Roman" w:eastAsia="方正小标宋_GBK" w:cs="Times New Roman"/>
          <w:b/>
          <w:bCs/>
          <w:color w:val="auto"/>
          <w:sz w:val="24"/>
          <w:szCs w:val="24"/>
          <w:highlight w:val="none"/>
        </w:rPr>
      </w:pPr>
      <w:bookmarkStart w:id="83" w:name="_Toc14320"/>
      <w:bookmarkStart w:id="84" w:name="_Toc1369942311"/>
      <w:bookmarkStart w:id="85" w:name="_Toc469383979"/>
      <w:r>
        <w:rPr>
          <w:rFonts w:hint="default" w:ascii="Times New Roman" w:hAnsi="Times New Roman" w:eastAsia="方正小标宋_GBK" w:cs="Times New Roman"/>
          <w:b/>
          <w:bCs/>
          <w:color w:val="auto"/>
          <w:sz w:val="24"/>
          <w:szCs w:val="24"/>
          <w:highlight w:val="none"/>
        </w:rPr>
        <w:t>总  则</w:t>
      </w:r>
      <w:bookmarkEnd w:id="83"/>
      <w:bookmarkEnd w:id="84"/>
      <w:bookmarkEnd w:id="85"/>
    </w:p>
    <w:p w14:paraId="0A285F0C">
      <w:pPr>
        <w:numPr>
          <w:ilvl w:val="0"/>
          <w:numId w:val="4"/>
        </w:numPr>
        <w:rPr>
          <w:rFonts w:hint="default" w:ascii="Times New Roman" w:hAnsi="Times New Roman" w:cs="Times New Roman"/>
          <w:color w:val="auto"/>
          <w:highlight w:val="none"/>
        </w:rPr>
      </w:pPr>
    </w:p>
    <w:p w14:paraId="4356ED79">
      <w:pPr>
        <w:pStyle w:val="15"/>
        <w:tabs>
          <w:tab w:val="left" w:pos="900"/>
          <w:tab w:val="left" w:pos="1080"/>
        </w:tabs>
        <w:spacing w:before="120" w:beforeLines="50" w:after="120" w:afterLines="50" w:line="420" w:lineRule="exact"/>
        <w:outlineLvl w:val="2"/>
        <w:rPr>
          <w:rFonts w:hint="default" w:ascii="Times New Roman" w:hAnsi="Times New Roman" w:cs="Times New Roman"/>
          <w:b/>
          <w:bCs/>
          <w:color w:val="auto"/>
          <w:sz w:val="22"/>
          <w:szCs w:val="22"/>
          <w:highlight w:val="none"/>
        </w:rPr>
      </w:pPr>
      <w:bookmarkStart w:id="86" w:name="_Toc469383980"/>
      <w:bookmarkStart w:id="87" w:name="_Toc12993"/>
      <w:r>
        <w:rPr>
          <w:rFonts w:hint="default" w:ascii="Times New Roman" w:hAnsi="Times New Roman" w:cs="Times New Roman"/>
          <w:b/>
          <w:bCs/>
          <w:color w:val="auto"/>
          <w:sz w:val="22"/>
          <w:szCs w:val="22"/>
          <w:highlight w:val="none"/>
        </w:rPr>
        <w:t>1  定义</w:t>
      </w:r>
      <w:bookmarkEnd w:id="86"/>
      <w:bookmarkEnd w:id="87"/>
    </w:p>
    <w:p w14:paraId="025D51A8">
      <w:pPr>
        <w:pStyle w:val="15"/>
        <w:tabs>
          <w:tab w:val="left" w:pos="900"/>
          <w:tab w:val="left" w:pos="1980"/>
        </w:tabs>
        <w:adjustRightInd w:val="0"/>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 xml:space="preserve">           </w:t>
      </w:r>
      <w:r>
        <w:rPr>
          <w:rFonts w:hint="default" w:ascii="Times New Roman" w:hAnsi="Times New Roman" w:cs="Times New Roman"/>
          <w:color w:val="auto"/>
          <w:sz w:val="22"/>
          <w:szCs w:val="22"/>
          <w:highlight w:val="none"/>
        </w:rPr>
        <w:t>下列词语或措辞，除非特别说明，在本合同中均具有以下赋予的含义：</w:t>
      </w:r>
    </w:p>
    <w:p w14:paraId="00F97B5C">
      <w:pPr>
        <w:pStyle w:val="15"/>
        <w:tabs>
          <w:tab w:val="left" w:pos="1260"/>
          <w:tab w:val="left" w:pos="2160"/>
        </w:tabs>
        <w:adjustRightInd w:val="0"/>
        <w:spacing w:before="120" w:beforeLines="50" w:line="420" w:lineRule="exact"/>
        <w:ind w:left="1467" w:leftChars="686" w:hanging="26" w:hangingChars="12"/>
        <w:rPr>
          <w:rFonts w:hint="default" w:ascii="Times New Roman" w:hAnsi="Times New Roman" w:cs="Times New Roman"/>
          <w:color w:val="auto"/>
          <w:sz w:val="22"/>
          <w:szCs w:val="22"/>
          <w:highlight w:val="none"/>
          <w:u w:val="dotted"/>
        </w:rPr>
      </w:pPr>
      <w:r>
        <w:rPr>
          <w:rFonts w:hint="default" w:ascii="Times New Roman" w:hAnsi="Times New Roman" w:cs="Times New Roman"/>
          <w:b/>
          <w:bCs/>
          <w:color w:val="auto"/>
          <w:sz w:val="22"/>
          <w:szCs w:val="22"/>
          <w:highlight w:val="none"/>
        </w:rPr>
        <w:t>1.1  合同：</w:t>
      </w:r>
      <w:r>
        <w:rPr>
          <w:rFonts w:hint="default" w:ascii="Times New Roman" w:hAnsi="Times New Roman" w:cs="Times New Roman"/>
          <w:color w:val="auto"/>
          <w:sz w:val="22"/>
          <w:szCs w:val="22"/>
          <w:highlight w:val="none"/>
        </w:rPr>
        <w:t>指合同双方当事人为实施、完成并保修合同工程所订立的合同文件。合同文件由第2.2款所列的文件组成。</w:t>
      </w:r>
    </w:p>
    <w:p w14:paraId="71295A42">
      <w:pPr>
        <w:pStyle w:val="15"/>
        <w:tabs>
          <w:tab w:val="left" w:pos="2160"/>
          <w:tab w:val="left" w:pos="2520"/>
        </w:tabs>
        <w:adjustRightInd w:val="0"/>
        <w:spacing w:before="192" w:beforeLines="80" w:line="420" w:lineRule="exact"/>
        <w:ind w:left="1467" w:leftChars="686" w:hanging="26" w:hangingChars="12"/>
        <w:rPr>
          <w:rFonts w:hint="default" w:ascii="Times New Roman" w:hAnsi="Times New Roman" w:cs="Times New Roman"/>
          <w:color w:val="auto"/>
          <w:sz w:val="22"/>
          <w:szCs w:val="22"/>
          <w:highlight w:val="none"/>
          <w:u w:val="dotted"/>
        </w:rPr>
      </w:pPr>
      <w:r>
        <w:rPr>
          <w:rFonts w:hint="default" w:ascii="Times New Roman" w:hAnsi="Times New Roman" w:cs="Times New Roman"/>
          <w:b/>
          <w:bCs/>
          <w:color w:val="auto"/>
          <w:sz w:val="22"/>
          <w:szCs w:val="22"/>
          <w:highlight w:val="none"/>
        </w:rPr>
        <w:t>1.2  协议书：</w:t>
      </w:r>
      <w:r>
        <w:rPr>
          <w:rFonts w:hint="default" w:ascii="Times New Roman" w:hAnsi="Times New Roman" w:cs="Times New Roman"/>
          <w:color w:val="auto"/>
          <w:sz w:val="22"/>
          <w:szCs w:val="22"/>
          <w:highlight w:val="none"/>
        </w:rPr>
        <w:t>指合同双方当事人为合同工程所签订的协议书。除法律另有规定或合同另有约定外，合同双方当事人的法定代表人或其委托代理人在协议书签字</w:t>
      </w:r>
      <w:r>
        <w:rPr>
          <w:rFonts w:hint="default" w:ascii="Times New Roman" w:hAnsi="Times New Roman" w:cs="Times New Roman"/>
          <w:color w:val="auto"/>
          <w:sz w:val="22"/>
          <w:szCs w:val="22"/>
          <w:highlight w:val="none"/>
          <w:lang w:eastAsia="zh-CN"/>
        </w:rPr>
        <w:t>或加</w:t>
      </w:r>
      <w:r>
        <w:rPr>
          <w:rFonts w:hint="default" w:ascii="Times New Roman" w:hAnsi="Times New Roman" w:cs="Times New Roman"/>
          <w:color w:val="auto"/>
          <w:sz w:val="22"/>
          <w:szCs w:val="22"/>
          <w:highlight w:val="none"/>
        </w:rPr>
        <w:t>盖单位公章后，合同即告生效。招标工程应当自中标通知书发出之日起30天内签订。</w:t>
      </w:r>
    </w:p>
    <w:p w14:paraId="3363EF8E">
      <w:pPr>
        <w:pStyle w:val="15"/>
        <w:tabs>
          <w:tab w:val="left" w:pos="2160"/>
        </w:tabs>
        <w:adjustRightInd w:val="0"/>
        <w:spacing w:before="192" w:beforeLines="80" w:line="420" w:lineRule="exact"/>
        <w:ind w:left="1441" w:leftChars="686" w:firstLine="26" w:firstLineChars="12"/>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1.3  通用条款：</w:t>
      </w:r>
      <w:r>
        <w:rPr>
          <w:rFonts w:hint="default" w:ascii="Times New Roman" w:hAnsi="Times New Roman" w:cs="Times New Roman"/>
          <w:color w:val="auto"/>
          <w:sz w:val="22"/>
          <w:szCs w:val="22"/>
          <w:highlight w:val="none"/>
        </w:rPr>
        <w:t>指根据法律、法规和规章的规定以及建设工程施工的需要所订立的，通用于建设工程施工的条款。</w:t>
      </w:r>
    </w:p>
    <w:p w14:paraId="5FC58C19">
      <w:pPr>
        <w:pStyle w:val="15"/>
        <w:tabs>
          <w:tab w:val="left" w:pos="2160"/>
          <w:tab w:val="left" w:pos="2520"/>
        </w:tabs>
        <w:adjustRightInd w:val="0"/>
        <w:spacing w:before="192" w:beforeLines="80" w:line="420" w:lineRule="exact"/>
        <w:ind w:left="1467" w:leftChars="686" w:hanging="26" w:hangingChars="12"/>
        <w:jc w:val="left"/>
        <w:rPr>
          <w:rFonts w:hint="default" w:ascii="Times New Roman" w:hAnsi="Times New Roman" w:cs="Times New Roman"/>
          <w:color w:val="auto"/>
          <w:sz w:val="22"/>
          <w:szCs w:val="22"/>
          <w:highlight w:val="none"/>
          <w:u w:val="dotted"/>
        </w:rPr>
      </w:pPr>
      <w:r>
        <w:rPr>
          <w:rFonts w:hint="default" w:ascii="Times New Roman" w:hAnsi="Times New Roman" w:cs="Times New Roman"/>
          <w:b/>
          <w:bCs/>
          <w:color w:val="auto"/>
          <w:sz w:val="22"/>
          <w:szCs w:val="22"/>
          <w:highlight w:val="none"/>
        </w:rPr>
        <w:t>1.4  专用条款：</w:t>
      </w:r>
      <w:r>
        <w:rPr>
          <w:rFonts w:hint="default" w:ascii="Times New Roman" w:hAnsi="Times New Roman" w:cs="Times New Roman"/>
          <w:color w:val="auto"/>
          <w:sz w:val="22"/>
          <w:szCs w:val="22"/>
          <w:highlight w:val="none"/>
        </w:rPr>
        <w:t>指合同双方当事人根据法律、法规和规章的规定，结合本合同工程实际，经协商达成一致意见的，专用于本合同工程施工的条款。它是对通用条款的具体化，也是对通用条款的补充和完善。招标工程的专用条款，应当符合招标文件的实质性要求。</w:t>
      </w:r>
    </w:p>
    <w:p w14:paraId="10791714">
      <w:pPr>
        <w:pStyle w:val="15"/>
        <w:tabs>
          <w:tab w:val="left" w:pos="2160"/>
        </w:tabs>
        <w:adjustRightInd w:val="0"/>
        <w:spacing w:before="192" w:beforeLines="80" w:line="420" w:lineRule="exact"/>
        <w:ind w:left="1441" w:leftChars="686" w:firstLine="26" w:firstLineChars="12"/>
        <w:rPr>
          <w:rFonts w:hint="default" w:ascii="Times New Roman" w:hAnsi="Times New Roman" w:cs="Times New Roman"/>
          <w:color w:val="auto"/>
          <w:sz w:val="22"/>
          <w:szCs w:val="22"/>
          <w:highlight w:val="none"/>
          <w:u w:val="dotted"/>
        </w:rPr>
      </w:pPr>
      <w:r>
        <w:rPr>
          <w:rFonts w:hint="default" w:ascii="Times New Roman" w:hAnsi="Times New Roman" w:cs="Times New Roman"/>
          <w:b/>
          <w:bCs/>
          <w:color w:val="auto"/>
          <w:sz w:val="22"/>
          <w:szCs w:val="22"/>
          <w:highlight w:val="none"/>
        </w:rPr>
        <w:t>1.5  中标通知书：</w:t>
      </w:r>
      <w:r>
        <w:rPr>
          <w:rFonts w:hint="default" w:ascii="Times New Roman" w:hAnsi="Times New Roman" w:cs="Times New Roman"/>
          <w:color w:val="auto"/>
          <w:sz w:val="22"/>
          <w:szCs w:val="22"/>
          <w:highlight w:val="none"/>
        </w:rPr>
        <w:t>指发包人正式接受中标人投标文件的书面文件。</w:t>
      </w:r>
    </w:p>
    <w:p w14:paraId="61300EAF">
      <w:pPr>
        <w:pStyle w:val="15"/>
        <w:tabs>
          <w:tab w:val="left" w:pos="2160"/>
        </w:tabs>
        <w:adjustRightInd w:val="0"/>
        <w:spacing w:before="192" w:beforeLines="80" w:line="420" w:lineRule="exact"/>
        <w:ind w:left="1441" w:leftChars="686" w:firstLine="26" w:firstLineChars="12"/>
        <w:jc w:val="left"/>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1.6  承包人投标文件：</w:t>
      </w:r>
      <w:r>
        <w:rPr>
          <w:rFonts w:hint="default" w:ascii="Times New Roman" w:hAnsi="Times New Roman" w:cs="Times New Roman"/>
          <w:color w:val="auto"/>
          <w:sz w:val="22"/>
          <w:szCs w:val="22"/>
          <w:highlight w:val="none"/>
        </w:rPr>
        <w:t>指构成合同文件组成部分的，由承包人根据招标文件编制完成、签字并被中标通知书所接受的，承包人为实施、完成并保修合同工程向发包人提交的技术、经济文件。</w:t>
      </w:r>
    </w:p>
    <w:p w14:paraId="7F29255B">
      <w:pPr>
        <w:pStyle w:val="15"/>
        <w:tabs>
          <w:tab w:val="left" w:pos="2160"/>
          <w:tab w:val="left" w:pos="2520"/>
        </w:tabs>
        <w:adjustRightInd w:val="0"/>
        <w:spacing w:before="192" w:beforeLines="80" w:line="420" w:lineRule="exact"/>
        <w:ind w:left="1441" w:leftChars="686" w:firstLine="26" w:firstLineChars="12"/>
        <w:jc w:val="left"/>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1.7  标准、规范及有关技术文件：</w:t>
      </w:r>
      <w:r>
        <w:rPr>
          <w:rFonts w:hint="default" w:ascii="Times New Roman" w:hAnsi="Times New Roman" w:cs="Times New Roman"/>
          <w:color w:val="auto"/>
          <w:sz w:val="22"/>
          <w:szCs w:val="22"/>
          <w:highlight w:val="none"/>
        </w:rPr>
        <w:t>指构成合同文件组成部分的，本合同所指明的和合同工程依法应适用的标准与规范，以及监理工程师、造价工程师对有关技术方面问题做出的补充、修改和批准文件。</w:t>
      </w:r>
    </w:p>
    <w:p w14:paraId="49371C84">
      <w:pPr>
        <w:pStyle w:val="15"/>
        <w:tabs>
          <w:tab w:val="left" w:pos="2160"/>
          <w:tab w:val="left" w:pos="2520"/>
        </w:tabs>
        <w:adjustRightInd w:val="0"/>
        <w:spacing w:before="192" w:beforeLines="80" w:line="420" w:lineRule="exact"/>
        <w:ind w:left="1441" w:leftChars="686" w:firstLine="26" w:firstLineChars="12"/>
        <w:jc w:val="left"/>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1.8  施工设计图纸：</w:t>
      </w:r>
      <w:r>
        <w:rPr>
          <w:rFonts w:hint="default" w:ascii="Times New Roman" w:hAnsi="Times New Roman" w:cs="Times New Roman"/>
          <w:color w:val="auto"/>
          <w:sz w:val="22"/>
          <w:szCs w:val="22"/>
          <w:highlight w:val="none"/>
        </w:rPr>
        <w:t>指构成合同文件组成部分的，按规定审批的由发包人提供或经发包人批准由承包人提供，满足承包人施工需要的所有设计文件、施工图纸、模型（包括任何补充和修改的施工图纸、配套说明和有关资料）。图纸应当按照法律规定审查合格。</w:t>
      </w:r>
    </w:p>
    <w:p w14:paraId="47813C31">
      <w:pPr>
        <w:pStyle w:val="15"/>
        <w:tabs>
          <w:tab w:val="left" w:pos="2160"/>
        </w:tabs>
        <w:adjustRightInd w:val="0"/>
        <w:spacing w:before="192" w:beforeLines="80" w:line="420" w:lineRule="exact"/>
        <w:ind w:left="1441" w:leftChars="686" w:firstLine="26" w:firstLineChars="12"/>
        <w:jc w:val="left"/>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1.9  工程量清单：</w:t>
      </w:r>
      <w:r>
        <w:rPr>
          <w:rFonts w:hint="default" w:ascii="Times New Roman" w:hAnsi="Times New Roman" w:cs="Times New Roman"/>
          <w:color w:val="auto"/>
          <w:sz w:val="22"/>
          <w:szCs w:val="22"/>
          <w:highlight w:val="none"/>
        </w:rPr>
        <w:t>指构成合同文件组成部分的</w:t>
      </w:r>
      <w:r>
        <w:rPr>
          <w:rFonts w:hint="default" w:ascii="Times New Roman" w:hAnsi="Times New Roman" w:cs="Times New Roman"/>
          <w:color w:val="auto"/>
          <w:sz w:val="22"/>
          <w:szCs w:val="22"/>
          <w:highlight w:val="none"/>
          <w:lang w:eastAsia="zh-CN"/>
        </w:rPr>
        <w:t>，</w:t>
      </w:r>
      <w:r>
        <w:rPr>
          <w:rFonts w:hint="default" w:ascii="Times New Roman" w:hAnsi="Times New Roman" w:cs="Times New Roman"/>
          <w:color w:val="auto"/>
          <w:sz w:val="22"/>
          <w:szCs w:val="22"/>
          <w:highlight w:val="none"/>
        </w:rPr>
        <w:t>由发包人在招标文件中提供的</w:t>
      </w:r>
      <w:r>
        <w:rPr>
          <w:rFonts w:hint="default" w:ascii="Times New Roman" w:hAnsi="Times New Roman" w:cs="Times New Roman"/>
          <w:color w:val="auto"/>
          <w:sz w:val="22"/>
          <w:szCs w:val="22"/>
          <w:highlight w:val="none"/>
          <w:lang w:eastAsia="zh-CN"/>
        </w:rPr>
        <w:t>，</w:t>
      </w:r>
      <w:r>
        <w:rPr>
          <w:rFonts w:hint="default" w:ascii="Times New Roman" w:hAnsi="Times New Roman" w:cs="Times New Roman"/>
          <w:color w:val="auto"/>
          <w:sz w:val="22"/>
          <w:szCs w:val="22"/>
          <w:highlight w:val="none"/>
        </w:rPr>
        <w:t>合同工程分部分项工程项目、措施项目、其他项目、规费项目和税金项目的名称和相应数量等的明细清单。</w:t>
      </w:r>
    </w:p>
    <w:p w14:paraId="312BD4D4">
      <w:pPr>
        <w:pStyle w:val="15"/>
        <w:tabs>
          <w:tab w:val="left" w:pos="2160"/>
        </w:tabs>
        <w:adjustRightInd w:val="0"/>
        <w:spacing w:before="192" w:beforeLines="80" w:line="420" w:lineRule="exact"/>
        <w:ind w:left="1618" w:leftChars="770" w:hanging="1"/>
        <w:jc w:val="left"/>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1.10  发包人：</w:t>
      </w:r>
      <w:r>
        <w:rPr>
          <w:rFonts w:hint="default" w:ascii="Times New Roman" w:hAnsi="Times New Roman" w:cs="Times New Roman"/>
          <w:color w:val="auto"/>
          <w:sz w:val="22"/>
          <w:szCs w:val="22"/>
          <w:highlight w:val="none"/>
        </w:rPr>
        <w:t>指在协议书中约定，具有工程发包主体资格和支付工程款能力的当事人，以及取得该当事人资格的合法继承人。</w:t>
      </w:r>
    </w:p>
    <w:p w14:paraId="7491B566">
      <w:pPr>
        <w:pStyle w:val="15"/>
        <w:tabs>
          <w:tab w:val="left" w:pos="1980"/>
        </w:tabs>
        <w:adjustRightInd w:val="0"/>
        <w:spacing w:before="192" w:beforeLines="80" w:line="420" w:lineRule="exact"/>
        <w:ind w:left="1573" w:leftChars="749"/>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1.11  承包人：</w:t>
      </w:r>
      <w:r>
        <w:rPr>
          <w:rFonts w:hint="default" w:ascii="Times New Roman" w:hAnsi="Times New Roman" w:cs="Times New Roman"/>
          <w:color w:val="auto"/>
          <w:sz w:val="22"/>
          <w:szCs w:val="22"/>
          <w:highlight w:val="none"/>
        </w:rPr>
        <w:t>指在协议书中约定，被发包人接受且具有工程施工承包主体资格的当事人，以及取得该当事人资格的合法继承人。</w:t>
      </w:r>
    </w:p>
    <w:p w14:paraId="62211351">
      <w:pPr>
        <w:pStyle w:val="15"/>
        <w:tabs>
          <w:tab w:val="left" w:pos="1980"/>
        </w:tabs>
        <w:spacing w:before="192" w:beforeLines="80" w:line="420" w:lineRule="exact"/>
        <w:ind w:left="1575" w:leftChars="750"/>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1.12  分包人：</w:t>
      </w:r>
      <w:r>
        <w:rPr>
          <w:rFonts w:hint="default" w:ascii="Times New Roman" w:hAnsi="Times New Roman" w:cs="Times New Roman"/>
          <w:color w:val="auto"/>
          <w:sz w:val="22"/>
          <w:szCs w:val="22"/>
          <w:highlight w:val="none"/>
        </w:rPr>
        <w:t>指被发包人接受且具有相应资格，并与承包人签订了分包合同，依法分包合同工程某一部分的当事人，以及取得该当事人资格的合法继承人。</w:t>
      </w:r>
    </w:p>
    <w:p w14:paraId="2837D488">
      <w:pPr>
        <w:pStyle w:val="15"/>
        <w:tabs>
          <w:tab w:val="left" w:pos="1980"/>
          <w:tab w:val="left" w:pos="2160"/>
        </w:tabs>
        <w:spacing w:before="192" w:beforeLines="80" w:line="420" w:lineRule="exact"/>
        <w:ind w:left="1620" w:leftChars="771" w:hanging="1"/>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1.13  第三方：</w:t>
      </w:r>
      <w:r>
        <w:rPr>
          <w:rFonts w:hint="default" w:ascii="Times New Roman" w:hAnsi="Times New Roman" w:cs="Times New Roman"/>
          <w:color w:val="auto"/>
          <w:sz w:val="22"/>
          <w:szCs w:val="22"/>
          <w:highlight w:val="none"/>
        </w:rPr>
        <w:t>除合同双方当事人</w:t>
      </w:r>
      <w:r>
        <w:rPr>
          <w:rFonts w:hint="default" w:ascii="Times New Roman" w:hAnsi="Times New Roman" w:cs="Times New Roman"/>
          <w:color w:val="auto"/>
          <w:sz w:val="22"/>
          <w:szCs w:val="22"/>
          <w:highlight w:val="none"/>
          <w:lang w:eastAsia="zh-CN"/>
        </w:rPr>
        <w:t>（</w:t>
      </w:r>
      <w:r>
        <w:rPr>
          <w:rFonts w:hint="default" w:ascii="Times New Roman" w:hAnsi="Times New Roman" w:cs="Times New Roman"/>
          <w:color w:val="auto"/>
          <w:sz w:val="22"/>
          <w:szCs w:val="22"/>
          <w:highlight w:val="none"/>
        </w:rPr>
        <w:t>含双方雇员及代表其工作的人员</w:t>
      </w:r>
      <w:r>
        <w:rPr>
          <w:rFonts w:hint="default" w:ascii="Times New Roman" w:hAnsi="Times New Roman" w:cs="Times New Roman"/>
          <w:color w:val="auto"/>
          <w:sz w:val="22"/>
          <w:szCs w:val="22"/>
          <w:highlight w:val="none"/>
          <w:lang w:eastAsia="zh-CN"/>
        </w:rPr>
        <w:t>）</w:t>
      </w:r>
      <w:r>
        <w:rPr>
          <w:rFonts w:hint="default" w:ascii="Times New Roman" w:hAnsi="Times New Roman" w:cs="Times New Roman"/>
          <w:color w:val="auto"/>
          <w:sz w:val="22"/>
          <w:szCs w:val="22"/>
          <w:highlight w:val="none"/>
        </w:rPr>
        <w:t>以外的任何他人或组织。</w:t>
      </w:r>
    </w:p>
    <w:p w14:paraId="37EDD8F6">
      <w:pPr>
        <w:pStyle w:val="15"/>
        <w:tabs>
          <w:tab w:val="left" w:pos="1980"/>
          <w:tab w:val="left" w:pos="2160"/>
        </w:tabs>
        <w:spacing w:before="192" w:beforeLines="80" w:line="420" w:lineRule="exact"/>
        <w:ind w:left="1618" w:leftChars="770" w:hanging="1"/>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1.14  设计人：</w:t>
      </w:r>
      <w:r>
        <w:rPr>
          <w:rFonts w:hint="default" w:ascii="Times New Roman" w:hAnsi="Times New Roman" w:cs="Times New Roman"/>
          <w:color w:val="auto"/>
          <w:sz w:val="22"/>
          <w:szCs w:val="22"/>
          <w:highlight w:val="none"/>
        </w:rPr>
        <w:t>指受发包人委托的，负责合同工程的工程设计专业技术且具有相应工程设计资质的当事人，以及取得该当事人资格的合法继承人。</w:t>
      </w:r>
    </w:p>
    <w:p w14:paraId="1BFDBCC5">
      <w:pPr>
        <w:pStyle w:val="15"/>
        <w:tabs>
          <w:tab w:val="left" w:pos="1980"/>
          <w:tab w:val="left" w:pos="2160"/>
        </w:tabs>
        <w:spacing w:before="192" w:beforeLines="80" w:line="420" w:lineRule="exact"/>
        <w:ind w:left="1618" w:leftChars="770" w:hanging="1"/>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1.15  监理人：</w:t>
      </w:r>
      <w:r>
        <w:rPr>
          <w:rFonts w:hint="default" w:ascii="Times New Roman" w:hAnsi="Times New Roman" w:cs="Times New Roman"/>
          <w:color w:val="auto"/>
          <w:sz w:val="22"/>
          <w:szCs w:val="22"/>
          <w:highlight w:val="none"/>
        </w:rPr>
        <w:t>指受发包人委托的，负责合同工程的工程监理专业技术且具有相应工程监理资质的当事人，以及取得该当事人资格的合法继承人。</w:t>
      </w:r>
    </w:p>
    <w:p w14:paraId="16516FCD">
      <w:pPr>
        <w:pStyle w:val="15"/>
        <w:tabs>
          <w:tab w:val="left" w:pos="1980"/>
          <w:tab w:val="left" w:pos="2160"/>
        </w:tabs>
        <w:spacing w:before="192" w:beforeLines="80" w:line="420" w:lineRule="exact"/>
        <w:ind w:left="1618" w:leftChars="770" w:hanging="1"/>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1.16  工程造价咨询人：</w:t>
      </w:r>
      <w:r>
        <w:rPr>
          <w:rFonts w:hint="default" w:ascii="Times New Roman" w:hAnsi="Times New Roman" w:cs="Times New Roman"/>
          <w:color w:val="auto"/>
          <w:sz w:val="22"/>
          <w:szCs w:val="22"/>
          <w:highlight w:val="none"/>
        </w:rPr>
        <w:t>指受发包人委托的，负责合同工程的工程造价专业技术且具有相应工程造价咨询资质的当事人，以及取得该当事人资格的合法继承人。</w:t>
      </w:r>
    </w:p>
    <w:p w14:paraId="30829DD6">
      <w:pPr>
        <w:pStyle w:val="15"/>
        <w:tabs>
          <w:tab w:val="left" w:pos="1980"/>
          <w:tab w:val="left" w:pos="2160"/>
          <w:tab w:val="left" w:pos="2520"/>
        </w:tabs>
        <w:spacing w:before="192" w:beforeLines="80" w:line="420" w:lineRule="exact"/>
        <w:ind w:left="1620" w:leftChars="771" w:hanging="1"/>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1.17  工程造价管理机构：</w:t>
      </w:r>
      <w:r>
        <w:rPr>
          <w:rFonts w:hint="default" w:ascii="Times New Roman" w:hAnsi="Times New Roman" w:cs="Times New Roman"/>
          <w:color w:val="auto"/>
          <w:sz w:val="22"/>
          <w:szCs w:val="22"/>
          <w:highlight w:val="none"/>
        </w:rPr>
        <w:t>指国务院有关部门、县级以上人民政府建设行政主管部门或受其委托的工程造价管理机构。</w:t>
      </w:r>
    </w:p>
    <w:p w14:paraId="772A4E8C">
      <w:pPr>
        <w:pStyle w:val="15"/>
        <w:tabs>
          <w:tab w:val="left" w:pos="1980"/>
          <w:tab w:val="left" w:pos="2160"/>
          <w:tab w:val="left" w:pos="2520"/>
        </w:tabs>
        <w:spacing w:before="192" w:beforeLines="80" w:line="420" w:lineRule="exact"/>
        <w:ind w:left="1618" w:leftChars="770" w:hanging="1"/>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1.18  发包人代表：</w:t>
      </w:r>
      <w:r>
        <w:rPr>
          <w:rFonts w:hint="default" w:ascii="Times New Roman" w:hAnsi="Times New Roman" w:cs="Times New Roman"/>
          <w:color w:val="auto"/>
          <w:sz w:val="22"/>
          <w:szCs w:val="22"/>
          <w:highlight w:val="none"/>
        </w:rPr>
        <w:t>指发包人指定的，履行本合同的全权代表。发包人代表由发包人依据第22.1款规定任命并书面通知承包人。</w:t>
      </w:r>
    </w:p>
    <w:p w14:paraId="37195A99">
      <w:pPr>
        <w:pStyle w:val="15"/>
        <w:tabs>
          <w:tab w:val="left" w:pos="1260"/>
          <w:tab w:val="left" w:pos="1980"/>
          <w:tab w:val="left" w:pos="2160"/>
        </w:tabs>
        <w:spacing w:before="192" w:beforeLines="80" w:line="420" w:lineRule="exact"/>
        <w:ind w:left="1618" w:leftChars="770" w:hanging="1"/>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1.19  监理工程师：</w:t>
      </w:r>
      <w:r>
        <w:rPr>
          <w:rFonts w:hint="default" w:ascii="Times New Roman" w:hAnsi="Times New Roman" w:cs="Times New Roman"/>
          <w:color w:val="auto"/>
          <w:sz w:val="22"/>
          <w:szCs w:val="22"/>
          <w:highlight w:val="none"/>
        </w:rPr>
        <w:t>指监理人委派常驻施工现场负责合同工程的工程监理专业技术的专业人员。监理工程师由监理人提名，经发包人依据第23.1款规定任命并书面通知承包人。</w:t>
      </w:r>
    </w:p>
    <w:p w14:paraId="75EEE4AB">
      <w:pPr>
        <w:pStyle w:val="15"/>
        <w:tabs>
          <w:tab w:val="left" w:pos="1980"/>
          <w:tab w:val="left" w:pos="2160"/>
        </w:tabs>
        <w:spacing w:before="192" w:beforeLines="80" w:line="420" w:lineRule="exact"/>
        <w:ind w:left="1618" w:leftChars="770" w:hanging="1"/>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1.20  造价工程师：</w:t>
      </w:r>
      <w:r>
        <w:rPr>
          <w:rFonts w:hint="default" w:ascii="Times New Roman" w:hAnsi="Times New Roman" w:cs="Times New Roman"/>
          <w:color w:val="auto"/>
          <w:sz w:val="22"/>
          <w:szCs w:val="22"/>
          <w:highlight w:val="none"/>
        </w:rPr>
        <w:t>指工程造价咨询人或监理人委派常驻施工现场负责合同工程的工程造价专业技术的专业人员。造价工程师由工程造价咨询人或监理人提名，经发包人依据第24.1款规定任命并书面通知承包人。</w:t>
      </w:r>
    </w:p>
    <w:p w14:paraId="3204D7AC">
      <w:pPr>
        <w:pStyle w:val="15"/>
        <w:tabs>
          <w:tab w:val="left" w:pos="1620"/>
          <w:tab w:val="left" w:pos="1980"/>
        </w:tabs>
        <w:spacing w:before="192" w:beforeLines="80" w:line="420" w:lineRule="exact"/>
        <w:ind w:left="1620" w:leftChars="771" w:hanging="1"/>
        <w:jc w:val="left"/>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1.21  承包人代表：</w:t>
      </w:r>
      <w:r>
        <w:rPr>
          <w:rFonts w:hint="default" w:ascii="Times New Roman" w:hAnsi="Times New Roman" w:cs="Times New Roman"/>
          <w:color w:val="auto"/>
          <w:sz w:val="22"/>
          <w:szCs w:val="22"/>
          <w:highlight w:val="none"/>
        </w:rPr>
        <w:t>指承包人指定的，履行本合同和负责合同工程施工现场管理的全权代表。承包人代表由承包人依据第25.1款规定任命并书面通知发包人。</w:t>
      </w:r>
    </w:p>
    <w:p w14:paraId="22B4AA15">
      <w:pPr>
        <w:pStyle w:val="15"/>
        <w:tabs>
          <w:tab w:val="left" w:pos="2160"/>
        </w:tabs>
        <w:spacing w:before="192" w:beforeLines="80" w:line="420" w:lineRule="exact"/>
        <w:ind w:left="1620" w:leftChars="771" w:hanging="1"/>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1.22  合同工期：</w:t>
      </w:r>
      <w:r>
        <w:rPr>
          <w:rFonts w:hint="default" w:ascii="Times New Roman" w:hAnsi="Times New Roman" w:cs="Times New Roman"/>
          <w:color w:val="auto"/>
          <w:sz w:val="22"/>
          <w:szCs w:val="22"/>
          <w:highlight w:val="none"/>
        </w:rPr>
        <w:t>指合同双方当事人在协议书中约定，按照总日历天数（包括法定节假日）计算的从开始实施到完成合同工程的天数。</w:t>
      </w:r>
    </w:p>
    <w:p w14:paraId="4E396BEE">
      <w:pPr>
        <w:pStyle w:val="15"/>
        <w:tabs>
          <w:tab w:val="left" w:pos="2160"/>
        </w:tabs>
        <w:spacing w:before="192" w:beforeLines="80" w:line="420" w:lineRule="exact"/>
        <w:ind w:left="1620" w:leftChars="771" w:hanging="1"/>
        <w:jc w:val="left"/>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1.23  开工日期：</w:t>
      </w:r>
      <w:r>
        <w:rPr>
          <w:rFonts w:hint="default" w:ascii="Times New Roman" w:hAnsi="Times New Roman" w:cs="Times New Roman"/>
          <w:color w:val="auto"/>
          <w:sz w:val="22"/>
          <w:szCs w:val="22"/>
          <w:highlight w:val="none"/>
        </w:rPr>
        <w:t>指根据第34条规定，监理工程师在开工令中写明的、承包人按照合同约定最迟在该日期开工的日期。</w:t>
      </w:r>
    </w:p>
    <w:p w14:paraId="717E6B42">
      <w:pPr>
        <w:pStyle w:val="15"/>
        <w:tabs>
          <w:tab w:val="left" w:pos="1980"/>
        </w:tabs>
        <w:spacing w:before="192" w:beforeLines="80" w:line="420" w:lineRule="exact"/>
        <w:ind w:left="1620" w:leftChars="771" w:hanging="1"/>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1.24  计划竣工日期：</w:t>
      </w:r>
      <w:r>
        <w:rPr>
          <w:rFonts w:hint="default" w:ascii="Times New Roman" w:hAnsi="Times New Roman" w:cs="Times New Roman"/>
          <w:color w:val="auto"/>
          <w:sz w:val="22"/>
          <w:szCs w:val="22"/>
          <w:highlight w:val="none"/>
        </w:rPr>
        <w:t>指自开工日期起根据合同约定要求承包人完成合同工程并竣工的全部时间（包括根据第36条和第37.2款规定所做的调整）。</w:t>
      </w:r>
    </w:p>
    <w:p w14:paraId="3EA7BC1E">
      <w:pPr>
        <w:pStyle w:val="15"/>
        <w:tabs>
          <w:tab w:val="left" w:pos="1980"/>
          <w:tab w:val="left" w:pos="2160"/>
        </w:tabs>
        <w:spacing w:before="192" w:beforeLines="80" w:line="420" w:lineRule="exact"/>
        <w:ind w:left="1620" w:leftChars="771" w:hanging="1"/>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1.25  实际竣工日期：</w:t>
      </w:r>
      <w:r>
        <w:rPr>
          <w:rFonts w:hint="default" w:ascii="Times New Roman" w:hAnsi="Times New Roman" w:cs="Times New Roman"/>
          <w:color w:val="auto"/>
          <w:sz w:val="22"/>
          <w:szCs w:val="22"/>
          <w:highlight w:val="none"/>
        </w:rPr>
        <w:t>指承包人实际完成合同工程或某单位工程后，由发包人按照第58条规定组织竣工验收、接收工程并颁发工程接收证书的日期。实际竣工日期，按照第38.2款规定确定。</w:t>
      </w:r>
    </w:p>
    <w:p w14:paraId="6185AA8B">
      <w:pPr>
        <w:pStyle w:val="15"/>
        <w:tabs>
          <w:tab w:val="left" w:pos="1980"/>
          <w:tab w:val="left" w:pos="2160"/>
        </w:tabs>
        <w:spacing w:before="192" w:beforeLines="80" w:line="420" w:lineRule="exact"/>
        <w:ind w:left="1620" w:leftChars="771" w:hanging="1"/>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1.26  缺陷责任期：</w:t>
      </w:r>
      <w:r>
        <w:rPr>
          <w:rFonts w:hint="default" w:ascii="Times New Roman" w:hAnsi="Times New Roman" w:cs="Times New Roman"/>
          <w:color w:val="auto"/>
          <w:sz w:val="22"/>
          <w:szCs w:val="22"/>
          <w:highlight w:val="none"/>
        </w:rPr>
        <w:t>指履行第59.3款规定的缺陷责任的期限。具体期限在专用条款中约定，包括第59.2款规定的延长期限。</w:t>
      </w:r>
    </w:p>
    <w:p w14:paraId="75C1F6B4">
      <w:pPr>
        <w:pStyle w:val="15"/>
        <w:tabs>
          <w:tab w:val="left" w:pos="1980"/>
          <w:tab w:val="left" w:pos="2160"/>
        </w:tabs>
        <w:spacing w:before="192" w:beforeLines="80" w:line="420" w:lineRule="exact"/>
        <w:ind w:left="1620" w:leftChars="771" w:hanging="1"/>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1.27  基准日期：</w:t>
      </w:r>
      <w:r>
        <w:rPr>
          <w:rFonts w:hint="default" w:ascii="Times New Roman" w:hAnsi="Times New Roman" w:cs="Times New Roman"/>
          <w:color w:val="auto"/>
          <w:sz w:val="22"/>
          <w:szCs w:val="22"/>
          <w:highlight w:val="none"/>
        </w:rPr>
        <w:t>指招标工程递交投标文件截止日期前28天的日期；非招标工程订立合同前28天的日期。</w:t>
      </w:r>
    </w:p>
    <w:p w14:paraId="4490E516">
      <w:pPr>
        <w:pStyle w:val="15"/>
        <w:tabs>
          <w:tab w:val="left" w:pos="2160"/>
        </w:tabs>
        <w:spacing w:before="192" w:beforeLines="80" w:line="420" w:lineRule="exact"/>
        <w:ind w:left="1573" w:leftChars="749"/>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1.28  小时或天：</w:t>
      </w:r>
      <w:r>
        <w:rPr>
          <w:rFonts w:hint="default" w:ascii="Times New Roman" w:hAnsi="Times New Roman" w:cs="Times New Roman"/>
          <w:color w:val="auto"/>
          <w:sz w:val="22"/>
          <w:szCs w:val="22"/>
          <w:highlight w:val="none"/>
        </w:rPr>
        <w:t>除特别指明外，指时钟小时或日历天。合同中约定按照小时计算时间的，从发生事件有效时开始计算，不扣除休息时间；约定按照天计算时间的，开始当天不计入，从次日开始计算。时限的最后一天是休息日或其他法定节假日的，以节假日次日为时限，但竣工日期除外。时限最后一天的截止时间为当天24:00（即次日零点）。</w:t>
      </w:r>
    </w:p>
    <w:p w14:paraId="76C06BD4">
      <w:pPr>
        <w:pStyle w:val="15"/>
        <w:tabs>
          <w:tab w:val="left" w:pos="900"/>
          <w:tab w:val="left" w:pos="2160"/>
        </w:tabs>
        <w:spacing w:before="192" w:beforeLines="80" w:line="420" w:lineRule="exact"/>
        <w:ind w:left="1576" w:leftChars="750" w:hanging="1"/>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1.29  中标价格：</w:t>
      </w:r>
      <w:r>
        <w:rPr>
          <w:rFonts w:hint="default" w:ascii="Times New Roman" w:hAnsi="Times New Roman" w:cs="Times New Roman"/>
          <w:color w:val="auto"/>
          <w:sz w:val="22"/>
          <w:szCs w:val="22"/>
          <w:highlight w:val="none"/>
        </w:rPr>
        <w:t>指中标通知书中列明的，发包人接受中标人（承包人）实施、完成并保修合同工程的价格。</w:t>
      </w:r>
    </w:p>
    <w:p w14:paraId="25E65880">
      <w:pPr>
        <w:pStyle w:val="15"/>
        <w:tabs>
          <w:tab w:val="left" w:pos="2160"/>
        </w:tabs>
        <w:spacing w:before="192" w:beforeLines="80" w:line="420" w:lineRule="exact"/>
        <w:ind w:left="1620" w:leftChars="771" w:hanging="1"/>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1.30  合同价款：</w:t>
      </w:r>
      <w:r>
        <w:rPr>
          <w:rFonts w:hint="default" w:ascii="Times New Roman" w:hAnsi="Times New Roman" w:cs="Times New Roman"/>
          <w:color w:val="auto"/>
          <w:sz w:val="22"/>
          <w:szCs w:val="22"/>
          <w:highlight w:val="none"/>
        </w:rPr>
        <w:t>指承包人按照合同约定完成了包括缺陷责任期内的全部承包工作后，发包人按照合同约定及时足额（包括调整的合同价款）支付给承包人的全部金额。其具体款项依据协议书中标明的包括暂列金额、暂估价在内的金额和第68.2款规定合同价款调整事件确定。</w:t>
      </w:r>
    </w:p>
    <w:p w14:paraId="10C8BF64">
      <w:pPr>
        <w:pStyle w:val="15"/>
        <w:tabs>
          <w:tab w:val="left" w:pos="2160"/>
        </w:tabs>
        <w:spacing w:before="192" w:beforeLines="80" w:line="420" w:lineRule="exact"/>
        <w:ind w:left="1620" w:leftChars="771" w:hanging="1"/>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1.31  费用：</w:t>
      </w:r>
      <w:r>
        <w:rPr>
          <w:rFonts w:hint="default" w:ascii="Times New Roman" w:hAnsi="Times New Roman" w:cs="Times New Roman"/>
          <w:color w:val="auto"/>
          <w:sz w:val="22"/>
          <w:szCs w:val="22"/>
          <w:highlight w:val="none"/>
        </w:rPr>
        <w:t>指为履行合同所发生或将发生的所有合理开支，包括管理费和其他合理分摊的开支，但不包括利润。</w:t>
      </w:r>
    </w:p>
    <w:p w14:paraId="489FEF42">
      <w:pPr>
        <w:pStyle w:val="15"/>
        <w:tabs>
          <w:tab w:val="left" w:pos="1980"/>
          <w:tab w:val="left" w:pos="2160"/>
        </w:tabs>
        <w:spacing w:before="240" w:beforeLines="100" w:line="420" w:lineRule="exact"/>
        <w:ind w:left="1620" w:leftChars="771" w:hanging="1"/>
        <w:jc w:val="left"/>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1.32  分部分项工程费：</w:t>
      </w:r>
      <w:r>
        <w:rPr>
          <w:rFonts w:hint="default" w:ascii="Times New Roman" w:hAnsi="Times New Roman" w:cs="Times New Roman"/>
          <w:color w:val="auto"/>
          <w:sz w:val="22"/>
          <w:szCs w:val="22"/>
          <w:highlight w:val="none"/>
        </w:rPr>
        <w:t>指为实施、完成并保修永久工程，发生于工程实体项目所需的人工费、材料费、机械使用费、管理费、利润和风险费用。</w:t>
      </w:r>
    </w:p>
    <w:p w14:paraId="254AF5FF">
      <w:pPr>
        <w:pStyle w:val="15"/>
        <w:tabs>
          <w:tab w:val="left" w:pos="2160"/>
        </w:tabs>
        <w:spacing w:before="240" w:beforeLines="100" w:line="420" w:lineRule="exact"/>
        <w:ind w:left="1618" w:leftChars="770" w:hanging="1"/>
        <w:jc w:val="left"/>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1.33  措施项目费：</w:t>
      </w:r>
      <w:r>
        <w:rPr>
          <w:rFonts w:hint="default" w:ascii="Times New Roman" w:hAnsi="Times New Roman" w:cs="Times New Roman"/>
          <w:color w:val="auto"/>
          <w:sz w:val="22"/>
          <w:szCs w:val="22"/>
          <w:highlight w:val="none"/>
        </w:rPr>
        <w:t>指为实施、完成并保修合同工程，发生于合同工程施工准备和施工过程中的技术、生活、安全、环境保护等方面的非工程实体项目费用。</w:t>
      </w:r>
    </w:p>
    <w:p w14:paraId="411E3D95">
      <w:pPr>
        <w:pStyle w:val="15"/>
        <w:tabs>
          <w:tab w:val="left" w:pos="2160"/>
        </w:tabs>
        <w:spacing w:before="240" w:beforeLines="100" w:line="420" w:lineRule="exact"/>
        <w:ind w:left="1620" w:leftChars="771" w:hanging="1"/>
        <w:jc w:val="left"/>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1.34  工程款：</w:t>
      </w:r>
      <w:r>
        <w:rPr>
          <w:rFonts w:hint="default" w:ascii="Times New Roman" w:hAnsi="Times New Roman" w:cs="Times New Roman"/>
          <w:color w:val="auto"/>
          <w:sz w:val="22"/>
          <w:szCs w:val="22"/>
          <w:highlight w:val="none"/>
        </w:rPr>
        <w:t>指为实施、完成并保修合同工程，发包人支付或应当支付给承包人的各种价款，包括进度款、结算款等。</w:t>
      </w:r>
    </w:p>
    <w:p w14:paraId="00190C61">
      <w:pPr>
        <w:pStyle w:val="15"/>
        <w:tabs>
          <w:tab w:val="left" w:pos="2160"/>
        </w:tabs>
        <w:spacing w:before="240" w:beforeLines="100" w:line="420" w:lineRule="exact"/>
        <w:ind w:left="1576" w:leftChars="750" w:hanging="1"/>
        <w:jc w:val="left"/>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1.35  暂列金额：</w:t>
      </w:r>
      <w:r>
        <w:rPr>
          <w:rFonts w:hint="default" w:ascii="Times New Roman" w:hAnsi="Times New Roman" w:cs="Times New Roman"/>
          <w:color w:val="auto"/>
          <w:sz w:val="22"/>
          <w:szCs w:val="22"/>
          <w:highlight w:val="none"/>
        </w:rPr>
        <w:t>指发包人在工程量清单中暂定并包括在合同价款中的一笔款项。用于在签订协议书时尚未确定或者不可预见的所需材料、设备、服务等的采购，施工过程中可能发生的工程变更、合同约定的工程款调整以及经确认的索赔、现场签证等的金额（包括以计日工方式支付的金额）。</w:t>
      </w:r>
    </w:p>
    <w:p w14:paraId="1DAB35E7">
      <w:pPr>
        <w:pStyle w:val="15"/>
        <w:tabs>
          <w:tab w:val="left" w:pos="2160"/>
        </w:tabs>
        <w:spacing w:before="240" w:beforeLines="100" w:line="420" w:lineRule="exact"/>
        <w:ind w:left="1576" w:leftChars="750" w:hanging="1"/>
        <w:jc w:val="left"/>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1.36  暂估价：</w:t>
      </w:r>
      <w:r>
        <w:rPr>
          <w:rFonts w:hint="default" w:ascii="Times New Roman" w:hAnsi="Times New Roman" w:cs="Times New Roman"/>
          <w:color w:val="auto"/>
          <w:sz w:val="22"/>
          <w:szCs w:val="22"/>
          <w:highlight w:val="none"/>
        </w:rPr>
        <w:t>指发包人在工程量清单中提供的用于支付必然发生但暂时不能确定价格的材料、工程设备以及专业工程的金额。</w:t>
      </w:r>
    </w:p>
    <w:p w14:paraId="5FCF43B7">
      <w:pPr>
        <w:pStyle w:val="15"/>
        <w:tabs>
          <w:tab w:val="left" w:pos="2160"/>
        </w:tabs>
        <w:spacing w:before="240" w:beforeLines="100" w:line="420" w:lineRule="exact"/>
        <w:ind w:left="1620" w:leftChars="771" w:hanging="1"/>
        <w:jc w:val="left"/>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1.37  计日工：</w:t>
      </w:r>
      <w:r>
        <w:rPr>
          <w:rFonts w:hint="default" w:ascii="Times New Roman" w:hAnsi="Times New Roman" w:cs="Times New Roman"/>
          <w:color w:val="auto"/>
          <w:sz w:val="22"/>
          <w:szCs w:val="22"/>
          <w:highlight w:val="none"/>
        </w:rPr>
        <w:t>指在施工过程中，承包人完成发包人提出的施工设计图纸以外的零星项目或工作，按照合同中约定计价付款的一种计价方式。</w:t>
      </w:r>
    </w:p>
    <w:p w14:paraId="3B7135F2">
      <w:pPr>
        <w:pStyle w:val="15"/>
        <w:tabs>
          <w:tab w:val="left" w:pos="2160"/>
        </w:tabs>
        <w:spacing w:before="240" w:beforeLines="100" w:line="420" w:lineRule="exact"/>
        <w:ind w:left="1576" w:leftChars="750" w:hanging="1"/>
        <w:jc w:val="left"/>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1.38  质量保证金：</w:t>
      </w:r>
      <w:r>
        <w:rPr>
          <w:rFonts w:hint="default" w:ascii="Times New Roman" w:hAnsi="Times New Roman" w:cs="Times New Roman"/>
          <w:color w:val="auto"/>
          <w:sz w:val="22"/>
          <w:szCs w:val="22"/>
          <w:highlight w:val="none"/>
        </w:rPr>
        <w:t>指按照第84条约定用于保证在缺陷责任期内履行缺陷修复义务的金额。</w:t>
      </w:r>
    </w:p>
    <w:p w14:paraId="13429D8D">
      <w:pPr>
        <w:pStyle w:val="15"/>
        <w:tabs>
          <w:tab w:val="left" w:pos="2160"/>
        </w:tabs>
        <w:spacing w:before="240" w:beforeLines="100" w:line="420" w:lineRule="exact"/>
        <w:ind w:left="1576" w:hanging="1"/>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1.39  合同工程：</w:t>
      </w:r>
      <w:r>
        <w:rPr>
          <w:rFonts w:hint="default" w:ascii="Times New Roman" w:hAnsi="Times New Roman" w:cs="Times New Roman"/>
          <w:color w:val="auto"/>
          <w:sz w:val="22"/>
          <w:szCs w:val="22"/>
          <w:highlight w:val="none"/>
        </w:rPr>
        <w:t>指合同双方当事人在协议书中约定的承包范围内的工程，包括永久工程和（或）临时工程。</w:t>
      </w:r>
    </w:p>
    <w:p w14:paraId="09446327">
      <w:pPr>
        <w:pStyle w:val="15"/>
        <w:tabs>
          <w:tab w:val="left" w:pos="2160"/>
        </w:tabs>
        <w:spacing w:before="192" w:beforeLines="80" w:line="420" w:lineRule="exact"/>
        <w:ind w:left="1576" w:hanging="1"/>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1.40  永久工程：</w:t>
      </w:r>
      <w:r>
        <w:rPr>
          <w:rFonts w:hint="default" w:ascii="Times New Roman" w:hAnsi="Times New Roman" w:cs="Times New Roman"/>
          <w:color w:val="auto"/>
          <w:sz w:val="22"/>
          <w:szCs w:val="22"/>
          <w:highlight w:val="none"/>
        </w:rPr>
        <w:t>指按照合同约定承包人应当实施、完成并移交给发包人的永久性工程，包括工程设备。</w:t>
      </w:r>
    </w:p>
    <w:p w14:paraId="14110149">
      <w:pPr>
        <w:pStyle w:val="15"/>
        <w:tabs>
          <w:tab w:val="left" w:pos="2160"/>
        </w:tabs>
        <w:spacing w:before="192" w:beforeLines="80" w:line="420" w:lineRule="exact"/>
        <w:ind w:left="1576" w:hanging="1"/>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1.41  临时工程：</w:t>
      </w:r>
      <w:r>
        <w:rPr>
          <w:rFonts w:hint="default" w:ascii="Times New Roman" w:hAnsi="Times New Roman" w:cs="Times New Roman"/>
          <w:color w:val="auto"/>
          <w:sz w:val="22"/>
          <w:szCs w:val="22"/>
          <w:highlight w:val="none"/>
        </w:rPr>
        <w:t>指实施、完成并保修永久工程过程中所需要的各类临时性工程，不包括施工设备。</w:t>
      </w:r>
    </w:p>
    <w:p w14:paraId="6F10E4CB">
      <w:pPr>
        <w:pStyle w:val="15"/>
        <w:tabs>
          <w:tab w:val="left" w:pos="2160"/>
        </w:tabs>
        <w:spacing w:before="192" w:beforeLines="80" w:line="420" w:lineRule="exact"/>
        <w:ind w:left="1576" w:hanging="1"/>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1.42  分包工程：</w:t>
      </w:r>
      <w:r>
        <w:rPr>
          <w:rFonts w:hint="default" w:ascii="Times New Roman" w:hAnsi="Times New Roman" w:cs="Times New Roman"/>
          <w:color w:val="auto"/>
          <w:sz w:val="22"/>
          <w:szCs w:val="22"/>
          <w:highlight w:val="none"/>
        </w:rPr>
        <w:t>指合同工程中，由具有相应分包资质的分包人实施、完成的非主体结构（除钢结构外）的专业性工程。</w:t>
      </w:r>
    </w:p>
    <w:p w14:paraId="3106E00A">
      <w:pPr>
        <w:pStyle w:val="15"/>
        <w:tabs>
          <w:tab w:val="left" w:pos="2160"/>
        </w:tabs>
        <w:spacing w:before="192" w:beforeLines="80" w:line="420" w:lineRule="exact"/>
        <w:ind w:left="1620" w:leftChars="771" w:hanging="1"/>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1.43  单位工程：</w:t>
      </w:r>
      <w:r>
        <w:rPr>
          <w:rFonts w:hint="default" w:ascii="Times New Roman" w:hAnsi="Times New Roman" w:cs="Times New Roman"/>
          <w:color w:val="auto"/>
          <w:sz w:val="22"/>
          <w:szCs w:val="22"/>
          <w:highlight w:val="none"/>
        </w:rPr>
        <w:t>指具有独立的设计文件，竣工后可以独立发挥生产能力和效益的永久工程。组成合同工程的单位工程名称、内容和范围等应在专用条款中明确。</w:t>
      </w:r>
    </w:p>
    <w:p w14:paraId="70A56B72">
      <w:pPr>
        <w:pStyle w:val="15"/>
        <w:tabs>
          <w:tab w:val="left" w:pos="2160"/>
        </w:tabs>
        <w:spacing w:before="192" w:beforeLines="80" w:line="420" w:lineRule="exact"/>
        <w:ind w:left="1620" w:leftChars="771" w:hanging="1"/>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1.44  施工场地（或工地 、现场）：</w:t>
      </w:r>
      <w:r>
        <w:rPr>
          <w:rFonts w:hint="default" w:ascii="Times New Roman" w:hAnsi="Times New Roman" w:cs="Times New Roman"/>
          <w:color w:val="auto"/>
          <w:sz w:val="22"/>
          <w:szCs w:val="22"/>
          <w:highlight w:val="none"/>
        </w:rPr>
        <w:t>指由发包人提供的用于合同工程施工的场所，以及发包人在合同中具体指定的供施工使用的其他任何场所。</w:t>
      </w:r>
    </w:p>
    <w:p w14:paraId="42368558">
      <w:pPr>
        <w:pStyle w:val="15"/>
        <w:tabs>
          <w:tab w:val="left" w:pos="2160"/>
        </w:tabs>
        <w:spacing w:before="192" w:beforeLines="80" w:line="420" w:lineRule="exact"/>
        <w:ind w:left="1620" w:leftChars="771" w:hanging="1"/>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1.45  工程设备：</w:t>
      </w:r>
      <w:r>
        <w:rPr>
          <w:rFonts w:hint="default" w:ascii="Times New Roman" w:hAnsi="Times New Roman" w:cs="Times New Roman"/>
          <w:color w:val="auto"/>
          <w:sz w:val="22"/>
          <w:szCs w:val="22"/>
          <w:highlight w:val="none"/>
        </w:rPr>
        <w:t>指构成或计划构成永久工程一部分的机电设备、金属结构设备、仪器装置及其他类似的设备和装置。</w:t>
      </w:r>
    </w:p>
    <w:p w14:paraId="4B87487A">
      <w:pPr>
        <w:pStyle w:val="15"/>
        <w:tabs>
          <w:tab w:val="left" w:pos="2160"/>
        </w:tabs>
        <w:spacing w:before="192" w:beforeLines="80" w:line="420" w:lineRule="exact"/>
        <w:ind w:left="1620" w:leftChars="771" w:hanging="1"/>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1.46  施工设备：</w:t>
      </w:r>
      <w:r>
        <w:rPr>
          <w:rFonts w:hint="default" w:ascii="Times New Roman" w:hAnsi="Times New Roman" w:cs="Times New Roman"/>
          <w:color w:val="auto"/>
          <w:sz w:val="22"/>
          <w:szCs w:val="22"/>
          <w:highlight w:val="none"/>
        </w:rPr>
        <w:t>指承包人临时带入现场用于合同工程施工的仪器、机械、运输工具或其他物品，但不包括用于或安装在合同工程中的工程设备。</w:t>
      </w:r>
    </w:p>
    <w:p w14:paraId="772FC95A">
      <w:pPr>
        <w:pStyle w:val="15"/>
        <w:tabs>
          <w:tab w:val="left" w:pos="2160"/>
        </w:tabs>
        <w:spacing w:before="192" w:beforeLines="80" w:line="420" w:lineRule="exact"/>
        <w:ind w:left="1576" w:leftChars="750" w:hanging="1"/>
        <w:jc w:val="left"/>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1.47  工程变更：</w:t>
      </w:r>
      <w:r>
        <w:rPr>
          <w:rFonts w:hint="default" w:ascii="Times New Roman" w:hAnsi="Times New Roman" w:cs="Times New Roman"/>
          <w:color w:val="auto"/>
          <w:sz w:val="22"/>
          <w:szCs w:val="22"/>
          <w:highlight w:val="none"/>
        </w:rPr>
        <w:t>指经发包人批准的，由监理工程师根据第56条规定发出指令的工程任何变更。</w:t>
      </w:r>
    </w:p>
    <w:p w14:paraId="3119916B">
      <w:pPr>
        <w:pStyle w:val="15"/>
        <w:tabs>
          <w:tab w:val="left" w:pos="2160"/>
        </w:tabs>
        <w:spacing w:before="192" w:beforeLines="80" w:line="420" w:lineRule="exact"/>
        <w:ind w:left="1620" w:leftChars="771" w:hanging="1"/>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1.48  索赔：</w:t>
      </w:r>
      <w:r>
        <w:rPr>
          <w:rFonts w:hint="default" w:ascii="Times New Roman" w:hAnsi="Times New Roman" w:cs="Times New Roman"/>
          <w:color w:val="auto"/>
          <w:sz w:val="22"/>
          <w:szCs w:val="22"/>
          <w:highlight w:val="none"/>
        </w:rPr>
        <w:t>指合同履行期间，对于非自己的过错而应由对方当事人承担责任的情况所造成的损失，并根据第36条和第74条规定向对方当事人提出费用补偿和（或）工期顺延的要求。</w:t>
      </w:r>
    </w:p>
    <w:p w14:paraId="1D85B5EC">
      <w:pPr>
        <w:pStyle w:val="15"/>
        <w:tabs>
          <w:tab w:val="left" w:pos="2160"/>
        </w:tabs>
        <w:spacing w:before="192" w:beforeLines="80" w:line="420" w:lineRule="exact"/>
        <w:ind w:left="1575" w:leftChars="750" w:firstLine="95" w:firstLineChars="43"/>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1.49  现场签证：</w:t>
      </w:r>
      <w:r>
        <w:rPr>
          <w:rFonts w:hint="default" w:ascii="Times New Roman" w:hAnsi="Times New Roman" w:cs="Times New Roman"/>
          <w:color w:val="auto"/>
          <w:sz w:val="22"/>
          <w:szCs w:val="22"/>
          <w:highlight w:val="none"/>
        </w:rPr>
        <w:t>指合同双方当事人按照第14.2款约定的指定人选根据第75条规定就施工过程中涉及的责任事件所作的签认证明。</w:t>
      </w:r>
    </w:p>
    <w:p w14:paraId="13E671AD">
      <w:pPr>
        <w:pStyle w:val="15"/>
        <w:tabs>
          <w:tab w:val="left" w:pos="2160"/>
        </w:tabs>
        <w:spacing w:before="192" w:beforeLines="80" w:line="420" w:lineRule="exact"/>
        <w:ind w:firstLine="1444" w:firstLineChars="656"/>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1.50  不可抗力：</w:t>
      </w:r>
      <w:r>
        <w:rPr>
          <w:rFonts w:hint="default" w:ascii="Times New Roman" w:hAnsi="Times New Roman" w:cs="Times New Roman"/>
          <w:color w:val="auto"/>
          <w:sz w:val="22"/>
          <w:szCs w:val="22"/>
          <w:highlight w:val="none"/>
        </w:rPr>
        <w:t>指不能预见、不能避免并不能克服的客观情况。</w:t>
      </w:r>
    </w:p>
    <w:p w14:paraId="47F6BB21">
      <w:pPr>
        <w:pStyle w:val="15"/>
        <w:tabs>
          <w:tab w:val="left" w:pos="2160"/>
        </w:tabs>
        <w:spacing w:before="192" w:beforeLines="80" w:line="420" w:lineRule="exact"/>
        <w:ind w:left="1576" w:hanging="1"/>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1.51  竣工验收：</w:t>
      </w:r>
      <w:r>
        <w:rPr>
          <w:rFonts w:hint="default" w:ascii="Times New Roman" w:hAnsi="Times New Roman" w:cs="Times New Roman"/>
          <w:color w:val="auto"/>
          <w:sz w:val="22"/>
          <w:szCs w:val="22"/>
          <w:highlight w:val="none"/>
        </w:rPr>
        <w:t>指承包人完成了全部合同工作后，发包人按照合同要求进行的验收。</w:t>
      </w:r>
    </w:p>
    <w:p w14:paraId="3A4B151D">
      <w:pPr>
        <w:pStyle w:val="15"/>
        <w:tabs>
          <w:tab w:val="left" w:pos="2160"/>
        </w:tabs>
        <w:spacing w:before="192" w:beforeLines="80" w:line="420" w:lineRule="exact"/>
        <w:ind w:left="1576" w:hanging="1"/>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1.52  国家验收：</w:t>
      </w:r>
      <w:r>
        <w:rPr>
          <w:rFonts w:hint="default" w:ascii="Times New Roman" w:hAnsi="Times New Roman" w:cs="Times New Roman"/>
          <w:color w:val="auto"/>
          <w:sz w:val="22"/>
          <w:szCs w:val="22"/>
          <w:highlight w:val="none"/>
        </w:rPr>
        <w:t>指政府部门根据法律和政策等有关规定，针对发包人全面组织实施的整个工程正式交付投运前的验收。</w:t>
      </w:r>
    </w:p>
    <w:p w14:paraId="0D33F021">
      <w:pPr>
        <w:pStyle w:val="15"/>
        <w:tabs>
          <w:tab w:val="left" w:pos="2160"/>
        </w:tabs>
        <w:spacing w:before="192" w:beforeLines="80" w:line="420" w:lineRule="exact"/>
        <w:ind w:left="1620" w:leftChars="771" w:hanging="1"/>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1.53  书面形式：</w:t>
      </w:r>
      <w:r>
        <w:rPr>
          <w:rFonts w:hint="default" w:ascii="Times New Roman" w:hAnsi="Times New Roman" w:cs="Times New Roman"/>
          <w:color w:val="auto"/>
          <w:sz w:val="22"/>
          <w:szCs w:val="22"/>
          <w:highlight w:val="none"/>
        </w:rPr>
        <w:t>指合同文件、信函、电报、电传、传真、电子数据交换文件、电子邮件等可以有形地表现所载内容的形式。合同双方当事人可在专用条款中注明所采用的书面形式。</w:t>
      </w:r>
    </w:p>
    <w:p w14:paraId="51831822">
      <w:pPr>
        <w:pStyle w:val="15"/>
        <w:tabs>
          <w:tab w:val="left" w:pos="2160"/>
        </w:tabs>
        <w:spacing w:before="192" w:beforeLines="80" w:line="420" w:lineRule="exact"/>
        <w:ind w:firstLine="1664" w:firstLineChars="756"/>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1.54  国家：</w:t>
      </w:r>
      <w:r>
        <w:rPr>
          <w:rFonts w:hint="default" w:ascii="Times New Roman" w:hAnsi="Times New Roman" w:cs="Times New Roman"/>
          <w:color w:val="auto"/>
          <w:sz w:val="22"/>
          <w:szCs w:val="22"/>
          <w:highlight w:val="none"/>
        </w:rPr>
        <w:t>指中华人民共和国。</w:t>
      </w:r>
    </w:p>
    <w:p w14:paraId="2D3BA29B">
      <w:pPr>
        <w:tabs>
          <w:tab w:val="left" w:pos="1620"/>
        </w:tabs>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u w:val="single"/>
        </w:rPr>
        <w:t xml:space="preserve">                                                                                      </w:t>
      </w:r>
      <w:r>
        <w:rPr>
          <w:rFonts w:hint="default" w:ascii="Times New Roman" w:hAnsi="Times New Roman" w:cs="Times New Roman"/>
          <w:color w:val="auto"/>
          <w:sz w:val="22"/>
          <w:szCs w:val="22"/>
          <w:highlight w:val="none"/>
          <w:u w:val="single"/>
        </w:rPr>
        <w:t xml:space="preserve">                       </w:t>
      </w:r>
    </w:p>
    <w:p w14:paraId="18947340">
      <w:pPr>
        <w:pStyle w:val="5"/>
        <w:numPr>
          <w:ilvl w:val="0"/>
          <w:numId w:val="0"/>
        </w:numPr>
        <w:tabs>
          <w:tab w:val="left" w:pos="360"/>
          <w:tab w:val="left" w:pos="420"/>
          <w:tab w:val="left" w:pos="1287"/>
        </w:tabs>
        <w:spacing w:line="420" w:lineRule="exact"/>
        <w:ind w:left="720" w:hanging="720"/>
        <w:rPr>
          <w:rFonts w:hint="default" w:ascii="Times New Roman" w:hAnsi="Times New Roman" w:cs="Times New Roman"/>
          <w:bCs w:val="0"/>
          <w:color w:val="auto"/>
          <w:sz w:val="22"/>
          <w:szCs w:val="22"/>
          <w:highlight w:val="none"/>
        </w:rPr>
      </w:pPr>
      <w:bookmarkStart w:id="88" w:name="_Toc469383981"/>
      <w:bookmarkStart w:id="89" w:name="_Toc32096"/>
      <w:r>
        <w:rPr>
          <w:rFonts w:hint="default" w:ascii="Times New Roman" w:hAnsi="Times New Roman" w:cs="Times New Roman"/>
          <w:bCs w:val="0"/>
          <w:color w:val="auto"/>
          <w:sz w:val="22"/>
          <w:szCs w:val="22"/>
          <w:highlight w:val="none"/>
        </w:rPr>
        <w:t>2  合同文件及解释</w:t>
      </w:r>
      <w:bookmarkEnd w:id="88"/>
      <w:bookmarkEnd w:id="89"/>
    </w:p>
    <w:p w14:paraId="6A50DDA7">
      <w:pPr>
        <w:pStyle w:val="15"/>
        <w:tabs>
          <w:tab w:val="left" w:pos="1202"/>
        </w:tabs>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2.1                                                                                 </w:t>
      </w:r>
    </w:p>
    <w:p w14:paraId="18DD3EF1">
      <w:pPr>
        <w:pStyle w:val="15"/>
        <w:tabs>
          <w:tab w:val="left" w:pos="1202"/>
          <w:tab w:val="left" w:pos="1620"/>
          <w:tab w:val="left" w:pos="1800"/>
          <w:tab w:val="left" w:pos="2160"/>
        </w:tabs>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660288" behindDoc="0" locked="0" layoutInCell="1" allowOverlap="1">
                <wp:simplePos x="0" y="0"/>
                <wp:positionH relativeFrom="column">
                  <wp:posOffset>-114300</wp:posOffset>
                </wp:positionH>
                <wp:positionV relativeFrom="paragraph">
                  <wp:posOffset>20955</wp:posOffset>
                </wp:positionV>
                <wp:extent cx="800100" cy="297180"/>
                <wp:effectExtent l="0" t="0" r="7620" b="7620"/>
                <wp:wrapNone/>
                <wp:docPr id="2" name="文本框 2"/>
                <wp:cNvGraphicFramePr/>
                <a:graphic xmlns:a="http://schemas.openxmlformats.org/drawingml/2006/main">
                  <a:graphicData uri="http://schemas.microsoft.com/office/word/2010/wordprocessingShape">
                    <wps:wsp>
                      <wps:cNvSpPr txBox="1"/>
                      <wps:spPr>
                        <a:xfrm>
                          <a:off x="0" y="0"/>
                          <a:ext cx="800100" cy="297180"/>
                        </a:xfrm>
                        <a:prstGeom prst="rect">
                          <a:avLst/>
                        </a:prstGeom>
                        <a:solidFill>
                          <a:srgbClr val="FFFFFF"/>
                        </a:solidFill>
                        <a:ln>
                          <a:noFill/>
                        </a:ln>
                        <a:effectLst/>
                      </wps:spPr>
                      <wps:txbx>
                        <w:txbxContent>
                          <w:p w14:paraId="3C1221D4">
                            <w:pPr>
                              <w:rPr>
                                <w:rFonts w:ascii="楷体_GB2312" w:hAnsi="宋体" w:eastAsia="楷体_GB2312" w:cs="Times New Roman"/>
                              </w:rPr>
                            </w:pPr>
                            <w:r>
                              <w:rPr>
                                <w:rFonts w:hint="eastAsia" w:ascii="楷体_GB2312" w:hAnsi="宋体" w:eastAsia="楷体_GB2312" w:cs="楷体_GB2312"/>
                                <w:b/>
                                <w:bCs/>
                                <w:color w:val="000000"/>
                                <w:sz w:val="18"/>
                                <w:szCs w:val="18"/>
                              </w:rPr>
                              <w:t>标题和旁注</w:t>
                            </w:r>
                          </w:p>
                        </w:txbxContent>
                      </wps:txbx>
                      <wps:bodyPr wrap="square" upright="1"/>
                    </wps:wsp>
                  </a:graphicData>
                </a:graphic>
              </wp:anchor>
            </w:drawing>
          </mc:Choice>
          <mc:Fallback>
            <w:pict>
              <v:shape id="_x0000_s1026" o:spid="_x0000_s1026" o:spt="202" type="#_x0000_t202" style="position:absolute;left:0pt;margin-left:-9pt;margin-top:1.65pt;height:23.4pt;width:63pt;z-index:251660288;mso-width-relative:page;mso-height-relative:page;" fillcolor="#FFFFFF" filled="t" stroked="f" coordsize="21600,21600" o:gfxdata="UEsDBAoAAAAAAIdO4kAAAAAAAAAAAAAAAAAEAAAAZHJzL1BLAwQUAAAACACHTuJA5liLa9UAAAAI&#10;AQAADwAAAGRycy9kb3ducmV2LnhtbE2PzU7DMBCE70i8g7VIXFBrh9IfQjaVQAJx7c8DbJJtEhGv&#10;o9ht2rfHOcFxNKOZb7Lt1XbqwoNvnSAkcwOKpXRVKzXC8fA524DygaSizgkj3NjDNr+/yyit3Cg7&#10;vuxDrWKJ+JQQmhD6VGtfNmzJz13PEr2TGyyFKIdaVwONsdx2+tmYlbbUSlxoqOePhsuf/dkinL7H&#10;p+XrWHyF43r3snqndl24G+LjQ2LeQAW+hr8wTPgRHfLIVLizVF51CLNkE78EhMUC1OSbSRcIS5OA&#10;zjP9/0D+C1BLAwQUAAAACACHTuJAop8yrs4BAACSAwAADgAAAGRycy9lMm9Eb2MueG1srVPNjtMw&#10;EL4j8Q6W7zRpDlCqpitBVS4IkBYewHWcxJL/mHGb9AXgDThx4c5z9TkYO9nuslz2QA7JeH6+me/z&#10;ZHMzWsNOClB7V/PlouRMOekb7bqaf/m8f7HiDKNwjTDeqZqfFfKb7fNnmyGsVeV7bxoFjEAcrodQ&#10;8z7GsC4KlL2yAhc+KEfB1oMVkY7QFQ2IgdCtKaqyfFkMHpoAXipE8u6mIJ8R4SmAvm21VDsvj1a5&#10;OKGCMiISJex1QL7N07atkvFj26KKzNScmMb8piZkH9K72G7EugMRei3nEcRTRnjEyQrtqOkVaiei&#10;YEfQ/0BZLcGjb+NCeltMRLIixGJZPtLmthdBZS4kNYar6Pj/YOWH0ydguql5xZkTli788uP75efv&#10;y69vrEryDAHXlHUbKC+Ob/xIS3PnR3Im1mMLNn2JD6M4iXu+iqvGyCQ5VyURpIikUPX61XKVxS/u&#10;iwNgfKe8ZcmoOdDdZUnF6T1GGoRS71JSL/RGN3ttTD5Ad3hrgJ0E3fM+P2lGKvkrzbiU7Hwqm8KT&#10;R+VNmdskwhOxZMXxMM4qHHxzJhEG2paa49ejAMXZMYDuepo3i1KkErqq3Hpeq7QLD89kP/yVtn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5liLa9UAAAAIAQAADwAAAAAAAAABACAAAAAiAAAAZHJz&#10;L2Rvd25yZXYueG1sUEsBAhQAFAAAAAgAh07iQKKfMq7OAQAAkgMAAA4AAAAAAAAAAQAgAAAAJAEA&#10;AGRycy9lMm9Eb2MueG1sUEsFBgAAAAAGAAYAWQEAAGQFAAAAAA==&#10;">
                <v:fill on="t" focussize="0,0"/>
                <v:stroke on="f"/>
                <v:imagedata o:title=""/>
                <o:lock v:ext="edit" aspectratio="f"/>
                <v:textbox>
                  <w:txbxContent>
                    <w:p w14:paraId="3C1221D4">
                      <w:pPr>
                        <w:rPr>
                          <w:rFonts w:ascii="楷体_GB2312" w:hAnsi="宋体" w:eastAsia="楷体_GB2312" w:cs="Times New Roman"/>
                        </w:rPr>
                      </w:pPr>
                      <w:r>
                        <w:rPr>
                          <w:rFonts w:hint="eastAsia" w:ascii="楷体_GB2312" w:hAnsi="宋体" w:eastAsia="楷体_GB2312" w:cs="楷体_GB2312"/>
                          <w:b/>
                          <w:bCs/>
                          <w:color w:val="000000"/>
                          <w:sz w:val="18"/>
                          <w:szCs w:val="18"/>
                        </w:rPr>
                        <w:t>标题和旁注</w:t>
                      </w:r>
                    </w:p>
                  </w:txbxContent>
                </v:textbox>
              </v:shape>
            </w:pict>
          </mc:Fallback>
        </mc:AlternateContent>
      </w:r>
      <w:r>
        <w:rPr>
          <w:rFonts w:hint="default" w:ascii="Times New Roman" w:hAnsi="Times New Roman" w:cs="Times New Roman"/>
          <w:color w:val="auto"/>
          <w:sz w:val="22"/>
          <w:szCs w:val="22"/>
          <w:highlight w:val="none"/>
        </w:rPr>
        <w:t>本合同条款的标题和旁注不构成合同的组成部分。</w:t>
      </w:r>
    </w:p>
    <w:p w14:paraId="51ADD6BC">
      <w:pPr>
        <w:pStyle w:val="15"/>
        <w:tabs>
          <w:tab w:val="left" w:pos="1202"/>
        </w:tabs>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★2.2  </w:t>
      </w:r>
      <w:r>
        <w:rPr>
          <w:rFonts w:hint="default" w:ascii="Times New Roman" w:hAnsi="Times New Roman" w:cs="Times New Roman"/>
          <w:b/>
          <w:bCs/>
          <w:color w:val="auto"/>
          <w:sz w:val="22"/>
          <w:szCs w:val="22"/>
          <w:highlight w:val="none"/>
          <w:u w:val="dotted"/>
        </w:rPr>
        <w:t xml:space="preserve">                                                                             </w:t>
      </w:r>
    </w:p>
    <w:p w14:paraId="0AB83947">
      <w:pPr>
        <w:pStyle w:val="15"/>
        <w:tabs>
          <w:tab w:val="left" w:pos="1320"/>
        </w:tabs>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661312" behindDoc="0" locked="0" layoutInCell="1" allowOverlap="1">
                <wp:simplePos x="0" y="0"/>
                <wp:positionH relativeFrom="column">
                  <wp:posOffset>-114300</wp:posOffset>
                </wp:positionH>
                <wp:positionV relativeFrom="paragraph">
                  <wp:posOffset>67310</wp:posOffset>
                </wp:positionV>
                <wp:extent cx="914400" cy="527050"/>
                <wp:effectExtent l="0" t="0" r="0" b="0"/>
                <wp:wrapNone/>
                <wp:docPr id="4" name="文本框 4"/>
                <wp:cNvGraphicFramePr/>
                <a:graphic xmlns:a="http://schemas.openxmlformats.org/drawingml/2006/main">
                  <a:graphicData uri="http://schemas.microsoft.com/office/word/2010/wordprocessingShape">
                    <wps:wsp>
                      <wps:cNvSpPr txBox="1"/>
                      <wps:spPr>
                        <a:xfrm>
                          <a:off x="0" y="0"/>
                          <a:ext cx="914400" cy="527050"/>
                        </a:xfrm>
                        <a:prstGeom prst="rect">
                          <a:avLst/>
                        </a:prstGeom>
                        <a:noFill/>
                        <a:ln>
                          <a:noFill/>
                        </a:ln>
                        <a:effectLst/>
                      </wps:spPr>
                      <wps:txbx>
                        <w:txbxContent>
                          <w:p w14:paraId="12DED7EF">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合同文件组成及优先顺序</w:t>
                            </w:r>
                          </w:p>
                        </w:txbxContent>
                      </wps:txbx>
                      <wps:bodyPr wrap="square" upright="1"/>
                    </wps:wsp>
                  </a:graphicData>
                </a:graphic>
              </wp:anchor>
            </w:drawing>
          </mc:Choice>
          <mc:Fallback>
            <w:pict>
              <v:shape id="_x0000_s1026" o:spid="_x0000_s1026" o:spt="202" type="#_x0000_t202" style="position:absolute;left:0pt;margin-left:-9pt;margin-top:5.3pt;height:41.5pt;width:72pt;z-index:251661312;mso-width-relative:page;mso-height-relative:page;" filled="f" stroked="f" coordsize="21600,21600" o:gfxdata="UEsDBAoAAAAAAIdO4kAAAAAAAAAAAAAAAAAEAAAAZHJzL1BLAwQUAAAACACHTuJAYhAVO9YAAAAJ&#10;AQAADwAAAGRycy9kb3ducmV2LnhtbE2PzU7DMBCE70i8g7VI3Fo7BaI2ZNMDiCuI8iNxc+NtEhGv&#10;o9htwtuzPcFxZ0az35Tb2ffqRGPsAiNkSwOKuA6u4wbh/e1psQYVk2Vn+8CE8EMRttXlRWkLFyZ+&#10;pdMuNUpKOBYWoU1pKLSOdUvexmUYiMU7hNHbJOfYaDfaScp9r1fG5NrbjuVDawd6aKn+3h09wsfz&#10;4evz1rw0j/5umMJsNPuNRry+ysw9qERz+gvDGV/QoRKmfTiyi6pHWGRr2ZLEMDmoc2CVi7BH2Nzk&#10;oKtS/19Q/QJQSwMEFAAAAAgAh07iQN5QB6u7AQAAaQMAAA4AAABkcnMvZTJvRG9jLnhtbK1TS27b&#10;MBDdF+gdCO5ryYaTNoLlAIWRboq2QJoD0NTQIiB+yqEt+QLpDbrqpvuey+fokFKcNN1k0Q01nM/j&#10;vDej1fVgOnaAgNrZms9nJWdgpWu03dX87uvNm3ecYRS2EZ2zUPMjIL9ev3616n0FC9e6roHACMRi&#10;1fuatzH6qihQtmAEzpwHS0HlghGRrmFXNEH0hG66YlGWl0XvQuODk4BI3s0Y5BNieAmgU0pL2Di5&#10;N2DjiBqgE5EoYas98nXuVimQ8bNSCJF1NSemMZ/0CNnbdBbrlah2QfhWy6kF8ZIWnnEyQlt69Ay1&#10;EVGwfdD/QBktg0On4kw6U4xEsiLEYl4+0+a2FR4yF5Ia/Vl0/H+w8tPhS2C6qfmSMysMDfz04/vp&#10;5+/Tr3u2TPL0HivKuvWUF4f3bqClefAjORPrQQWTvsSHUZzEPZ7FhSEySc6r+XJZUkRS6GLxtrzI&#10;4hePxT5g/ADOsGTUPNDssqTi8BEjNUKpDynpLetudNfl+XX2Lwcljh7ICzBVJx5jv8mKw3aYyG1d&#10;cyRuPS1BzfHbXgTgbO+D3rXURuZapBKaQG5i2pY04qd3sp/+Ies/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YhAVO9YAAAAJAQAADwAAAAAAAAABACAAAAAiAAAAZHJzL2Rvd25yZXYueG1sUEsBAhQA&#10;FAAAAAgAh07iQN5QB6u7AQAAaQMAAA4AAAAAAAAAAQAgAAAAJQEAAGRycy9lMm9Eb2MueG1sUEsF&#10;BgAAAAAGAAYAWQEAAFIFAAAAAA==&#10;">
                <v:fill on="f" focussize="0,0"/>
                <v:stroke on="f"/>
                <v:imagedata o:title=""/>
                <o:lock v:ext="edit" aspectratio="f"/>
                <v:textbox>
                  <w:txbxContent>
                    <w:p w14:paraId="12DED7EF">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合同文件组成及优先顺序</w:t>
                      </w:r>
                    </w:p>
                  </w:txbxContent>
                </v:textbox>
              </v:shape>
            </w:pict>
          </mc:Fallback>
        </mc:AlternateContent>
      </w:r>
      <w:r>
        <w:rPr>
          <w:rFonts w:hint="default" w:ascii="Times New Roman" w:hAnsi="Times New Roman" w:cs="Times New Roman"/>
          <w:color w:val="auto"/>
          <w:sz w:val="22"/>
          <w:szCs w:val="22"/>
          <w:highlight w:val="none"/>
        </w:rPr>
        <w:t>下列组成本合同的文件是一个合同整体，彼此应当能相互解释，互为说明。当出现相互矛盾时，组成本合同文件的优先解释顺序如下：</w:t>
      </w:r>
    </w:p>
    <w:p w14:paraId="051B9EC0">
      <w:pPr>
        <w:pStyle w:val="15"/>
        <w:numPr>
          <w:ilvl w:val="0"/>
          <w:numId w:val="5"/>
        </w:numPr>
        <w:spacing w:line="420" w:lineRule="exact"/>
        <w:ind w:firstLine="540"/>
        <w:jc w:val="lef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履行本合同的相关补充协议（含工程洽商记录、会议纪要、工程变更、现场签</w:t>
      </w:r>
    </w:p>
    <w:p w14:paraId="5845274C">
      <w:pPr>
        <w:pStyle w:val="15"/>
        <w:spacing w:line="420" w:lineRule="exact"/>
        <w:ind w:left="1620"/>
        <w:jc w:val="lef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证</w:t>
      </w:r>
      <w:r>
        <w:rPr>
          <w:rFonts w:hint="default" w:ascii="Times New Roman" w:hAnsi="Times New Roman" w:cs="Times New Roman"/>
          <w:color w:val="auto"/>
          <w:sz w:val="22"/>
          <w:szCs w:val="22"/>
          <w:highlight w:val="none"/>
          <w:lang w:eastAsia="zh-CN"/>
        </w:rPr>
        <w:t>等</w:t>
      </w:r>
      <w:r>
        <w:rPr>
          <w:rFonts w:hint="default" w:ascii="Times New Roman" w:hAnsi="Times New Roman" w:cs="Times New Roman"/>
          <w:color w:val="auto"/>
          <w:sz w:val="22"/>
          <w:szCs w:val="22"/>
          <w:highlight w:val="none"/>
        </w:rPr>
        <w:t>修正文件）；</w:t>
      </w:r>
    </w:p>
    <w:p w14:paraId="1DBFB44A">
      <w:pPr>
        <w:pStyle w:val="15"/>
        <w:numPr>
          <w:ilvl w:val="0"/>
          <w:numId w:val="5"/>
        </w:numPr>
        <w:tabs>
          <w:tab w:val="left" w:pos="1620"/>
        </w:tabs>
        <w:spacing w:line="420" w:lineRule="exact"/>
        <w:ind w:left="1620"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协议书；</w:t>
      </w:r>
    </w:p>
    <w:p w14:paraId="3C90B2CD">
      <w:pPr>
        <w:pStyle w:val="15"/>
        <w:numPr>
          <w:ilvl w:val="0"/>
          <w:numId w:val="5"/>
        </w:numPr>
        <w:spacing w:line="420" w:lineRule="exact"/>
        <w:ind w:firstLine="54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中标通知书（适用于招标工程）；</w:t>
      </w:r>
    </w:p>
    <w:p w14:paraId="65595608">
      <w:pPr>
        <w:pStyle w:val="15"/>
        <w:numPr>
          <w:ilvl w:val="0"/>
          <w:numId w:val="5"/>
        </w:numPr>
        <w:tabs>
          <w:tab w:val="left" w:pos="1620"/>
        </w:tabs>
        <w:spacing w:line="420" w:lineRule="exact"/>
        <w:ind w:left="1620" w:leftChars="771" w:hanging="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承包人投标文件及其附件（含评标期间的澄清文件和补充资料）（适用于招标工程）；确认的工程量清单报价单或施工图预算书（适用于非招标工程）；</w:t>
      </w:r>
    </w:p>
    <w:p w14:paraId="0018B9FF">
      <w:pPr>
        <w:pStyle w:val="15"/>
        <w:numPr>
          <w:ilvl w:val="0"/>
          <w:numId w:val="5"/>
        </w:numPr>
        <w:spacing w:line="420" w:lineRule="exact"/>
        <w:ind w:firstLine="54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专用条款；</w:t>
      </w:r>
    </w:p>
    <w:p w14:paraId="2CE28C68">
      <w:pPr>
        <w:pStyle w:val="15"/>
        <w:numPr>
          <w:ilvl w:val="0"/>
          <w:numId w:val="5"/>
        </w:numPr>
        <w:spacing w:line="420" w:lineRule="exact"/>
        <w:ind w:firstLine="54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通用条款；</w:t>
      </w:r>
    </w:p>
    <w:p w14:paraId="23DF57B4">
      <w:pPr>
        <w:pStyle w:val="15"/>
        <w:numPr>
          <w:ilvl w:val="0"/>
          <w:numId w:val="5"/>
        </w:numPr>
        <w:spacing w:line="420" w:lineRule="exact"/>
        <w:ind w:firstLine="54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标准、规范及有关技术文件；</w:t>
      </w:r>
    </w:p>
    <w:p w14:paraId="48D98DC4">
      <w:pPr>
        <w:pStyle w:val="15"/>
        <w:numPr>
          <w:ilvl w:val="0"/>
          <w:numId w:val="5"/>
        </w:numPr>
        <w:spacing w:line="420" w:lineRule="exact"/>
        <w:ind w:left="1077" w:firstLine="54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施工设计图纸；</w:t>
      </w:r>
    </w:p>
    <w:p w14:paraId="5B094A2D">
      <w:pPr>
        <w:pStyle w:val="15"/>
        <w:numPr>
          <w:ilvl w:val="0"/>
          <w:numId w:val="5"/>
        </w:numPr>
        <w:spacing w:line="420" w:lineRule="exact"/>
        <w:ind w:left="1077" w:firstLine="54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招标文件（包括补充、修改、澄清的文件、招标图纸、答疑纪要、工程量清单</w:t>
      </w:r>
    </w:p>
    <w:p w14:paraId="51F2C487">
      <w:pPr>
        <w:pStyle w:val="15"/>
        <w:spacing w:line="420" w:lineRule="exact"/>
        <w:ind w:left="1617"/>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 xml:space="preserve"> 及总说明等）；</w:t>
      </w:r>
    </w:p>
    <w:p w14:paraId="443E7674">
      <w:pPr>
        <w:pStyle w:val="15"/>
        <w:numPr>
          <w:ilvl w:val="0"/>
          <w:numId w:val="5"/>
        </w:numPr>
        <w:spacing w:line="420" w:lineRule="exact"/>
        <w:ind w:left="1077" w:firstLine="54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专用条款约定的其他文件。</w:t>
      </w:r>
    </w:p>
    <w:p w14:paraId="7B879016">
      <w:pPr>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上述各项合同文件包括合同当事人就该项合同文件所作出的补充和修改，属于同一类</w:t>
      </w:r>
    </w:p>
    <w:p w14:paraId="7D58949B">
      <w:pPr>
        <w:spacing w:line="420" w:lineRule="exact"/>
        <w:ind w:left="1197" w:leftChars="570" w:firstLine="440" w:firstLineChars="2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内容的文件，应以最新签署的为准。</w:t>
      </w:r>
    </w:p>
    <w:p w14:paraId="15451DBD">
      <w:pPr>
        <w:pStyle w:val="15"/>
        <w:tabs>
          <w:tab w:val="left" w:pos="540"/>
          <w:tab w:val="left" w:pos="1202"/>
        </w:tabs>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2.3  </w:t>
      </w:r>
      <w:r>
        <w:rPr>
          <w:rFonts w:hint="default" w:ascii="Times New Roman" w:hAnsi="Times New Roman" w:cs="Times New Roman"/>
          <w:b/>
          <w:bCs/>
          <w:color w:val="auto"/>
          <w:sz w:val="22"/>
          <w:szCs w:val="22"/>
          <w:highlight w:val="none"/>
          <w:u w:val="dotted"/>
        </w:rPr>
        <w:t xml:space="preserve">                                                                                                        </w:t>
      </w:r>
    </w:p>
    <w:p w14:paraId="39883E12">
      <w:pPr>
        <w:pStyle w:val="15"/>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662336" behindDoc="0" locked="0" layoutInCell="1" allowOverlap="1">
                <wp:simplePos x="0" y="0"/>
                <wp:positionH relativeFrom="column">
                  <wp:posOffset>-114300</wp:posOffset>
                </wp:positionH>
                <wp:positionV relativeFrom="paragraph">
                  <wp:posOffset>0</wp:posOffset>
                </wp:positionV>
                <wp:extent cx="914400" cy="792480"/>
                <wp:effectExtent l="0" t="0" r="0" b="0"/>
                <wp:wrapNone/>
                <wp:docPr id="3" name="文本框 3"/>
                <wp:cNvGraphicFramePr/>
                <a:graphic xmlns:a="http://schemas.openxmlformats.org/drawingml/2006/main">
                  <a:graphicData uri="http://schemas.microsoft.com/office/word/2010/wordprocessingShape">
                    <wps:wsp>
                      <wps:cNvSpPr txBox="1"/>
                      <wps:spPr>
                        <a:xfrm>
                          <a:off x="0" y="0"/>
                          <a:ext cx="914400" cy="792480"/>
                        </a:xfrm>
                        <a:prstGeom prst="rect">
                          <a:avLst/>
                        </a:prstGeom>
                        <a:noFill/>
                        <a:ln>
                          <a:noFill/>
                        </a:ln>
                        <a:effectLst/>
                      </wps:spPr>
                      <wps:txbx>
                        <w:txbxContent>
                          <w:p w14:paraId="224CBA66">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监理或造价工程师作出解释</w:t>
                            </w:r>
                          </w:p>
                        </w:txbxContent>
                      </wps:txbx>
                      <wps:bodyPr wrap="square" upright="1"/>
                    </wps:wsp>
                  </a:graphicData>
                </a:graphic>
              </wp:anchor>
            </w:drawing>
          </mc:Choice>
          <mc:Fallback>
            <w:pict>
              <v:shape id="_x0000_s1026" o:spid="_x0000_s1026" o:spt="202" type="#_x0000_t202" style="position:absolute;left:0pt;margin-left:-9pt;margin-top:0pt;height:62.4pt;width:72pt;z-index:251662336;mso-width-relative:page;mso-height-relative:page;" filled="f" stroked="f" coordsize="21600,21600" o:gfxdata="UEsDBAoAAAAAAIdO4kAAAAAAAAAAAAAAAAAEAAAAZHJzL1BLAwQUAAAACACHTuJAKk2VHNUAAAAI&#10;AQAADwAAAGRycy9kb3ducmV2LnhtbE2PQW/CMAyF75P2HyJP2g2SIoa60pQDaNdNY4C0W2hMW9E4&#10;VRNo9+/nnraL9axnPX8v34yuFXfsQ+NJQzJXIJBKbxuqNBy+3mYpiBANWdN6Qg0/GGBTPD7kJrN+&#10;oE+872MlOIRCZjTUMXaZlKGs0Zkw9x0SexffOxN57StpezNwuGvlQqmVdKYh/lCbDrc1ltf9zWk4&#10;vl++T0v1Ue3cSzf4UUlyr1Lr56dErUFEHOPfMUz4jA4FM539jWwQrYZZknKXqIHnZC9WLM6TWKYg&#10;i1z+L1D8AlBLAwQUAAAACACHTuJA3xsDYrwBAABpAwAADgAAAGRycy9lMm9Eb2MueG1srVNLbtsw&#10;EN0X6B0I7mvKjtEmguUAhZFuirZAmgPQ1MgiIH7KoS35Au0Nuuqm+57L5+iQUtw02WSRDTWcz+O8&#10;N6PV9WA6doCA2tmKz2cFZ2CVq7XdVfzu682bS84wSlvLzlmo+BGQX69fv1r1voSFa11XQ2AEYrHs&#10;fcXbGH0pBKoWjMSZ82Ap2LhgZKRr2Ik6yJ7QTScWRfFW9C7UPjgFiOTdjEE+IYbnALqm0Qo2Tu0N&#10;2DiiBuhkJErYao98nbttGlDxc9MgRNZVnJjGfNIjZG/TKdYrWe6C9K1WUwvyOS084mSktvToGWoj&#10;o2T7oJ9AGa2CQ9fEmXJGjESyIsRiXjzS5raVHjIXkhr9WXR8OVj16fAlMF1X/IIzKw0N/PTzx+nX&#10;n9Pv7+wiydN7LCnr1lNeHN67gZbm3o/kTKyHJpj0JT6M4iTu8SwuDJEpcl7Nl8uCIopC764Wy8ss&#10;vvhX7APGD+AMS0bFA80uSyoPHzFSI5R6n5Lesu5Gd12eX2f/c1Di6IG8AFN14jH2m6w4bIeJ3NbV&#10;R+LW0xJUHL/tZQDO9j7oXUttZK4ildAEchPTtqQRP7yT/fAPWf8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Kk2VHNUAAAAIAQAADwAAAAAAAAABACAAAAAiAAAAZHJzL2Rvd25yZXYueG1sUEsBAhQA&#10;FAAAAAgAh07iQN8bA2K8AQAAaQMAAA4AAAAAAAAAAQAgAAAAJAEAAGRycy9lMm9Eb2MueG1sUEsF&#10;BgAAAAAGAAYAWQEAAFIFAAAAAA==&#10;">
                <v:fill on="f" focussize="0,0"/>
                <v:stroke on="f"/>
                <v:imagedata o:title=""/>
                <o:lock v:ext="edit" aspectratio="f"/>
                <v:textbox>
                  <w:txbxContent>
                    <w:p w14:paraId="224CBA66">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监理或造价工程师作出解释</w:t>
                      </w:r>
                    </w:p>
                  </w:txbxContent>
                </v:textbox>
              </v:shape>
            </w:pict>
          </mc:Fallback>
        </mc:AlternateContent>
      </w:r>
      <w:r>
        <w:rPr>
          <w:rFonts w:hint="default" w:ascii="Times New Roman" w:hAnsi="Times New Roman" w:cs="Times New Roman"/>
          <w:color w:val="auto"/>
          <w:sz w:val="22"/>
          <w:szCs w:val="22"/>
          <w:highlight w:val="none"/>
        </w:rPr>
        <w:t>当合同文件内容出现含糊不清或不一致时，由合同双方当事人在不影响合同工程正常实施的情况下协商解决。协商不成的，由监理工程师、造价工程师分别按照第23.2款、第24.2款规定职权作出解释。如合同任何一方当事人不同意监理工程师或造价工程师作出的解释，按照第86条规定处理。</w:t>
      </w:r>
    </w:p>
    <w:p w14:paraId="6CB5DEC2">
      <w:pPr>
        <w:spacing w:line="420" w:lineRule="exact"/>
        <w:jc w:val="left"/>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3A16E0A3">
      <w:pPr>
        <w:pStyle w:val="5"/>
        <w:numPr>
          <w:ilvl w:val="0"/>
          <w:numId w:val="0"/>
        </w:numPr>
        <w:tabs>
          <w:tab w:val="left" w:pos="360"/>
          <w:tab w:val="left" w:pos="420"/>
          <w:tab w:val="left" w:pos="1287"/>
        </w:tabs>
        <w:spacing w:line="420" w:lineRule="exact"/>
        <w:rPr>
          <w:rFonts w:hint="default" w:ascii="Times New Roman" w:hAnsi="Times New Roman" w:cs="Times New Roman"/>
          <w:bCs w:val="0"/>
          <w:color w:val="auto"/>
          <w:sz w:val="22"/>
          <w:szCs w:val="22"/>
          <w:highlight w:val="none"/>
        </w:rPr>
      </w:pPr>
      <w:bookmarkStart w:id="90" w:name="_Toc32068"/>
      <w:bookmarkStart w:id="91" w:name="_Toc469383982"/>
      <w:r>
        <w:rPr>
          <w:rFonts w:hint="default" w:ascii="Times New Roman" w:hAnsi="Times New Roman" w:cs="Times New Roman"/>
          <w:bCs w:val="0"/>
          <w:color w:val="auto"/>
          <w:sz w:val="22"/>
          <w:szCs w:val="22"/>
          <w:highlight w:val="none"/>
        </w:rPr>
        <w:t>3  阅读、理解与接受</w:t>
      </w:r>
      <w:bookmarkEnd w:id="90"/>
      <w:bookmarkEnd w:id="91"/>
    </w:p>
    <w:p w14:paraId="786DB29B">
      <w:pPr>
        <w:tabs>
          <w:tab w:val="left" w:pos="1260"/>
        </w:tabs>
        <w:spacing w:before="240" w:beforeLines="100"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3.1 </w:t>
      </w:r>
    </w:p>
    <w:p w14:paraId="2E18605D">
      <w:pPr>
        <w:pStyle w:val="15"/>
        <w:tabs>
          <w:tab w:val="left" w:pos="540"/>
          <w:tab w:val="left" w:pos="1202"/>
        </w:tabs>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663360" behindDoc="0" locked="0" layoutInCell="1" allowOverlap="1">
                <wp:simplePos x="0" y="0"/>
                <wp:positionH relativeFrom="column">
                  <wp:posOffset>-114300</wp:posOffset>
                </wp:positionH>
                <wp:positionV relativeFrom="paragraph">
                  <wp:posOffset>0</wp:posOffset>
                </wp:positionV>
                <wp:extent cx="914400" cy="792480"/>
                <wp:effectExtent l="0" t="0" r="0" b="0"/>
                <wp:wrapNone/>
                <wp:docPr id="7" name="文本框 7"/>
                <wp:cNvGraphicFramePr/>
                <a:graphic xmlns:a="http://schemas.openxmlformats.org/drawingml/2006/main">
                  <a:graphicData uri="http://schemas.microsoft.com/office/word/2010/wordprocessingShape">
                    <wps:wsp>
                      <wps:cNvSpPr txBox="1"/>
                      <wps:spPr>
                        <a:xfrm>
                          <a:off x="0" y="0"/>
                          <a:ext cx="914400" cy="792480"/>
                        </a:xfrm>
                        <a:prstGeom prst="rect">
                          <a:avLst/>
                        </a:prstGeom>
                        <a:noFill/>
                        <a:ln>
                          <a:noFill/>
                        </a:ln>
                        <a:effectLst/>
                      </wps:spPr>
                      <wps:txbx>
                        <w:txbxContent>
                          <w:p w14:paraId="7FC360FE">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阅读、理解与接受</w:t>
                            </w:r>
                          </w:p>
                        </w:txbxContent>
                      </wps:txbx>
                      <wps:bodyPr wrap="square" upright="1"/>
                    </wps:wsp>
                  </a:graphicData>
                </a:graphic>
              </wp:anchor>
            </w:drawing>
          </mc:Choice>
          <mc:Fallback>
            <w:pict>
              <v:shape id="_x0000_s1026" o:spid="_x0000_s1026" o:spt="202" type="#_x0000_t202" style="position:absolute;left:0pt;margin-left:-9pt;margin-top:0pt;height:62.4pt;width:72pt;z-index:251663360;mso-width-relative:page;mso-height-relative:page;" filled="f" stroked="f" coordsize="21600,21600" o:gfxdata="UEsDBAoAAAAAAIdO4kAAAAAAAAAAAAAAAAAEAAAAZHJzL1BLAwQUAAAACACHTuJAKk2VHNUAAAAI&#10;AQAADwAAAGRycy9kb3ducmV2LnhtbE2PQW/CMAyF75P2HyJP2g2SIoa60pQDaNdNY4C0W2hMW9E4&#10;VRNo9+/nnraL9axnPX8v34yuFXfsQ+NJQzJXIJBKbxuqNBy+3mYpiBANWdN6Qg0/GGBTPD7kJrN+&#10;oE+872MlOIRCZjTUMXaZlKGs0Zkw9x0SexffOxN57StpezNwuGvlQqmVdKYh/lCbDrc1ltf9zWk4&#10;vl++T0v1Ue3cSzf4UUlyr1Lr56dErUFEHOPfMUz4jA4FM539jWwQrYZZknKXqIHnZC9WLM6TWKYg&#10;i1z+L1D8AlBLAwQUAAAACACHTuJAGKRmIbsBAABpAwAADgAAAGRycy9lMm9Eb2MueG1srVNLbtsw&#10;EN0X6B0I7mvJhlEnguUAgZFuirZA2gPQ1MgiwF84tCVfoL1BV91033P5HB1Sipummyy6oYbzeZz3&#10;ZrS+GYxmRwionK35fFZyBla6Rtl9zb98vntzxRlGYRuhnYWanwD5zeb1q3XvK1i4zukGAiMQi1Xv&#10;a97F6KuiQNmBEThzHiwFWxeMiHQN+6IJoid0o4tFWb4tehcaH5wERPJuxyCfEMNLAF3bKglbJw8G&#10;bBxRA2gRiRJ2yiPf5G7bFmT82LYIkemaE9OYT3qE7F06i81aVPsgfKfk1IJ4SQvPOBmhLD16gdqK&#10;KNghqH+gjJLBoWvjTDpTjESyIsRiXj7T5r4THjIXkhr9RXT8f7Dyw/FTYKqp+YozKwwN/Pz92/nH&#10;r/PPr2yV5Ok9VpR17ykvDrduoKV59CM5E+uhDSZ9iQ+jOIl7uogLQ2SSnNfz5bKkiKTQ6nqxvMri&#10;F3+KfcD4Dpxhyah5oNllScXxPUZqhFIfU9Jb1t0prfP8tP3LQYmjB/ICTNWJx9hvsuKwGyZyO9ec&#10;iFtPS1BzfDiIAJwdfFD7jtrIXItUQhPITUzbkkb89E720z9k8x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qTZUc1QAAAAgBAAAPAAAAAAAAAAEAIAAAACIAAABkcnMvZG93bnJldi54bWxQSwECFAAU&#10;AAAACACHTuJAGKRmIbsBAABpAwAADgAAAAAAAAABACAAAAAkAQAAZHJzL2Uyb0RvYy54bWxQSwUG&#10;AAAAAAYABgBZAQAAUQUAAAAA&#10;">
                <v:fill on="f" focussize="0,0"/>
                <v:stroke on="f"/>
                <v:imagedata o:title=""/>
                <o:lock v:ext="edit" aspectratio="f"/>
                <v:textbox>
                  <w:txbxContent>
                    <w:p w14:paraId="7FC360FE">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阅读、理解与接受</w:t>
                      </w:r>
                    </w:p>
                  </w:txbxContent>
                </v:textbox>
              </v:shape>
            </w:pict>
          </mc:Fallback>
        </mc:AlternateContent>
      </w:r>
      <w:r>
        <w:rPr>
          <w:rFonts w:hint="default" w:ascii="Times New Roman" w:hAnsi="Times New Roman" w:cs="Times New Roman"/>
          <w:color w:val="auto"/>
          <w:sz w:val="22"/>
          <w:szCs w:val="22"/>
          <w:highlight w:val="none"/>
        </w:rPr>
        <w:t>合同双方当事人应认真阅读和理解本合同的全部内容。除合同双方当事人同意修改外，本合同一旦订立，视为合同双方当事人已全面接受本合同的所有条款。</w:t>
      </w:r>
    </w:p>
    <w:p w14:paraId="04D98B1D">
      <w:pPr>
        <w:pStyle w:val="15"/>
        <w:tabs>
          <w:tab w:val="left" w:pos="2160"/>
        </w:tabs>
        <w:spacing w:before="192" w:beforeLines="80" w:line="420" w:lineRule="exact"/>
        <w:ind w:left="1485" w:hanging="1485" w:hangingChars="675"/>
        <w:rPr>
          <w:rFonts w:hint="default" w:ascii="Times New Roman" w:hAnsi="Times New Roman" w:cs="Times New Roman"/>
          <w:b/>
          <w:bCs/>
          <w:color w:val="auto"/>
          <w:sz w:val="22"/>
          <w:szCs w:val="22"/>
          <w:highlight w:val="none"/>
          <w:u w:val="dotted"/>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664384" behindDoc="0" locked="0" layoutInCell="1" allowOverlap="1">
                <wp:simplePos x="0" y="0"/>
                <wp:positionH relativeFrom="column">
                  <wp:posOffset>-114300</wp:posOffset>
                </wp:positionH>
                <wp:positionV relativeFrom="paragraph">
                  <wp:posOffset>396240</wp:posOffset>
                </wp:positionV>
                <wp:extent cx="952500" cy="792480"/>
                <wp:effectExtent l="0" t="0" r="0" b="0"/>
                <wp:wrapNone/>
                <wp:docPr id="5" name="文本框 5"/>
                <wp:cNvGraphicFramePr/>
                <a:graphic xmlns:a="http://schemas.openxmlformats.org/drawingml/2006/main">
                  <a:graphicData uri="http://schemas.microsoft.com/office/word/2010/wordprocessingShape">
                    <wps:wsp>
                      <wps:cNvSpPr txBox="1"/>
                      <wps:spPr>
                        <a:xfrm>
                          <a:off x="0" y="0"/>
                          <a:ext cx="952500" cy="792480"/>
                        </a:xfrm>
                        <a:prstGeom prst="rect">
                          <a:avLst/>
                        </a:prstGeom>
                        <a:noFill/>
                        <a:ln>
                          <a:noFill/>
                        </a:ln>
                        <a:effectLst/>
                      </wps:spPr>
                      <wps:txbx>
                        <w:txbxContent>
                          <w:p w14:paraId="15361477">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修改合同条款的限制</w:t>
                            </w:r>
                          </w:p>
                        </w:txbxContent>
                      </wps:txbx>
                      <wps:bodyPr wrap="square" upright="1"/>
                    </wps:wsp>
                  </a:graphicData>
                </a:graphic>
              </wp:anchor>
            </w:drawing>
          </mc:Choice>
          <mc:Fallback>
            <w:pict>
              <v:shape id="_x0000_s1026" o:spid="_x0000_s1026" o:spt="202" type="#_x0000_t202" style="position:absolute;left:0pt;margin-left:-9pt;margin-top:31.2pt;height:62.4pt;width:75pt;z-index:251664384;mso-width-relative:page;mso-height-relative:page;" filled="f" stroked="f" coordsize="21600,21600" o:gfxdata="UEsDBAoAAAAAAIdO4kAAAAAAAAAAAAAAAAAEAAAAZHJzL1BLAwQUAAAACACHTuJA+ReVDtgAAAAK&#10;AQAADwAAAGRycy9kb3ducmV2LnhtbE2PzU7DMBCE70h9B2uRuLV2QikhxOmhiCuo5Ufi5sbbJCJe&#10;R7HbhLdne2pvuzuj2W+K9eQ6ccIhtJ40JAsFAqnytqVaw+fH6zwDEaIhazpPqOEPA6zL2U1hcutH&#10;2uJpF2vBIRRyo6GJsc+lDFWDzoSF75FYO/jBmcjrUEs7mJHDXSdTpVbSmZb4Q2N63DRY/e6OTsPX&#10;2+Hne6ne6xf30I9+UpLck9T67jZRzyAiTvFihjM+o0PJTHt/JBtEp2GeZNwlalilSxBnw33Khz0P&#10;2WMKsizkdYXyH1BLAwQUAAAACACHTuJAy+gC6bwBAABpAwAADgAAAGRycy9lMm9Eb2MueG1srVNL&#10;btswEN0XyB0I7mMpRt0mguUAgZFsgrZA2gPQ1NAiIH7KoS35Au0Nuuqm+57L5+iQUtw03WSRDTWc&#10;z+O8N6Pl9WA6toeA2tmaX8xKzsBK12i7rfmXz7fnl5xhFLYRnbNQ8wMgv16dvVn2voK5a13XQGAE&#10;YrHqfc3bGH1VFChbMAJnzoOloHLBiEjXsC2aIHpCN10xL8t3Re9C44OTgEje9RjkE2J4CaBTSktY&#10;O7kzYOOIGqATkShhqz3yVe5WKZDxo1IIkXU1J6Yxn/QI2Zt0FqulqLZB+FbLqQXxkhaecTJCW3r0&#10;BLUWUbBd0P9BGS2DQ6fiTDpTjESyIsTionymzUMrPGQuJDX6k+j4erDyw/5TYLqp+YIzKwwN/Pjj&#10;+/Hn7+Ovb2yR5Ok9VpT14CkvDjduoKV59CM5E+tBBZO+xIdRnMQ9nMSFITJJzqvFfFFSRFLo/dX8&#10;7WUWv/hb7APGO3CGJaPmgWaXJRX7e4zUCKU+pqS3rLvVXZfn19l/HJQ4eiAvwFSdeIz9JisOm2Ei&#10;t3HNgbj1tAQ1x687EYCznQ9621IbmWuRSmgCuYlpW9KIn97JfvqHrP4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ReVDtgAAAAKAQAADwAAAAAAAAABACAAAAAiAAAAZHJzL2Rvd25yZXYueG1sUEsB&#10;AhQAFAAAAAgAh07iQMvoAum8AQAAaQMAAA4AAAAAAAAAAQAgAAAAJwEAAGRycy9lMm9Eb2MueG1s&#10;UEsFBgAAAAAGAAYAWQEAAFUFAAAAAA==&#10;">
                <v:fill on="f" focussize="0,0"/>
                <v:stroke on="f"/>
                <v:imagedata o:title=""/>
                <o:lock v:ext="edit" aspectratio="f"/>
                <v:textbox>
                  <w:txbxContent>
                    <w:p w14:paraId="15361477">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修改合同条款的限制</w:t>
                      </w:r>
                    </w:p>
                  </w:txbxContent>
                </v:textbox>
              </v:shape>
            </w:pict>
          </mc:Fallback>
        </mc:AlternateContent>
      </w:r>
      <w:r>
        <w:rPr>
          <w:rFonts w:hint="default" w:ascii="Times New Roman" w:hAnsi="Times New Roman" w:cs="Times New Roman"/>
          <w:b/>
          <w:bCs/>
          <w:color w:val="auto"/>
          <w:sz w:val="22"/>
          <w:szCs w:val="22"/>
          <w:highlight w:val="none"/>
        </w:rPr>
        <w:t xml:space="preserve">3.2  </w:t>
      </w:r>
      <w:r>
        <w:rPr>
          <w:rFonts w:hint="default" w:ascii="Times New Roman" w:hAnsi="Times New Roman" w:cs="Times New Roman"/>
          <w:b/>
          <w:bCs/>
          <w:color w:val="auto"/>
          <w:sz w:val="22"/>
          <w:szCs w:val="22"/>
          <w:highlight w:val="none"/>
          <w:u w:val="dotted"/>
        </w:rPr>
        <w:t xml:space="preserve">                                                                               </w:t>
      </w:r>
    </w:p>
    <w:p w14:paraId="5155C1C6">
      <w:pPr>
        <w:pStyle w:val="15"/>
        <w:tabs>
          <w:tab w:val="left" w:pos="2160"/>
        </w:tabs>
        <w:spacing w:before="192" w:beforeLines="80"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合同一方当事人违背本合同的承诺，要求另一方当事人接受其对拟订立或正在履行的本合同条款修改后存在不公平的条款，另一方当事人不接受的，应及时提出修正意见。经再次催告修正无效的情况下，不利一方当事人有权拒绝订立或单方解除本合同；给对方当事人造成损失的，责任方应予赔偿。</w:t>
      </w:r>
    </w:p>
    <w:p w14:paraId="4AC6418B">
      <w:pPr>
        <w:pStyle w:val="15"/>
        <w:adjustRightInd w:val="0"/>
        <w:snapToGrid w:val="0"/>
        <w:spacing w:line="420" w:lineRule="exact"/>
        <w:ind w:right="-238"/>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28E73A7D">
      <w:pPr>
        <w:pStyle w:val="5"/>
        <w:numPr>
          <w:ilvl w:val="0"/>
          <w:numId w:val="0"/>
        </w:numPr>
        <w:tabs>
          <w:tab w:val="left" w:pos="360"/>
          <w:tab w:val="left" w:pos="420"/>
          <w:tab w:val="left" w:pos="1287"/>
        </w:tabs>
        <w:spacing w:line="420" w:lineRule="exact"/>
        <w:rPr>
          <w:rFonts w:hint="default" w:ascii="Times New Roman" w:hAnsi="Times New Roman" w:cs="Times New Roman"/>
          <w:bCs w:val="0"/>
          <w:color w:val="auto"/>
          <w:sz w:val="22"/>
          <w:szCs w:val="22"/>
          <w:highlight w:val="none"/>
        </w:rPr>
      </w:pPr>
      <w:bookmarkStart w:id="92" w:name="_Toc27522"/>
      <w:bookmarkStart w:id="93" w:name="_Toc469383983"/>
      <w:r>
        <w:rPr>
          <w:rFonts w:hint="default" w:ascii="Times New Roman" w:hAnsi="Times New Roman" w:cs="Times New Roman"/>
          <w:bCs w:val="0"/>
          <w:color w:val="auto"/>
          <w:sz w:val="22"/>
          <w:szCs w:val="22"/>
          <w:highlight w:val="none"/>
        </w:rPr>
        <w:t>4  语言及适用的法律、标准与规范</w:t>
      </w:r>
      <w:bookmarkEnd w:id="92"/>
      <w:bookmarkEnd w:id="93"/>
    </w:p>
    <w:p w14:paraId="6E939B87">
      <w:pPr>
        <w:tabs>
          <w:tab w:val="left" w:pos="1320"/>
        </w:tabs>
        <w:spacing w:line="420" w:lineRule="exact"/>
        <w:ind w:right="-15" w:rightChars="-7"/>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18"/>
          <w:szCs w:val="18"/>
          <w:highlight w:val="none"/>
        </w:rPr>
        <mc:AlternateContent>
          <mc:Choice Requires="wps">
            <w:drawing>
              <wp:anchor distT="0" distB="0" distL="114300" distR="114300" simplePos="0" relativeHeight="252084224" behindDoc="0" locked="0" layoutInCell="1" allowOverlap="1">
                <wp:simplePos x="0" y="0"/>
                <wp:positionH relativeFrom="column">
                  <wp:posOffset>-104140</wp:posOffset>
                </wp:positionH>
                <wp:positionV relativeFrom="paragraph">
                  <wp:posOffset>243840</wp:posOffset>
                </wp:positionV>
                <wp:extent cx="1028700" cy="4572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028700" cy="457200"/>
                        </a:xfrm>
                        <a:prstGeom prst="rect">
                          <a:avLst/>
                        </a:prstGeom>
                        <a:noFill/>
                        <a:ln>
                          <a:noFill/>
                        </a:ln>
                        <a:effectLst/>
                      </wps:spPr>
                      <wps:txbx>
                        <w:txbxContent>
                          <w:p w14:paraId="284ADFCA">
                            <w:pPr>
                              <w:rPr>
                                <w:rFonts w:ascii="楷体_GB2312" w:eastAsia="楷体_GB2312" w:cs="Times New Roman"/>
                                <w:sz w:val="18"/>
                                <w:szCs w:val="18"/>
                              </w:rPr>
                            </w:pPr>
                            <w:r>
                              <w:rPr>
                                <w:rFonts w:hint="eastAsia" w:ascii="宋体" w:hAnsi="宋体" w:cs="宋体"/>
                                <w:b/>
                                <w:bCs/>
                                <w:color w:val="000000"/>
                                <w:sz w:val="18"/>
                                <w:szCs w:val="18"/>
                              </w:rPr>
                              <w:t>语言</w:t>
                            </w:r>
                            <w:r>
                              <w:rPr>
                                <w:rFonts w:hint="eastAsia" w:ascii="___WRD_EMBED_SUB_45" w:hAnsi="___WRD_EMBED_SUB_45" w:eastAsia="___WRD_EMBED_SUB_45" w:cs="___WRD_EMBED_SUB_45"/>
                                <w:b/>
                                <w:bCs/>
                                <w:color w:val="000000"/>
                                <w:sz w:val="18"/>
                                <w:szCs w:val="18"/>
                              </w:rPr>
                              <w:t>文</w:t>
                            </w:r>
                            <w:r>
                              <w:rPr>
                                <w:rFonts w:hint="eastAsia" w:ascii="宋体" w:hAnsi="宋体" w:cs="宋体"/>
                                <w:b/>
                                <w:bCs/>
                                <w:color w:val="000000"/>
                                <w:sz w:val="18"/>
                                <w:szCs w:val="18"/>
                              </w:rPr>
                              <w:t>字</w:t>
                            </w:r>
                          </w:p>
                        </w:txbxContent>
                      </wps:txbx>
                      <wps:bodyPr wrap="square" upright="1"/>
                    </wps:wsp>
                  </a:graphicData>
                </a:graphic>
              </wp:anchor>
            </w:drawing>
          </mc:Choice>
          <mc:Fallback>
            <w:pict>
              <v:shape id="_x0000_s1026" o:spid="_x0000_s1026" o:spt="202" type="#_x0000_t202" style="position:absolute;left:0pt;margin-left:-8.2pt;margin-top:19.2pt;height:36pt;width:81pt;z-index:252084224;mso-width-relative:page;mso-height-relative:page;" filled="f" stroked="f" coordsize="21600,21600" o:gfxdata="UEsDBAoAAAAAAIdO4kAAAAAAAAAAAAAAAAAEAAAAZHJzL1BLAwQUAAAACACHTuJAx56hItcAAAAK&#10;AQAADwAAAGRycy9kb3ducmV2LnhtbE2PwU7DMAyG70h7h8iTuG1Joau20nQHEFcQg03aLWu8tqJx&#10;qiZby9vjneBkW/70+3OxnVwnrjiE1pOGZKlAIFXetlRr+Pp8XaxBhGjIms4TavjBANtydleY3PqR&#10;PvC6i7XgEAq50dDE2OdShqpBZ8LS90i8O/vBmcjjUEs7mJHDXScflMqkMy3xhcb0+Nxg9b27OA37&#10;t/PxkKr3+sWt+tFPSpLbSK3v54l6AhFxin8w3PRZHUp2OvkL2SA6DYskSxnV8LjmegPSVQbixE2i&#10;UpBlIf+/UP4CUEsDBBQAAAAIAIdO4kC8Ov2huAEAAGoDAAAOAAAAZHJzL2Uyb0RvYy54bWytU82O&#10;0zAQviPxDpbvNNkK2CpquhKqlgsCpIUHcJ1xY8l/eNwmfQF4A05cuPNcfQ7GTrYsy2UPXJzx/Hye&#10;75vJ+ma0hh0hovau5VeLmjNw0nfa7Vv++dPtixVnmITrhPEOWn4C5Deb58/WQ2hg6XtvOoiMQBw2&#10;Q2h5n1JoqgplD1bgwgdwFFQ+WpHoGvdVF8VA6NZUy7p+XQ0+diF6CYjk3U5BPiPGpwB6pbSErZcH&#10;Cy5NqBGMSEQJex2Qb0q3SoFMH5RCSMy0nJimctIjZO/yWW3WotlHEXot5xbEU1p4xMkK7ejRC9RW&#10;JMEOUf8DZbWMHr1KC+ltNREpihCLq/qRNne9CFC4kNQYLqLj/4OV748fI9Ndy2nsTlga+Pn7t/OP&#10;X+efX9kqyzMEbCjrLlBeGt/4kZbm3o/kzKxHFW3+Eh9GcRL3dBEXxsRkLqqXq+uaQpJiL19d0y5k&#10;mOpPdYiY3oK3LBstjzS8oqk4vsM0pd6n5Mecv9XGlAEa95eDMCcPlA2YqzORqeFspXE3zux2vjsR&#10;uYG2oOX45SAicHYIUe97aqOQrXIJjaD0O69LnvHDO9kPf5HN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MeeoSLXAAAACgEAAA8AAAAAAAAAAQAgAAAAIgAAAGRycy9kb3ducmV2LnhtbFBLAQIUABQA&#10;AAAIAIdO4kC8Ov2huAEAAGoDAAAOAAAAAAAAAAEAIAAAACYBAABkcnMvZTJvRG9jLnhtbFBLBQYA&#10;AAAABgAGAFkBAABQBQAAAAA=&#10;">
                <v:fill on="f" focussize="0,0"/>
                <v:stroke on="f"/>
                <v:imagedata o:title=""/>
                <o:lock v:ext="edit" aspectratio="f"/>
                <v:textbox>
                  <w:txbxContent>
                    <w:p w14:paraId="284ADFCA">
                      <w:pPr>
                        <w:rPr>
                          <w:rFonts w:ascii="楷体_GB2312" w:eastAsia="楷体_GB2312" w:cs="Times New Roman"/>
                          <w:sz w:val="18"/>
                          <w:szCs w:val="18"/>
                        </w:rPr>
                      </w:pPr>
                      <w:r>
                        <w:rPr>
                          <w:rFonts w:hint="eastAsia" w:ascii="宋体" w:hAnsi="宋体" w:cs="宋体"/>
                          <w:b/>
                          <w:bCs/>
                          <w:color w:val="000000"/>
                          <w:sz w:val="18"/>
                          <w:szCs w:val="18"/>
                        </w:rPr>
                        <w:t>语言</w:t>
                      </w:r>
                      <w:r>
                        <w:rPr>
                          <w:rFonts w:hint="eastAsia" w:ascii="___WRD_EMBED_SUB_45" w:hAnsi="___WRD_EMBED_SUB_45" w:eastAsia="___WRD_EMBED_SUB_45" w:cs="___WRD_EMBED_SUB_45"/>
                          <w:b/>
                          <w:bCs/>
                          <w:color w:val="000000"/>
                          <w:sz w:val="18"/>
                          <w:szCs w:val="18"/>
                        </w:rPr>
                        <w:t>文</w:t>
                      </w:r>
                      <w:r>
                        <w:rPr>
                          <w:rFonts w:hint="eastAsia" w:ascii="宋体" w:hAnsi="宋体" w:cs="宋体"/>
                          <w:b/>
                          <w:bCs/>
                          <w:color w:val="000000"/>
                          <w:sz w:val="18"/>
                          <w:szCs w:val="18"/>
                        </w:rPr>
                        <w:t>字</w:t>
                      </w:r>
                    </w:p>
                  </w:txbxContent>
                </v:textbox>
              </v:shape>
            </w:pict>
          </mc:Fallback>
        </mc:AlternateContent>
      </w:r>
      <w:r>
        <w:rPr>
          <w:rFonts w:hint="default" w:ascii="Times New Roman" w:hAnsi="Times New Roman" w:cs="Times New Roman"/>
          <w:b/>
          <w:bCs/>
          <w:color w:val="auto"/>
          <w:sz w:val="22"/>
          <w:szCs w:val="22"/>
          <w:highlight w:val="none"/>
        </w:rPr>
        <w:t xml:space="preserve">4.1                         </w:t>
      </w:r>
    </w:p>
    <w:p w14:paraId="75C2FD3E">
      <w:pPr>
        <w:tabs>
          <w:tab w:val="left" w:pos="1620"/>
        </w:tabs>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本合同所使用的语言文字为中文（汉语）。</w:t>
      </w:r>
    </w:p>
    <w:p w14:paraId="48646E21">
      <w:pPr>
        <w:tabs>
          <w:tab w:val="left" w:pos="1620"/>
        </w:tabs>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对于必须使用外文表达的专用术语等，应附有中文注释。合同当事人在合同中使用两种以上语言时，汉语为优先解释和说明合同的语言。</w:t>
      </w:r>
    </w:p>
    <w:p w14:paraId="419F60FE">
      <w:pPr>
        <w:tabs>
          <w:tab w:val="left" w:pos="1320"/>
        </w:tabs>
        <w:spacing w:line="420" w:lineRule="exact"/>
        <w:ind w:right="-7"/>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4.2  </w:t>
      </w:r>
      <w:r>
        <w:rPr>
          <w:rFonts w:hint="default" w:ascii="Times New Roman" w:hAnsi="Times New Roman" w:cs="Times New Roman"/>
          <w:b/>
          <w:bCs/>
          <w:color w:val="auto"/>
          <w:sz w:val="22"/>
          <w:szCs w:val="22"/>
          <w:highlight w:val="none"/>
          <w:u w:val="dotted"/>
        </w:rPr>
        <w:t xml:space="preserve">                                                                                                        </w:t>
      </w:r>
      <w:r>
        <w:rPr>
          <w:rFonts w:hint="default" w:ascii="Times New Roman" w:hAnsi="Times New Roman" w:cs="Times New Roman"/>
          <w:b/>
          <w:bCs/>
          <w:color w:val="auto"/>
          <w:sz w:val="22"/>
          <w:szCs w:val="22"/>
          <w:highlight w:val="none"/>
        </w:rPr>
        <w:t xml:space="preserve">                                                                                                </w:t>
      </w:r>
    </w:p>
    <w:p w14:paraId="401E48E4">
      <w:pPr>
        <w:pStyle w:val="22"/>
        <w:spacing w:line="420" w:lineRule="exact"/>
        <w:ind w:left="1617" w:leftChars="770" w:firstLine="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665408" behindDoc="0" locked="0" layoutInCell="1" allowOverlap="1">
                <wp:simplePos x="0" y="0"/>
                <wp:positionH relativeFrom="column">
                  <wp:posOffset>-114300</wp:posOffset>
                </wp:positionH>
                <wp:positionV relativeFrom="paragraph">
                  <wp:posOffset>38100</wp:posOffset>
                </wp:positionV>
                <wp:extent cx="1028700" cy="4572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028700" cy="457200"/>
                        </a:xfrm>
                        <a:prstGeom prst="rect">
                          <a:avLst/>
                        </a:prstGeom>
                        <a:noFill/>
                        <a:ln>
                          <a:noFill/>
                        </a:ln>
                        <a:effectLst/>
                      </wps:spPr>
                      <wps:txbx>
                        <w:txbxContent>
                          <w:p w14:paraId="4241B149">
                            <w:pPr>
                              <w:rPr>
                                <w:rFonts w:ascii="楷体_GB2312" w:eastAsia="楷体_GB2312" w:cs="Times New Roman"/>
                                <w:sz w:val="18"/>
                                <w:szCs w:val="18"/>
                              </w:rPr>
                            </w:pPr>
                            <w:r>
                              <w:rPr>
                                <w:rFonts w:hint="eastAsia" w:ascii="楷体_GB2312" w:eastAsia="楷体_GB2312" w:cs="楷体_GB2312"/>
                                <w:b/>
                                <w:bCs/>
                                <w:color w:val="000000"/>
                                <w:sz w:val="18"/>
                                <w:szCs w:val="18"/>
                              </w:rPr>
                              <w:t>适用法律</w:t>
                            </w:r>
                          </w:p>
                        </w:txbxContent>
                      </wps:txbx>
                      <wps:bodyPr wrap="square" upright="1"/>
                    </wps:wsp>
                  </a:graphicData>
                </a:graphic>
              </wp:anchor>
            </w:drawing>
          </mc:Choice>
          <mc:Fallback>
            <w:pict>
              <v:shape id="_x0000_s1026" o:spid="_x0000_s1026" o:spt="202" type="#_x0000_t202" style="position:absolute;left:0pt;margin-left:-9pt;margin-top:3pt;height:36pt;width:81pt;z-index:251665408;mso-width-relative:page;mso-height-relative:page;" filled="f" stroked="f" coordsize="21600,21600" o:gfxdata="UEsDBAoAAAAAAIdO4kAAAAAAAAAAAAAAAAAEAAAAZHJzL1BLAwQUAAAACACHTuJAuRwms9QAAAAI&#10;AQAADwAAAGRycy9kb3ducmV2LnhtbE2PT0/DMAzF70h8h8hI3LakqIxR6u4A4gpiAyRuWeO1FY1T&#10;Ndlavj3eCU7+86zn3ys3s+/VicbYBUbIlgYUcR1cxw3C++55sQYVk2Vn+8CE8EMRNtXlRWkLFyZ+&#10;o9M2NUpMOBYWoU1pKLSOdUvexmUYiEU7hNHbJOPYaDfaScx9r2+MWWlvO5YPrR3osaX6e3v0CB8v&#10;h6/P3Lw2T/52mMJsNPt7jXh9lZkHUInm9HcMZ3xBh0qY9uHILqoeYZGtJUtCWEk563kuzR7hTva6&#10;KvX/ANUvUEsDBBQAAAAIAIdO4kAe9JmsugEAAGoDAAAOAAAAZHJzL2Uyb0RvYy54bWytU0tu2zAQ&#10;3RfoHQjuaylG4wSC5QCBkW6KtEDSA9DU0CLAXzm0JV+gvUFX3XTfc/kcGUqKk6abLLKhhvN5nPdm&#10;tLzqrWF7iKi9q/nZrOQMnPSNdtuaf7u/+XDJGSbhGmG8g5ofAPnV6v27ZRcqmPvWmwYiIxCHVRdq&#10;3qYUqqJA2YIVOPMBHAWVj1YkusZt0UTREbo1xbwsF0XnYxOil4BI3vUY5BNifA2gV0pLWHu5s+DS&#10;iBrBiESUsNUB+WroVimQ6YtSCImZmhPTNJz0CNmbfBarpai2UYRWy6kF8ZoWXnCyQjt69AS1Fkmw&#10;XdT/QVkto0ev0kx6W4xEBkWIxVn5Qpu7VgQYuJDUGE6i49vBytv918h0U/MFZ05YGvjx18/j77/H&#10;Pz/YIsvTBawo6y5QXuqvfU9L8+hHcmbWvYo2f4kPoziJeziJC31iMheV88uLkkKSYh/PL2gXMkzx&#10;VB0ipk/gLctGzSMNb9BU7D9jGlMfU/Jjzt9oY4YBGvePgzBHDwwbMFVnImPD2Ur9pp/YbXxzIHId&#10;bUHN8ftOROBsF6LettTGQLbIJTSCod9pXfKMn9/Jfv6LrB4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uRwms9QAAAAIAQAADwAAAAAAAAABACAAAAAiAAAAZHJzL2Rvd25yZXYueG1sUEsBAhQAFAAA&#10;AAgAh07iQB70may6AQAAagMAAA4AAAAAAAAAAQAgAAAAIwEAAGRycy9lMm9Eb2MueG1sUEsFBgAA&#10;AAAGAAYAWQEAAE8FAAAAAA==&#10;">
                <v:fill on="f" focussize="0,0"/>
                <v:stroke on="f"/>
                <v:imagedata o:title=""/>
                <o:lock v:ext="edit" aspectratio="f"/>
                <v:textbox>
                  <w:txbxContent>
                    <w:p w14:paraId="4241B149">
                      <w:pPr>
                        <w:rPr>
                          <w:rFonts w:ascii="楷体_GB2312" w:eastAsia="楷体_GB2312" w:cs="Times New Roman"/>
                          <w:sz w:val="18"/>
                          <w:szCs w:val="18"/>
                        </w:rPr>
                      </w:pPr>
                      <w:r>
                        <w:rPr>
                          <w:rFonts w:hint="eastAsia" w:ascii="楷体_GB2312" w:eastAsia="楷体_GB2312" w:cs="楷体_GB2312"/>
                          <w:b/>
                          <w:bCs/>
                          <w:color w:val="000000"/>
                          <w:sz w:val="18"/>
                          <w:szCs w:val="18"/>
                        </w:rPr>
                        <w:t>适用法律</w:t>
                      </w:r>
                    </w:p>
                  </w:txbxContent>
                </v:textbox>
              </v:shape>
            </w:pict>
          </mc:Fallback>
        </mc:AlternateContent>
      </w:r>
      <w:r>
        <w:rPr>
          <w:rFonts w:hint="default" w:ascii="Times New Roman" w:hAnsi="Times New Roman" w:cs="Times New Roman"/>
          <w:color w:val="auto"/>
          <w:sz w:val="22"/>
          <w:szCs w:val="22"/>
          <w:highlight w:val="none"/>
        </w:rPr>
        <w:t>本合同适用的法律为中华人民共和国的现行法律、行政法规、部门规章和合同工程所在地的地方性法规、地方政府规章、行政规范性文件。</w:t>
      </w:r>
    </w:p>
    <w:p w14:paraId="146BAAFB">
      <w:pPr>
        <w:tabs>
          <w:tab w:val="left" w:pos="1320"/>
        </w:tabs>
        <w:spacing w:line="420" w:lineRule="exact"/>
        <w:ind w:right="-7"/>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4.3  </w:t>
      </w:r>
      <w:r>
        <w:rPr>
          <w:rFonts w:hint="default" w:ascii="Times New Roman" w:hAnsi="Times New Roman" w:cs="Times New Roman"/>
          <w:b/>
          <w:bCs/>
          <w:color w:val="auto"/>
          <w:sz w:val="22"/>
          <w:szCs w:val="22"/>
          <w:highlight w:val="none"/>
          <w:u w:val="dotted"/>
        </w:rPr>
        <w:t xml:space="preserve">                                                                                                        </w:t>
      </w:r>
      <w:r>
        <w:rPr>
          <w:rFonts w:hint="default" w:ascii="Times New Roman" w:hAnsi="Times New Roman" w:cs="Times New Roman"/>
          <w:b/>
          <w:bCs/>
          <w:color w:val="auto"/>
          <w:sz w:val="22"/>
          <w:szCs w:val="22"/>
          <w:highlight w:val="none"/>
        </w:rPr>
        <w:t xml:space="preserve">                                                                                    </w:t>
      </w:r>
    </w:p>
    <w:p w14:paraId="6219E0AD">
      <w:pPr>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666432" behindDoc="0" locked="0" layoutInCell="1" allowOverlap="1">
                <wp:simplePos x="0" y="0"/>
                <wp:positionH relativeFrom="column">
                  <wp:posOffset>-114300</wp:posOffset>
                </wp:positionH>
                <wp:positionV relativeFrom="paragraph">
                  <wp:posOffset>0</wp:posOffset>
                </wp:positionV>
                <wp:extent cx="1028700" cy="44196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028700" cy="441960"/>
                        </a:xfrm>
                        <a:prstGeom prst="rect">
                          <a:avLst/>
                        </a:prstGeom>
                        <a:noFill/>
                        <a:ln>
                          <a:noFill/>
                        </a:ln>
                        <a:effectLst/>
                      </wps:spPr>
                      <wps:txbx>
                        <w:txbxContent>
                          <w:p w14:paraId="228D9694">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适用标准与规</w:t>
                            </w:r>
                          </w:p>
                          <w:p w14:paraId="217B1524">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范</w:t>
                            </w:r>
                          </w:p>
                        </w:txbxContent>
                      </wps:txbx>
                      <wps:bodyPr wrap="square" upright="1"/>
                    </wps:wsp>
                  </a:graphicData>
                </a:graphic>
              </wp:anchor>
            </w:drawing>
          </mc:Choice>
          <mc:Fallback>
            <w:pict>
              <v:shape id="_x0000_s1026" o:spid="_x0000_s1026" o:spt="202" type="#_x0000_t202" style="position:absolute;left:0pt;margin-left:-9pt;margin-top:0pt;height:34.8pt;width:81pt;z-index:251666432;mso-width-relative:page;mso-height-relative:page;" filled="f" stroked="f" coordsize="21600,21600" o:gfxdata="UEsDBAoAAAAAAIdO4kAAAAAAAAAAAAAAAAAEAAAAZHJzL1BLAwQUAAAACACHTuJA+CLju9UAAAAH&#10;AQAADwAAAGRycy9kb3ducmV2LnhtbE2PQU/DMAyF70j8h8iTuG1JUam2UncHEFcQYyBxy1qvrdY4&#10;VZOt5d/jneBiPetZ730utrPr1YXG0HlGSFYGFHHl644bhP3Hy3INKkTLte09E8IPBdiWtzeFzWs/&#10;8TtddrFREsIhtwhtjEOudahacjas/EAs3tGPzkZZx0bXo50k3PX63phMO9uxNLR2oKeWqtPu7BA+&#10;X4/fX6l5a57dwzD52Wh2G414t0jMI6hIc/w7hiu+oEMpTAd/5jqoHmGZrOWXiCDzaqepiANCtslA&#10;l4X+z1/+AlBLAwQUAAAACACHTuJAx/Sql7wBAABqAwAADgAAAGRycy9lMm9Eb2MueG1srVNLbtsw&#10;EN0XyB0I7mPKRpDGguUAhZFsgrZA2gPQ1MgiIH7KoS35Au0Nuuqm+57L5+iQUtw03WTRDTWcz+O8&#10;N6PV7WA6doCA2tmKz2cFZ2CVq7XdVfzzp7vLG84wSlvLzlmo+BGQ364v3qx6X8LCta6rITACsVj2&#10;vuJtjL4UAlULRuLMebAUbFwwMtI17EQdZE/ophOLorgWvQu1D04BInk3Y5BPiOE1gK5ptIKNU3sD&#10;No6oAToZiRK22iNf526bBlT80DQIkXUVJ6Yxn/QI2dt0ivVKlrsgfavV1IJ8TQsvOBmpLT16htrI&#10;KNk+6H+gjFbBoWviTDkjRiJZEWIxL15o89hKD5kLSY3+LDr+P1j1/vAxMF1XfMmZlYYGfvr+7fTj&#10;1+nnV7ZM8vQeS8p69JQXh3duoKV58iM5E+uhCSZ9iQ+jOIl7PIsLQ2QqFRWLm7cFhRTFrq7my+us&#10;vvhT7QPGe3CGJaPigYaXNZWHB4zUCaU+paTHrLvTXZcH2Nm/HJQ4eiBvwFSdiIwNJysO22Fit3X1&#10;kcj1tAUVxy97GYCzvQ9611IbmaxIJTSC3MS0LmnGz+9kP/9F1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CLju9UAAAAHAQAADwAAAAAAAAABACAAAAAiAAAAZHJzL2Rvd25yZXYueG1sUEsBAhQA&#10;FAAAAAgAh07iQMf0qpe8AQAAagMAAA4AAAAAAAAAAQAgAAAAJAEAAGRycy9lMm9Eb2MueG1sUEsF&#10;BgAAAAAGAAYAWQEAAFIFAAAAAA==&#10;">
                <v:fill on="f" focussize="0,0"/>
                <v:stroke on="f"/>
                <v:imagedata o:title=""/>
                <o:lock v:ext="edit" aspectratio="f"/>
                <v:textbox>
                  <w:txbxContent>
                    <w:p w14:paraId="228D9694">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适用标准与规</w:t>
                      </w:r>
                    </w:p>
                    <w:p w14:paraId="217B1524">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范</w:t>
                      </w:r>
                    </w:p>
                  </w:txbxContent>
                </v:textbox>
              </v:shape>
            </w:pict>
          </mc:Fallback>
        </mc:AlternateContent>
      </w:r>
      <w:r>
        <w:rPr>
          <w:rFonts w:hint="default" w:ascii="Times New Roman" w:hAnsi="Times New Roman" w:cs="Times New Roman"/>
          <w:color w:val="auto"/>
          <w:sz w:val="22"/>
          <w:szCs w:val="22"/>
          <w:highlight w:val="none"/>
        </w:rPr>
        <w:t>本合同适用的标准与规范为国家、行业和广东省的标准与规范或规程，以及发包人在合同中要求使用的标准与规范。</w:t>
      </w:r>
    </w:p>
    <w:p w14:paraId="3A5F1C96">
      <w:pPr>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 xml:space="preserve">合同双方当事人在专用条款中约定适用的国家标准、规范名称；国家没有但行业有的，约定适用的行业标准、规范名称；国家和行业没有但广东省有的，约定适用的广东省地方标准、规范名称。   </w:t>
      </w:r>
    </w:p>
    <w:p w14:paraId="3AF825D3">
      <w:pPr>
        <w:spacing w:line="420" w:lineRule="exact"/>
        <w:ind w:left="1619" w:leftChars="771" w:firstLine="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国内没有适用的标准、规范的，由发包人在招标文件中或在承包人投标报价前提出施工技术要求，承包人在自主报价时按照要求提出施工工艺，经发包人确认后执行。发包人要求使用国外标准、规范的，应负责提供中文译本；有异议时，以中文译本为准。</w:t>
      </w:r>
    </w:p>
    <w:p w14:paraId="7392C6B7">
      <w:pPr>
        <w:spacing w:line="420" w:lineRule="exact"/>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2266ACDE">
      <w:pPr>
        <w:pStyle w:val="5"/>
        <w:numPr>
          <w:ilvl w:val="0"/>
          <w:numId w:val="0"/>
        </w:numPr>
        <w:tabs>
          <w:tab w:val="left" w:pos="360"/>
          <w:tab w:val="left" w:pos="420"/>
          <w:tab w:val="left" w:pos="1287"/>
        </w:tabs>
        <w:spacing w:line="420" w:lineRule="exact"/>
        <w:rPr>
          <w:rFonts w:hint="default" w:ascii="Times New Roman" w:hAnsi="Times New Roman" w:cs="Times New Roman"/>
          <w:bCs w:val="0"/>
          <w:color w:val="auto"/>
          <w:sz w:val="22"/>
          <w:szCs w:val="22"/>
          <w:highlight w:val="none"/>
        </w:rPr>
      </w:pPr>
      <w:bookmarkStart w:id="94" w:name="_Toc28534"/>
      <w:bookmarkStart w:id="95" w:name="_Toc469383984"/>
      <w:r>
        <w:rPr>
          <w:rFonts w:hint="default" w:ascii="Times New Roman" w:hAnsi="Times New Roman" w:cs="Times New Roman"/>
          <w:bCs w:val="0"/>
          <w:color w:val="auto"/>
          <w:sz w:val="22"/>
          <w:szCs w:val="22"/>
          <w:highlight w:val="none"/>
        </w:rPr>
        <w:t>5  施工设计图纸</w:t>
      </w:r>
      <w:bookmarkEnd w:id="94"/>
      <w:bookmarkEnd w:id="95"/>
    </w:p>
    <w:p w14:paraId="2CCE7D7C">
      <w:pPr>
        <w:pStyle w:val="15"/>
        <w:spacing w:line="420" w:lineRule="exact"/>
        <w:ind w:right="-238"/>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5.1 </w:t>
      </w:r>
    </w:p>
    <w:p w14:paraId="7F7CE333">
      <w:pPr>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667456" behindDoc="0" locked="0" layoutInCell="1" allowOverlap="1">
                <wp:simplePos x="0" y="0"/>
                <wp:positionH relativeFrom="column">
                  <wp:posOffset>-114300</wp:posOffset>
                </wp:positionH>
                <wp:positionV relativeFrom="paragraph">
                  <wp:posOffset>20320</wp:posOffset>
                </wp:positionV>
                <wp:extent cx="800100" cy="91186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800100" cy="911860"/>
                        </a:xfrm>
                        <a:prstGeom prst="rect">
                          <a:avLst/>
                        </a:prstGeom>
                        <a:noFill/>
                        <a:ln>
                          <a:noFill/>
                        </a:ln>
                        <a:effectLst/>
                      </wps:spPr>
                      <wps:txbx>
                        <w:txbxContent>
                          <w:p w14:paraId="54FF3A0B">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图纸的提供</w:t>
                            </w:r>
                          </w:p>
                        </w:txbxContent>
                      </wps:txbx>
                      <wps:bodyPr wrap="square" upright="1"/>
                    </wps:wsp>
                  </a:graphicData>
                </a:graphic>
              </wp:anchor>
            </w:drawing>
          </mc:Choice>
          <mc:Fallback>
            <w:pict>
              <v:shape id="_x0000_s1026" o:spid="_x0000_s1026" o:spt="202" type="#_x0000_t202" style="position:absolute;left:0pt;margin-left:-9pt;margin-top:1.6pt;height:71.8pt;width:63pt;z-index:251667456;mso-width-relative:page;mso-height-relative:page;" filled="f" stroked="f" coordsize="21600,21600" o:gfxdata="UEsDBAoAAAAAAIdO4kAAAAAAAAAAAAAAAAAEAAAAZHJzL1BLAwQUAAAACACHTuJALguxZtYAAAAJ&#10;AQAADwAAAGRycy9kb3ducmV2LnhtbE2PzW7CMBCE75X6DtZW6g3sUEBpmg0HUK9FpT9SbyZekqjx&#10;OooNCW9f50RvO5rR7Df5ZrStuFDvG8cIyVyBIC6dabhC+Px4naUgfNBsdOuYEK7kYVPc3+U6M27g&#10;d7ocQiViCftMI9QhdJmUvqzJaj93HXH0Tq63OkTZV9L0eojltpULpdbS6objh1p3tK2p/D2cLcLX&#10;2+nne6n21c6uusGNSrJ9loiPD4l6ARFoDLcwTPgRHYrIdHRnNl60CLMkjVsCwtMCxOSrSR/jsVyn&#10;IItc/l9Q/AFQSwMEFAAAAAgAh07iQODRuW64AQAAawMAAA4AAABkcnMvZTJvRG9jLnhtbK1TzY7T&#10;MBC+I/EOlu80aQ+rEjVdCVXLBQHSwgO4zrix5D88bpO+ALwBJy7cea4+B2MnW5blsgcuznh+Ps/3&#10;zWRzO1rDThBRe9fy5aLmDJz0nXaHln/+dPdqzRkm4TphvIOWnwH57fbli80QGlj53psOIiMQh80Q&#10;Wt6nFJqqQtmDFbjwARwFlY9WJLrGQ9VFMRC6NdWqrm+qwccuRC8Bkby7KchnxPgcQK+UlrDz8mjB&#10;pQk1ghGJKGGvA/Jt6VYpkOmDUgiJmZYT01ROeoTsfT6r7UY0hyhCr+XcgnhOC084WaEdPXqF2okk&#10;2DHqf6CsltGjV2khva0mIkURYrGsn2hz34sAhQtJjeEqOv4/WPn+9DEy3bV8RZI4YWnil+/fLj9+&#10;XX5+ZeQjgYaADeXdB8pM4xs/0to8+JGcmfeoos1fYsQoTljnq7wwJibJua6JIkUkhV4vl+ubgl79&#10;KQ4R01vwlmWj5ZGmV0QVp3eYqBFKfUjJbzl/p40pEzTuLwclTh4oKzBXZx5Tv9lK436cye19dyZu&#10;A61By/HLUUTg7BiiPvTURuFa5RKaQWli3pc85Md3sh//I9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LguxZtYAAAAJAQAADwAAAAAAAAABACAAAAAiAAAAZHJzL2Rvd25yZXYueG1sUEsBAhQAFAAA&#10;AAgAh07iQODRuW64AQAAawMAAA4AAAAAAAAAAQAgAAAAJQEAAGRycy9lMm9Eb2MueG1sUEsFBgAA&#10;AAAGAAYAWQEAAE8FAAAAAA==&#10;">
                <v:fill on="f" focussize="0,0"/>
                <v:stroke on="f"/>
                <v:imagedata o:title=""/>
                <o:lock v:ext="edit" aspectratio="f"/>
                <v:textbox>
                  <w:txbxContent>
                    <w:p w14:paraId="54FF3A0B">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图纸的提供</w:t>
                      </w:r>
                    </w:p>
                  </w:txbxContent>
                </v:textbox>
              </v:shape>
            </w:pict>
          </mc:Fallback>
        </mc:AlternateContent>
      </w:r>
      <w:r>
        <w:rPr>
          <w:rFonts w:hint="default" w:ascii="Times New Roman" w:hAnsi="Times New Roman" w:cs="Times New Roman"/>
          <w:color w:val="auto"/>
          <w:sz w:val="22"/>
          <w:szCs w:val="22"/>
          <w:highlight w:val="none"/>
        </w:rPr>
        <w:t xml:space="preserve">发包人应按照专用条款约定的时间和数量，向承包人提供经已审批的施工设计图纸及其技术资料。如承包人需要增加数量的，发包人可代为办理，发生的费用由承包人承担。如发包人未能按时提供施工设计图纸造成工期延误的，按第36.3款规定处理。 </w:t>
      </w:r>
    </w:p>
    <w:p w14:paraId="6C8C84A4">
      <w:pPr>
        <w:pStyle w:val="15"/>
        <w:spacing w:line="420" w:lineRule="exact"/>
        <w:ind w:right="-238"/>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5.2  </w:t>
      </w:r>
      <w:r>
        <w:rPr>
          <w:rFonts w:hint="default" w:ascii="Times New Roman" w:hAnsi="Times New Roman" w:cs="Times New Roman"/>
          <w:b/>
          <w:bCs/>
          <w:color w:val="auto"/>
          <w:sz w:val="22"/>
          <w:szCs w:val="22"/>
          <w:highlight w:val="none"/>
          <w:u w:val="dotted"/>
        </w:rPr>
        <w:t xml:space="preserve">                                                                              </w:t>
      </w:r>
    </w:p>
    <w:p w14:paraId="4D4D1C14">
      <w:pPr>
        <w:pStyle w:val="22"/>
        <w:tabs>
          <w:tab w:val="left" w:pos="4970"/>
        </w:tabs>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668480" behindDoc="0" locked="0" layoutInCell="1" allowOverlap="1">
                <wp:simplePos x="0" y="0"/>
                <wp:positionH relativeFrom="column">
                  <wp:posOffset>-114300</wp:posOffset>
                </wp:positionH>
                <wp:positionV relativeFrom="paragraph">
                  <wp:posOffset>0</wp:posOffset>
                </wp:positionV>
                <wp:extent cx="800100" cy="91186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800100" cy="911860"/>
                        </a:xfrm>
                        <a:prstGeom prst="rect">
                          <a:avLst/>
                        </a:prstGeom>
                        <a:noFill/>
                        <a:ln>
                          <a:noFill/>
                        </a:ln>
                        <a:effectLst/>
                      </wps:spPr>
                      <wps:txbx>
                        <w:txbxContent>
                          <w:p w14:paraId="6E9ACFE3">
                            <w:pPr>
                              <w:rPr>
                                <w:rFonts w:ascii="楷体_GB2312" w:hAnsi="宋体" w:eastAsia="楷体_GB2312" w:cs="Times New Roman"/>
                                <w:b/>
                                <w:bCs/>
                                <w:color w:val="000000"/>
                                <w:sz w:val="18"/>
                                <w:szCs w:val="18"/>
                              </w:rPr>
                            </w:pPr>
                            <w:r>
                              <w:rPr>
                                <w:rFonts w:hint="eastAsia" w:ascii="楷体_GB2312" w:eastAsia="楷体_GB2312" w:cs="楷体_GB2312"/>
                                <w:b/>
                                <w:bCs/>
                                <w:color w:val="000000"/>
                                <w:sz w:val="18"/>
                                <w:szCs w:val="18"/>
                              </w:rPr>
                              <w:t>承包人提供配合施工的图纸</w:t>
                            </w:r>
                          </w:p>
                        </w:txbxContent>
                      </wps:txbx>
                      <wps:bodyPr wrap="square" upright="1"/>
                    </wps:wsp>
                  </a:graphicData>
                </a:graphic>
              </wp:anchor>
            </w:drawing>
          </mc:Choice>
          <mc:Fallback>
            <w:pict>
              <v:shape id="_x0000_s1026" o:spid="_x0000_s1026" o:spt="202" type="#_x0000_t202" style="position:absolute;left:0pt;margin-left:-9pt;margin-top:0pt;height:71.8pt;width:63pt;z-index:251668480;mso-width-relative:page;mso-height-relative:page;" filled="f" stroked="f" coordsize="21600,21600" o:gfxdata="UEsDBAoAAAAAAIdO4kAAAAAAAAAAAAAAAAAEAAAAZHJzL1BLAwQUAAAACACHTuJAwivt2NQAAAAI&#10;AQAADwAAAGRycy9kb3ducmV2LnhtbE2PQU/DMAyF70j8h8hI3LakMKZRmu4A4gpiAyRuXuO1FY1T&#10;Ndla/j3uCS6Wn571/L1iO/lOnWmIbWAL2dKAIq6Ca7m28L5/XmxAxYTssAtMFn4owra8vCgwd2Hk&#10;NzrvUq0khGOOFpqU+lzrWDXkMS5DTyzeMQwek8ih1m7AUcJ9p2+MWWuPLcuHBnt6bKj63p28hY+X&#10;49fnyrzWT/6uH8NkNPt7be31VWYeQCWa0t8xzPiCDqUwHcKJXVSdhUW2kS7JgszZNrM8yLK6XYMu&#10;C/2/QPkLUEsDBBQAAAAIAIdO4kB5so5suQEAAGsDAAAOAAAAZHJzL2Uyb0RvYy54bWytU82O0zAQ&#10;viPxDpbv1OlKrErUdCVULRcESAsP4DrjxpL/8LhN+gLwBpy4cOe5+hxMnGx3WS574OKM5+fzfN9M&#10;1jeDs+wICU3wDV8uKs7Aq9Aav2/4l8+3r1acYZa+lTZ4aPgJkN9sXr5Y97GGq9AF20JiBOKx7mPD&#10;u5xjLQSqDpzERYjgKahDcjLTNe1Fm2RP6M6Kq6q6Fn1IbUxBASJ5t1OQz4jpOYBBa6NgG9TBgc8T&#10;agIrM1HCzkTkm9Kt1qDyR60RMrMNJ6a5nPQI2bvxFJu1rPdJxs6ouQX5nBaecHLSeHr0ArWVWbJD&#10;Mv9AOaNSwKDzQgUnJiJFEWKxrJ5oc9fJCIULSY3xIjr+P1j14fgpMdPSJrzmzEtHEz//+H7++fv8&#10;6xsjHwnUR6wp7y5SZh7ehoGS7/1IzpH3oJMbv8SIUZzkPV3khSEzRc5VRRQpoij0ZrlcXRf5xUNx&#10;TJjfQXBsNBqeaHpFVHl8j5kaodT7lPEtH26NtWWC1v/loMTJA2UF5uqRx9TvaOVhN8zkdqE9Ebee&#10;1qDh+PUgE3B2iMnsO2qjcBVjCc2gNDHvyzjkx3eyH/8jmz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CK+3Y1AAAAAgBAAAPAAAAAAAAAAEAIAAAACIAAABkcnMvZG93bnJldi54bWxQSwECFAAUAAAA&#10;CACHTuJAebKObLkBAABrAwAADgAAAAAAAAABACAAAAAjAQAAZHJzL2Uyb0RvYy54bWxQSwUGAAAA&#10;AAYABgBZAQAATgUAAAAA&#10;">
                <v:fill on="f" focussize="0,0"/>
                <v:stroke on="f"/>
                <v:imagedata o:title=""/>
                <o:lock v:ext="edit" aspectratio="f"/>
                <v:textbox>
                  <w:txbxContent>
                    <w:p w14:paraId="6E9ACFE3">
                      <w:pPr>
                        <w:rPr>
                          <w:rFonts w:ascii="楷体_GB2312" w:hAnsi="宋体" w:eastAsia="楷体_GB2312" w:cs="Times New Roman"/>
                          <w:b/>
                          <w:bCs/>
                          <w:color w:val="000000"/>
                          <w:sz w:val="18"/>
                          <w:szCs w:val="18"/>
                        </w:rPr>
                      </w:pPr>
                      <w:r>
                        <w:rPr>
                          <w:rFonts w:hint="eastAsia" w:ascii="楷体_GB2312" w:eastAsia="楷体_GB2312" w:cs="楷体_GB2312"/>
                          <w:b/>
                          <w:bCs/>
                          <w:color w:val="000000"/>
                          <w:sz w:val="18"/>
                          <w:szCs w:val="18"/>
                        </w:rPr>
                        <w:t>承包人提供配合施工的图纸</w:t>
                      </w:r>
                    </w:p>
                  </w:txbxContent>
                </v:textbox>
              </v:shape>
            </w:pict>
          </mc:Fallback>
        </mc:AlternateContent>
      </w:r>
      <w:r>
        <w:rPr>
          <w:rFonts w:hint="default" w:ascii="Times New Roman" w:hAnsi="Times New Roman" w:cs="Times New Roman"/>
          <w:color w:val="auto"/>
          <w:sz w:val="22"/>
          <w:szCs w:val="22"/>
          <w:highlight w:val="none"/>
        </w:rPr>
        <w:t>如果合同约定由承包人负责提供大样图、加工图等配合施工设计图纸的，承包人应在其设计资质等级许可的范围内，按照监理工程师的工作指令完成有关施工设计图纸。承包人应按照专用条款约定的时间和数量向监理工程师提交此类施工设计图纸，监理工程师应在专用条款约定的时间内报发包人批准后予以答复。即使经监理工程师同意，承包人仍应对其施工设计图纸负责。</w:t>
      </w:r>
    </w:p>
    <w:p w14:paraId="7F033C99">
      <w:pPr>
        <w:tabs>
          <w:tab w:val="left" w:pos="4970"/>
        </w:tabs>
        <w:spacing w:line="420" w:lineRule="exact"/>
        <w:rPr>
          <w:rFonts w:hint="default" w:ascii="Times New Roman" w:hAnsi="Times New Roman" w:cs="Times New Roman"/>
          <w:b/>
          <w:bCs/>
          <w:color w:val="auto"/>
          <w:sz w:val="22"/>
          <w:szCs w:val="22"/>
          <w:highlight w:val="none"/>
        </w:rPr>
      </w:pPr>
    </w:p>
    <w:p w14:paraId="525F84F3">
      <w:pPr>
        <w:tabs>
          <w:tab w:val="left" w:pos="4970"/>
        </w:tabs>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5.3  </w:t>
      </w:r>
      <w:r>
        <w:rPr>
          <w:rFonts w:hint="default" w:ascii="Times New Roman" w:hAnsi="Times New Roman" w:cs="Times New Roman"/>
          <w:b/>
          <w:bCs/>
          <w:color w:val="auto"/>
          <w:sz w:val="22"/>
          <w:szCs w:val="22"/>
          <w:highlight w:val="none"/>
          <w:u w:val="dotted"/>
        </w:rPr>
        <w:t xml:space="preserve">                                                                                                       </w:t>
      </w:r>
    </w:p>
    <w:p w14:paraId="6158F56A">
      <w:pPr>
        <w:tabs>
          <w:tab w:val="left" w:pos="4970"/>
        </w:tabs>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669504" behindDoc="0" locked="0" layoutInCell="1" allowOverlap="1">
                <wp:simplePos x="0" y="0"/>
                <wp:positionH relativeFrom="column">
                  <wp:posOffset>-114300</wp:posOffset>
                </wp:positionH>
                <wp:positionV relativeFrom="paragraph">
                  <wp:posOffset>0</wp:posOffset>
                </wp:positionV>
                <wp:extent cx="914400" cy="64897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914400" cy="648970"/>
                        </a:xfrm>
                        <a:prstGeom prst="rect">
                          <a:avLst/>
                        </a:prstGeom>
                        <a:noFill/>
                        <a:ln>
                          <a:noFill/>
                        </a:ln>
                        <a:effectLst/>
                      </wps:spPr>
                      <wps:txbx>
                        <w:txbxContent>
                          <w:p w14:paraId="58E3D4B8">
                            <w:pPr>
                              <w:rPr>
                                <w:rFonts w:ascii="宋体" w:cs="Times New Roman"/>
                                <w:sz w:val="18"/>
                                <w:szCs w:val="18"/>
                              </w:rPr>
                            </w:pPr>
                            <w:r>
                              <w:rPr>
                                <w:rFonts w:hint="eastAsia" w:ascii="楷体_GB2312" w:hAnsi="宋体" w:eastAsia="楷体_GB2312" w:cs="楷体_GB2312"/>
                                <w:b/>
                                <w:bCs/>
                                <w:color w:val="000000"/>
                                <w:sz w:val="18"/>
                                <w:szCs w:val="18"/>
                              </w:rPr>
                              <w:t>图纸的修改</w:t>
                            </w:r>
                          </w:p>
                        </w:txbxContent>
                      </wps:txbx>
                      <wps:bodyPr wrap="square" upright="1"/>
                    </wps:wsp>
                  </a:graphicData>
                </a:graphic>
              </wp:anchor>
            </w:drawing>
          </mc:Choice>
          <mc:Fallback>
            <w:pict>
              <v:shape id="_x0000_s1026" o:spid="_x0000_s1026" o:spt="202" type="#_x0000_t202" style="position:absolute;left:0pt;margin-left:-9pt;margin-top:0pt;height:51.1pt;width:72pt;z-index:251669504;mso-width-relative:page;mso-height-relative:page;" filled="f" stroked="f" coordsize="21600,21600" o:gfxdata="UEsDBAoAAAAAAIdO4kAAAAAAAAAAAAAAAAAEAAAAZHJzL1BLAwQUAAAACACHTuJA9spnAdUAAAAI&#10;AQAADwAAAGRycy9kb3ducmV2LnhtbE2PT0/DMAzF70h8h8hIu21JK5hGqbsDiCsT44/ELWu8tqJx&#10;qiZby7fHO8HFetaznn+v3M6+V2caYxcYIVsZUMR1cB03CO9vz8sNqJgsO9sHJoQfirCtrq9KW7gw&#10;8Sud96lREsKxsAhtSkOhdaxb8jauwkAs3jGM3iZZx0a70U4S7nudG7PW3nYsH1o70GNL9ff+5BE+&#10;Xo5fn7dm1zz5u2EKs9Hs7zXi4iYzD6ASzenvGC74gg6VMB3CiV1UPcIy20iXhCDzYudrEQcRJs9B&#10;V6X+X6D6BVBLAwQUAAAACACHTuJAjEhcC70BAABrAwAADgAAAGRycy9lMm9Eb2MueG1srVNLbtsw&#10;EN0XyB0I7mPKhpEmguUAhZFsgrZA2gPQ1NAiIH7KoS35Au0Nuuqm+57L5+iIUtw03WTRDTWcz+O8&#10;N6PVbW9bdoCIxruKz2cFZ+CUr43bVfzzp7vLa84wSVfL1juo+BGQ364v3qy6UMLCN76tITICcVh2&#10;oeJNSqEUAlUDVuLMB3AU1D5amegad6KOsiN024pFUVyJzsc6RK8AkbybMcgnxPgaQK+1UbDxam/B&#10;pRE1QisTUcLGBOTr3K3WoNIHrRESaytOTFM+6RGyt8Mp1itZ7qIMjVFTC/I1LbzgZKVx9OgZaiOT&#10;ZPto/oGyRkWPXqeZ8laMRLIixGJevNDmsZEBMheSGsNZdPx/sOr94WNkpq74Ys6Zk5Ymfvr+7fTj&#10;1+nnV0Y+EqgLWFLeY6DM1L/zPa3Nkx/JOfDudbTDlxgxipO8x7O80CemyHkzXy4LiigKXS2vb95m&#10;+cWf4hAx3YO3bDAqHml6WVR5eMBEjVDqU8rwlvN3pm3zBFv3l4MSRw/kFZiqBx5jv4OV+m0/kdv6&#10;+kjcOlqDiuOXvYzA2T5Es2uojcxVDCU0g9zEtC/DkJ/fyX7+j6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PbKZwHVAAAACAEAAA8AAAAAAAAAAQAgAAAAIgAAAGRycy9kb3ducmV2LnhtbFBLAQIU&#10;ABQAAAAIAIdO4kCMSFwLvQEAAGsDAAAOAAAAAAAAAAEAIAAAACQBAABkcnMvZTJvRG9jLnhtbFBL&#10;BQYAAAAABgAGAFkBAABTBQAAAAA=&#10;">
                <v:fill on="f" focussize="0,0"/>
                <v:stroke on="f"/>
                <v:imagedata o:title=""/>
                <o:lock v:ext="edit" aspectratio="f"/>
                <v:textbox>
                  <w:txbxContent>
                    <w:p w14:paraId="58E3D4B8">
                      <w:pPr>
                        <w:rPr>
                          <w:rFonts w:ascii="宋体" w:cs="Times New Roman"/>
                          <w:sz w:val="18"/>
                          <w:szCs w:val="18"/>
                        </w:rPr>
                      </w:pPr>
                      <w:r>
                        <w:rPr>
                          <w:rFonts w:hint="eastAsia" w:ascii="楷体_GB2312" w:hAnsi="宋体" w:eastAsia="楷体_GB2312" w:cs="楷体_GB2312"/>
                          <w:b/>
                          <w:bCs/>
                          <w:color w:val="000000"/>
                          <w:sz w:val="18"/>
                          <w:szCs w:val="18"/>
                        </w:rPr>
                        <w:t>图纸的修改</w:t>
                      </w:r>
                    </w:p>
                  </w:txbxContent>
                </v:textbox>
              </v:shape>
            </w:pict>
          </mc:Fallback>
        </mc:AlternateContent>
      </w:r>
      <w:r>
        <w:rPr>
          <w:rFonts w:hint="default" w:ascii="Times New Roman" w:hAnsi="Times New Roman" w:cs="Times New Roman"/>
          <w:color w:val="auto"/>
          <w:sz w:val="22"/>
          <w:szCs w:val="22"/>
          <w:highlight w:val="none"/>
        </w:rPr>
        <w:t>施工设计图纸需要修改和补充的，监理工程师应及时书面报告发包人。发包人收到书面报告后应及时通知设计人予以修改，并在合同工程或其相应部位施工前按照专用条款约定的时间和数量提供给承包人。承包人应按照发包人新提供的经设计人修改后的施工设计图纸施工。</w:t>
      </w:r>
    </w:p>
    <w:p w14:paraId="0858F95D">
      <w:pPr>
        <w:tabs>
          <w:tab w:val="left" w:pos="4970"/>
        </w:tabs>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5.4  </w:t>
      </w:r>
      <w:r>
        <w:rPr>
          <w:rFonts w:hint="default" w:ascii="Times New Roman" w:hAnsi="Times New Roman" w:cs="Times New Roman"/>
          <w:b/>
          <w:bCs/>
          <w:color w:val="auto"/>
          <w:sz w:val="22"/>
          <w:szCs w:val="22"/>
          <w:highlight w:val="none"/>
          <w:u w:val="dotted"/>
        </w:rPr>
        <w:t xml:space="preserve">                                                                                                       </w:t>
      </w:r>
    </w:p>
    <w:p w14:paraId="60D2E28B">
      <w:pPr>
        <w:tabs>
          <w:tab w:val="left" w:pos="4970"/>
        </w:tabs>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670528" behindDoc="0" locked="0" layoutInCell="1" allowOverlap="1">
                <wp:simplePos x="0" y="0"/>
                <wp:positionH relativeFrom="column">
                  <wp:posOffset>-114300</wp:posOffset>
                </wp:positionH>
                <wp:positionV relativeFrom="paragraph">
                  <wp:posOffset>0</wp:posOffset>
                </wp:positionV>
                <wp:extent cx="914400" cy="64897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914400" cy="648970"/>
                        </a:xfrm>
                        <a:prstGeom prst="rect">
                          <a:avLst/>
                        </a:prstGeom>
                        <a:noFill/>
                        <a:ln>
                          <a:noFill/>
                        </a:ln>
                        <a:effectLst/>
                      </wps:spPr>
                      <wps:txbx>
                        <w:txbxContent>
                          <w:p w14:paraId="0BA37997">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图纸错漏的改正</w:t>
                            </w:r>
                          </w:p>
                        </w:txbxContent>
                      </wps:txbx>
                      <wps:bodyPr wrap="square" upright="1"/>
                    </wps:wsp>
                  </a:graphicData>
                </a:graphic>
              </wp:anchor>
            </w:drawing>
          </mc:Choice>
          <mc:Fallback>
            <w:pict>
              <v:shape id="_x0000_s1026" o:spid="_x0000_s1026" o:spt="202" type="#_x0000_t202" style="position:absolute;left:0pt;margin-left:-9pt;margin-top:0pt;height:51.1pt;width:72pt;z-index:251670528;mso-width-relative:page;mso-height-relative:page;" filled="f" stroked="f" coordsize="21600,21600" o:gfxdata="UEsDBAoAAAAAAIdO4kAAAAAAAAAAAAAAAAAEAAAAZHJzL1BLAwQUAAAACACHTuJA9spnAdUAAAAI&#10;AQAADwAAAGRycy9kb3ducmV2LnhtbE2PT0/DMAzF70h8h8hIu21JK5hGqbsDiCsT44/ELWu8tqJx&#10;qiZby7fHO8HFetaznn+v3M6+V2caYxcYIVsZUMR1cB03CO9vz8sNqJgsO9sHJoQfirCtrq9KW7gw&#10;8Sud96lREsKxsAhtSkOhdaxb8jauwkAs3jGM3iZZx0a70U4S7nudG7PW3nYsH1o70GNL9ff+5BE+&#10;Xo5fn7dm1zz5u2EKs9Hs7zXi4iYzD6ASzenvGC74gg6VMB3CiV1UPcIy20iXhCDzYudrEQcRJs9B&#10;V6X+X6D6BVBLAwQUAAAACACHTuJALLAri7sBAABrAwAADgAAAGRycy9lMm9Eb2MueG1srVNLbtsw&#10;EN0XyB0I7mvKgZGPYDlAYSSboi2Q9gA0NbQIiJ9yaEu+QHuDrrrpvufyOTqiFOe3yaIbajifx3lv&#10;Rsub3rZsDxGNdxWfzwrOwClfG7et+Levt++vOMMkXS1b76DiB0B+szp7t+xCCee+8W0NkRGIw7IL&#10;FW9SCqUQqBqwEmc+gKOg9tHKRNe4FXWUHaHbVpwXxYXofKxD9AoQybseg3xCjG8B9FobBWuvdhZc&#10;GlEjtDIRJWxMQL7K3WoNKn3WGiGxtuLENOWTHiF7M5xitZTlNsrQGDW1IN/SwgtOVhpHj56g1jJJ&#10;tovmFZQ1Knr0Os2Ut2IkkhUhFvPihTb3jQyQuZDUGE6i4/+DVZ/2XyIzNW3CJWdOWpr48dfP4++/&#10;xz8/GPlIoC5gSXn3gTJT/8H3lPzgR3IOvHsd7fAlRoziJO/hJC/0iSlyXs8Xi4IiikIXi6vryyy/&#10;eCwOEdMdeMsGo+KRppdFlfuPmKgRSn1IGd5y/ta0bZ5g6545KHH0QF6BqXrgMfY7WKnf9BO5ja8P&#10;xK2jNag4ft/JCJztQjTbhtrIXMVQQjPITUz7Mgz56Z3sp//I6h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2ymcB1QAAAAgBAAAPAAAAAAAAAAEAIAAAACIAAABkcnMvZG93bnJldi54bWxQSwECFAAU&#10;AAAACACHTuJALLAri7sBAABrAwAADgAAAAAAAAABACAAAAAkAQAAZHJzL2Uyb0RvYy54bWxQSwUG&#10;AAAAAAYABgBZAQAAUQUAAAAA&#10;">
                <v:fill on="f" focussize="0,0"/>
                <v:stroke on="f"/>
                <v:imagedata o:title=""/>
                <o:lock v:ext="edit" aspectratio="f"/>
                <v:textbox>
                  <w:txbxContent>
                    <w:p w14:paraId="0BA37997">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图纸错漏的改正</w:t>
                      </w:r>
                    </w:p>
                  </w:txbxContent>
                </v:textbox>
              </v:shape>
            </w:pict>
          </mc:Fallback>
        </mc:AlternateContent>
      </w:r>
      <w:r>
        <w:rPr>
          <w:rFonts w:hint="default" w:ascii="Times New Roman" w:hAnsi="Times New Roman" w:cs="Times New Roman"/>
          <w:color w:val="auto"/>
          <w:sz w:val="22"/>
          <w:szCs w:val="22"/>
          <w:highlight w:val="none"/>
        </w:rPr>
        <w:t>承包人发现发包人提供的施工设计图纸存在明显错漏或疏忽，应及时书面通知发包人和监理工程师。发包人收到书面通知后应及时予以答复，并通知设计人予以改正。因发包人未及时答复等原因造成承包人损失的，发包人应予赔偿。</w:t>
      </w:r>
    </w:p>
    <w:p w14:paraId="554AB441">
      <w:pPr>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5.5  </w:t>
      </w:r>
      <w:r>
        <w:rPr>
          <w:rFonts w:hint="default" w:ascii="Times New Roman" w:hAnsi="Times New Roman" w:cs="Times New Roman"/>
          <w:b/>
          <w:bCs/>
          <w:color w:val="auto"/>
          <w:sz w:val="22"/>
          <w:szCs w:val="22"/>
          <w:highlight w:val="none"/>
          <w:u w:val="dotted"/>
        </w:rPr>
        <w:t xml:space="preserve">                                                                                                       </w:t>
      </w:r>
    </w:p>
    <w:p w14:paraId="42412E0C">
      <w:pPr>
        <w:tabs>
          <w:tab w:val="left" w:pos="4970"/>
        </w:tabs>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671552" behindDoc="0" locked="0" layoutInCell="1" allowOverlap="1">
                <wp:simplePos x="0" y="0"/>
                <wp:positionH relativeFrom="column">
                  <wp:posOffset>-114300</wp:posOffset>
                </wp:positionH>
                <wp:positionV relativeFrom="paragraph">
                  <wp:posOffset>0</wp:posOffset>
                </wp:positionV>
                <wp:extent cx="914400" cy="64897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914400" cy="648970"/>
                        </a:xfrm>
                        <a:prstGeom prst="rect">
                          <a:avLst/>
                        </a:prstGeom>
                        <a:noFill/>
                        <a:ln>
                          <a:noFill/>
                        </a:ln>
                        <a:effectLst/>
                      </wps:spPr>
                      <wps:txbx>
                        <w:txbxContent>
                          <w:p w14:paraId="2DC04839">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图纸的使用与退还</w:t>
                            </w:r>
                          </w:p>
                        </w:txbxContent>
                      </wps:txbx>
                      <wps:bodyPr wrap="square" upright="1"/>
                    </wps:wsp>
                  </a:graphicData>
                </a:graphic>
              </wp:anchor>
            </w:drawing>
          </mc:Choice>
          <mc:Fallback>
            <w:pict>
              <v:shape id="_x0000_s1026" o:spid="_x0000_s1026" o:spt="202" type="#_x0000_t202" style="position:absolute;left:0pt;margin-left:-9pt;margin-top:0pt;height:51.1pt;width:72pt;z-index:251671552;mso-width-relative:page;mso-height-relative:page;" filled="f" stroked="f" coordsize="21600,21600" o:gfxdata="UEsDBAoAAAAAAIdO4kAAAAAAAAAAAAAAAAAEAAAAZHJzL1BLAwQUAAAACACHTuJA9spnAdUAAAAI&#10;AQAADwAAAGRycy9kb3ducmV2LnhtbE2PT0/DMAzF70h8h8hIu21JK5hGqbsDiCsT44/ELWu8tqJx&#10;qiZby7fHO8HFetaznn+v3M6+V2caYxcYIVsZUMR1cB03CO9vz8sNqJgsO9sHJoQfirCtrq9KW7gw&#10;8Sud96lREsKxsAhtSkOhdaxb8jauwkAs3jGM3iZZx0a70U4S7nudG7PW3nYsH1o70GNL9ff+5BE+&#10;Xo5fn7dm1zz5u2EKs9Hs7zXi4iYzD6ASzenvGC74gg6VMB3CiV1UPcIy20iXhCDzYudrEQcRJs9B&#10;V6X+X6D6BVBLAwQUAAAACACHTuJAMk36bbsBAABrAwAADgAAAGRycy9lMm9Eb2MueG1srVNLbtsw&#10;EN0XyB0I7mPKgZGPYDlAYKSboimQ9gA0NbII8BcObckXaG/QVTfd91w+R0eU4qbpJotuqOF8Hue9&#10;GS1ve2vYHiJq7yo+nxWcgVO+1m5b8S+f78+vOcMkXS2Nd1DxAyC/XZ29W3ahhAvfelNDZATisOxC&#10;xduUQikEqhasxJkP4CjY+GhlomvcijrKjtCtERdFcSk6H+sQvQJE8q7HIJ8Q41sAfdNoBWuvdhZc&#10;GlEjGJmIErY6IF/lbpsGVHpoGoTETMWJaconPUL2ZjjFainLbZSh1WpqQb6lhVecrNSOHj1BrWWS&#10;bBf1P1BWq+jRN2mmvBUjkawIsZgXr7R5bGWAzIWkxnASHf8frPq4/xSZrmkTaO5OWpr48fu3449f&#10;x59fGflIoC5gSXmPgTJTf+d7Sn72IzkH3n0T7fAlRoziJO/hJC/0iSly3swXi4IiikKXi+ubqyy/&#10;+FMcIqb34C0bjIpHml4WVe4/YKJGKPU5ZXjL+XttTJ6gcX85KHH0QF6BqXrgMfY7WKnf9BO5ja8P&#10;xK2jNag4Pu1kBM52IeptS21krmIooRnkJqZ9GYb88k72y39k9R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2ymcB1QAAAAgBAAAPAAAAAAAAAAEAIAAAACIAAABkcnMvZG93bnJldi54bWxQSwECFAAU&#10;AAAACACHTuJAMk36bbsBAABrAwAADgAAAAAAAAABACAAAAAkAQAAZHJzL2Uyb0RvYy54bWxQSwUG&#10;AAAAAAYABgBZAQAAUQUAAAAA&#10;">
                <v:fill on="f" focussize="0,0"/>
                <v:stroke on="f"/>
                <v:imagedata o:title=""/>
                <o:lock v:ext="edit" aspectratio="f"/>
                <v:textbox>
                  <w:txbxContent>
                    <w:p w14:paraId="2DC04839">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图纸的使用与退还</w:t>
                      </w:r>
                    </w:p>
                  </w:txbxContent>
                </v:textbox>
              </v:shape>
            </w:pict>
          </mc:Fallback>
        </mc:AlternateContent>
      </w:r>
      <w:r>
        <w:rPr>
          <w:rFonts w:hint="default" w:ascii="Times New Roman" w:hAnsi="Times New Roman" w:cs="Times New Roman"/>
          <w:color w:val="auto"/>
          <w:sz w:val="22"/>
          <w:szCs w:val="22"/>
          <w:highlight w:val="none"/>
        </w:rPr>
        <w:t>施工期间，承包人和监理工程师均应在施工现场保留一套完整的包括第5.1款、第5.2款、第5.3款规定内容的施工设计图纸供实施合同工程过程需要时使用。本合同终止后，除承包人存档需要的施工设计图纸外，承包人应将全部施工设计图纸退还给发包人。</w:t>
      </w:r>
    </w:p>
    <w:p w14:paraId="5605FB1D">
      <w:pPr>
        <w:tabs>
          <w:tab w:val="left" w:pos="1620"/>
        </w:tabs>
        <w:spacing w:line="420" w:lineRule="exact"/>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2C27CF24">
      <w:pPr>
        <w:pStyle w:val="5"/>
        <w:numPr>
          <w:ilvl w:val="0"/>
          <w:numId w:val="0"/>
        </w:numPr>
        <w:tabs>
          <w:tab w:val="left" w:pos="360"/>
          <w:tab w:val="left" w:pos="420"/>
          <w:tab w:val="left" w:pos="1287"/>
        </w:tabs>
        <w:spacing w:line="420" w:lineRule="exact"/>
        <w:rPr>
          <w:rFonts w:hint="default" w:ascii="Times New Roman" w:hAnsi="Times New Roman" w:cs="Times New Roman"/>
          <w:color w:val="auto"/>
          <w:sz w:val="22"/>
          <w:szCs w:val="22"/>
          <w:highlight w:val="none"/>
        </w:rPr>
      </w:pPr>
      <w:bookmarkStart w:id="96" w:name="_Toc469383985"/>
      <w:bookmarkStart w:id="97" w:name="_Toc28225"/>
      <w:r>
        <w:rPr>
          <w:rFonts w:hint="default" w:ascii="Times New Roman" w:hAnsi="Times New Roman" w:cs="Times New Roman"/>
          <w:color w:val="auto"/>
          <w:sz w:val="22"/>
          <w:szCs w:val="22"/>
          <w:highlight w:val="none"/>
        </w:rPr>
        <w:t>6  通讯联络</w:t>
      </w:r>
      <w:bookmarkEnd w:id="96"/>
      <w:bookmarkEnd w:id="97"/>
    </w:p>
    <w:p w14:paraId="41D513E6">
      <w:pPr>
        <w:pStyle w:val="15"/>
        <w:spacing w:line="420" w:lineRule="exact"/>
        <w:ind w:right="-238"/>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6.1   </w:t>
      </w:r>
    </w:p>
    <w:p w14:paraId="3A233DC2">
      <w:pPr>
        <w:tabs>
          <w:tab w:val="left" w:pos="1620"/>
        </w:tabs>
        <w:spacing w:line="420" w:lineRule="exact"/>
        <w:ind w:left="1977" w:hanging="1977" w:hangingChars="895"/>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 xml:space="preserve">通讯形式     </w:t>
      </w:r>
      <w:r>
        <w:rPr>
          <w:rFonts w:hint="default" w:ascii="Times New Roman" w:hAnsi="Times New Roman" w:cs="Times New Roman"/>
          <w:color w:val="auto"/>
          <w:sz w:val="22"/>
          <w:szCs w:val="22"/>
          <w:highlight w:val="none"/>
        </w:rPr>
        <w:t>本合同中无论何处涉及到各方之间的申请、批准、确认、同意、决定、核实、通知、</w:t>
      </w:r>
    </w:p>
    <w:p w14:paraId="6B109F75">
      <w:pPr>
        <w:tabs>
          <w:tab w:val="left" w:pos="1620"/>
        </w:tabs>
        <w:spacing w:line="420" w:lineRule="exact"/>
        <w:ind w:left="1977" w:hanging="1977" w:hangingChars="895"/>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 xml:space="preserve">             </w:t>
      </w:r>
      <w:r>
        <w:rPr>
          <w:rFonts w:hint="default" w:ascii="Times New Roman" w:hAnsi="Times New Roman" w:cs="Times New Roman"/>
          <w:color w:val="auto"/>
          <w:sz w:val="22"/>
          <w:szCs w:val="22"/>
          <w:highlight w:val="none"/>
        </w:rPr>
        <w:t>任命、指令、要求、意见、证明、证件或表示同意、否定等的通讯（含派人面交、</w:t>
      </w:r>
    </w:p>
    <w:p w14:paraId="33C6144E">
      <w:pPr>
        <w:tabs>
          <w:tab w:val="left" w:pos="1620"/>
        </w:tabs>
        <w:spacing w:line="420" w:lineRule="exact"/>
        <w:ind w:left="1969" w:hanging="1968" w:hangingChars="895"/>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 xml:space="preserve">             邮寄、电子传输等），均应采用书面形式，且只有在对方当事人收到后方能生效。</w:t>
      </w:r>
    </w:p>
    <w:p w14:paraId="7878BBAE">
      <w:pPr>
        <w:pStyle w:val="15"/>
        <w:spacing w:line="420" w:lineRule="exact"/>
        <w:ind w:right="-238"/>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6.2  </w:t>
      </w:r>
      <w:r>
        <w:rPr>
          <w:rFonts w:hint="default" w:ascii="Times New Roman" w:hAnsi="Times New Roman" w:cs="Times New Roman"/>
          <w:b/>
          <w:bCs/>
          <w:color w:val="auto"/>
          <w:sz w:val="22"/>
          <w:szCs w:val="22"/>
          <w:highlight w:val="none"/>
          <w:u w:val="dotted"/>
        </w:rPr>
        <w:t xml:space="preserve">                                                                              </w:t>
      </w:r>
    </w:p>
    <w:p w14:paraId="7A2617F3">
      <w:pPr>
        <w:pStyle w:val="15"/>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672576" behindDoc="0" locked="0" layoutInCell="1" allowOverlap="1">
                <wp:simplePos x="0" y="0"/>
                <wp:positionH relativeFrom="column">
                  <wp:posOffset>-114300</wp:posOffset>
                </wp:positionH>
                <wp:positionV relativeFrom="paragraph">
                  <wp:posOffset>0</wp:posOffset>
                </wp:positionV>
                <wp:extent cx="800100" cy="29718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800100" cy="297180"/>
                        </a:xfrm>
                        <a:prstGeom prst="rect">
                          <a:avLst/>
                        </a:prstGeom>
                        <a:noFill/>
                        <a:ln>
                          <a:noFill/>
                        </a:ln>
                        <a:effectLst/>
                      </wps:spPr>
                      <wps:txbx>
                        <w:txbxContent>
                          <w:p w14:paraId="1DB96931">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发送通讯</w:t>
                            </w:r>
                          </w:p>
                        </w:txbxContent>
                      </wps:txbx>
                      <wps:bodyPr wrap="square" upright="1"/>
                    </wps:wsp>
                  </a:graphicData>
                </a:graphic>
              </wp:anchor>
            </w:drawing>
          </mc:Choice>
          <mc:Fallback>
            <w:pict>
              <v:shape id="_x0000_s1026" o:spid="_x0000_s1026" o:spt="202" type="#_x0000_t202" style="position:absolute;left:0pt;margin-left:-9pt;margin-top:0pt;height:23.4pt;width:63pt;z-index:251672576;mso-width-relative:page;mso-height-relative:page;" filled="f" stroked="f" coordsize="21600,21600" o:gfxdata="UEsDBAoAAAAAAIdO4kAAAAAAAAAAAAAAAAAEAAAAZHJzL1BLAwQUAAAACACHTuJAfzvT69QAAAAH&#10;AQAADwAAAGRycy9kb3ducmV2LnhtbE2PzU7DMBCE70i8g7VI3Fo7qFQhZNMDiCuI8iNxc+NtEhGv&#10;o9htwtuzOcFlpNGsZr4td7Pv1ZnG2AVGyNYGFHEdXMcNwvvb0yoHFZNlZ/vAhPBDEXbV5UVpCxcm&#10;fqXzPjVKSjgWFqFNaSi0jnVL3sZ1GIglO4bR2yR2bLQb7STlvtc3xmy1tx3LQmsHemip/t6fPMLH&#10;8/Hrc2Nemkd/O0xhNpr9nUa8vsrMPahEc/o7hgVf0KESpkM4sYuqR1hlufySEESX2Cz2gLDZ5qCr&#10;Uv/nr34BUEsDBBQAAAAIAIdO4kC9B85LugEAAGsDAAAOAAAAZHJzL2Uyb0RvYy54bWytU0tu2zAQ&#10;3RfoHQjua8petI5gOUBgpJuiLZD0ADQ1sgjwVw5tyRdob5BVNt33XD5HRpTipOkmi2yo4Xwe570Z&#10;rS57a9gBImrvKj6fFZyBU77WblfxH7fXH5acYZKulsY7qPgRkF+u379bdaGEhW+9qSEyAnFYdqHi&#10;bUqhFAJVC1bizAdwFGx8tDLRNe5EHWVH6NaIRVF8FJ2PdYheASJ5N2OQT4jxNYC+abSCjVd7Cy6N&#10;qBGMTEQJWx2Qr3O3TQMqfWsahMRMxYlpyic9QvZ2OMV6JctdlKHVampBvqaFF5ys1I4ePUNtZJJs&#10;H/V/UFar6NE3aaa8FSORrAixmBcvtLlpZYDMhaTGcBYd3w5WfT18j0zXtAkXnDlpaeKnu9+n+7+n&#10;P78Y+UigLmBJeTeBMlN/5XtKfvQjOQfefRPt8CVGjOIk7/EsL/SJKXIuC6JIEUWhxcWn+TLLL56K&#10;Q8T0Gbxlg1HxSNPLosrDF0zUCKU+pgxvOX+tjckTNO4fByWOHsgrMFUPPMZ+Byv1234it/X1kbh1&#10;tAYVx597GYGzfYh611IbmasYSmgGuYlpX4YhP7+T/fwfWT8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fzvT69QAAAAHAQAADwAAAAAAAAABACAAAAAiAAAAZHJzL2Rvd25yZXYueG1sUEsBAhQAFAAA&#10;AAgAh07iQL0Hzku6AQAAawMAAA4AAAAAAAAAAQAgAAAAIwEAAGRycy9lMm9Eb2MueG1sUEsFBgAA&#10;AAAGAAYAWQEAAE8FAAAAAA==&#10;">
                <v:fill on="f" focussize="0,0"/>
                <v:stroke on="f"/>
                <v:imagedata o:title=""/>
                <o:lock v:ext="edit" aspectratio="f"/>
                <v:textbox>
                  <w:txbxContent>
                    <w:p w14:paraId="1DB96931">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发送通讯</w:t>
                      </w:r>
                    </w:p>
                  </w:txbxContent>
                </v:textbox>
              </v:shape>
            </w:pict>
          </mc:Fallback>
        </mc:AlternateContent>
      </w:r>
      <w:r>
        <w:rPr>
          <w:rFonts w:hint="default" w:ascii="Times New Roman" w:hAnsi="Times New Roman" w:cs="Times New Roman"/>
          <w:color w:val="auto"/>
          <w:sz w:val="22"/>
          <w:szCs w:val="22"/>
          <w:highlight w:val="none"/>
        </w:rPr>
        <w:t>合同中无论何处涉及到各方之间的通讯都不应无理</w:t>
      </w:r>
      <w:r>
        <w:rPr>
          <w:rFonts w:hint="default" w:ascii="Times New Roman" w:hAnsi="Times New Roman" w:cs="Times New Roman"/>
          <w:color w:val="auto"/>
          <w:sz w:val="22"/>
          <w:szCs w:val="22"/>
          <w:highlight w:val="none"/>
          <w:lang w:eastAsia="zh-CN"/>
        </w:rPr>
        <w:t>扣押</w:t>
      </w:r>
      <w:r>
        <w:rPr>
          <w:rFonts w:hint="default" w:ascii="Times New Roman" w:hAnsi="Times New Roman" w:cs="Times New Roman"/>
          <w:color w:val="auto"/>
          <w:sz w:val="22"/>
          <w:szCs w:val="22"/>
          <w:highlight w:val="none"/>
        </w:rPr>
        <w:t>或拖延。合同双方当事人</w:t>
      </w:r>
    </w:p>
    <w:p w14:paraId="0699EDBF">
      <w:pPr>
        <w:pStyle w:val="15"/>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应在专用条款中约定各方通讯地址和收件人，并按照约定期限内送达指定地点和接收人。</w:t>
      </w:r>
    </w:p>
    <w:p w14:paraId="4B833BD0">
      <w:pPr>
        <w:pStyle w:val="15"/>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收件人应在通讯回执上签署姓名和时间。一方当事人拒绝签收另一方当事人通讯，另一方当事人以特快专递、挂号信等专用条款约定的方式将通讯送至通讯地址的，视为送达。</w:t>
      </w:r>
    </w:p>
    <w:p w14:paraId="7E1E1389">
      <w:pPr>
        <w:adjustRightInd w:val="0"/>
        <w:snapToGrid w:val="0"/>
        <w:spacing w:line="420" w:lineRule="exact"/>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09776387">
      <w:pPr>
        <w:pStyle w:val="5"/>
        <w:numPr>
          <w:ilvl w:val="0"/>
          <w:numId w:val="0"/>
        </w:numPr>
        <w:tabs>
          <w:tab w:val="left" w:pos="360"/>
          <w:tab w:val="left" w:pos="420"/>
          <w:tab w:val="left" w:pos="1287"/>
        </w:tabs>
        <w:spacing w:line="420" w:lineRule="exact"/>
        <w:rPr>
          <w:rFonts w:hint="default" w:ascii="Times New Roman" w:hAnsi="Times New Roman" w:cs="Times New Roman"/>
          <w:color w:val="auto"/>
          <w:sz w:val="22"/>
          <w:szCs w:val="22"/>
          <w:highlight w:val="none"/>
        </w:rPr>
      </w:pPr>
      <w:bookmarkStart w:id="98" w:name="_Toc11740"/>
      <w:bookmarkStart w:id="99" w:name="_Toc469383986"/>
      <w:r>
        <w:rPr>
          <w:rFonts w:hint="default" w:ascii="Times New Roman" w:hAnsi="Times New Roman" w:cs="Times New Roman"/>
          <w:color w:val="auto"/>
          <w:sz w:val="22"/>
          <w:szCs w:val="22"/>
          <w:highlight w:val="none"/>
        </w:rPr>
        <w:t>7  工程分包</w:t>
      </w:r>
      <w:bookmarkEnd w:id="98"/>
      <w:bookmarkEnd w:id="99"/>
    </w:p>
    <w:p w14:paraId="3095A439">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673600" behindDoc="0" locked="0" layoutInCell="1" allowOverlap="1">
                <wp:simplePos x="0" y="0"/>
                <wp:positionH relativeFrom="column">
                  <wp:posOffset>-114300</wp:posOffset>
                </wp:positionH>
                <wp:positionV relativeFrom="paragraph">
                  <wp:posOffset>212090</wp:posOffset>
                </wp:positionV>
                <wp:extent cx="1028700" cy="450215"/>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028700" cy="450215"/>
                        </a:xfrm>
                        <a:prstGeom prst="rect">
                          <a:avLst/>
                        </a:prstGeom>
                        <a:noFill/>
                        <a:ln>
                          <a:noFill/>
                        </a:ln>
                        <a:effectLst/>
                      </wps:spPr>
                      <wps:txbx>
                        <w:txbxContent>
                          <w:p w14:paraId="034CAF76">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分包工程的要</w:t>
                            </w:r>
                          </w:p>
                          <w:p w14:paraId="529BE0CC">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求</w:t>
                            </w:r>
                          </w:p>
                        </w:txbxContent>
                      </wps:txbx>
                      <wps:bodyPr wrap="square" upright="1"/>
                    </wps:wsp>
                  </a:graphicData>
                </a:graphic>
              </wp:anchor>
            </w:drawing>
          </mc:Choice>
          <mc:Fallback>
            <w:pict>
              <v:shape id="_x0000_s1026" o:spid="_x0000_s1026" o:spt="202" type="#_x0000_t202" style="position:absolute;left:0pt;margin-left:-9pt;margin-top:16.7pt;height:35.45pt;width:81pt;z-index:251673600;mso-width-relative:page;mso-height-relative:page;" filled="f" stroked="f" coordsize="21600,21600" o:gfxdata="UEsDBAoAAAAAAIdO4kAAAAAAAAAAAAAAAAAEAAAAZHJzL1BLAwQUAAAACACHTuJAEnQ7VdcAAAAK&#10;AQAADwAAAGRycy9kb3ducmV2LnhtbE2PQU/DMAyF70j8h8hI3LakNKCtNN0BxBXEBki7ZY3XVjRO&#10;1WRr+fd4J7jZfk/P3ys3s+/FGcfYBTKQLRUIpDq4jhoDH7uXxQpETJac7QOhgR+MsKmur0pbuDDR&#10;O563qREcQrGwBtqUhkLKWLfobVyGAYm1Yxi9TbyOjXSjnTjc9/JOqQfpbUf8obUDPrVYf29P3sDn&#10;63H/pdVb8+zvhynMSpJfS2NubzL1CCLhnP7McMFndKiY6RBO5KLoDSyyFXdJBvJcg7gYtObDgQel&#10;c5BVKf9XqH4BUEsDBBQAAAAIAIdO4kAscwkQuwEAAGwDAAAOAAAAZHJzL2Uyb0RvYy54bWytU0tu&#10;2zAQ3RfoHQjua8pC0waC5QCFkW6CtEDaA9DU0CIgfsqhLfkC7Q26yib7nsvn6FBS3DTdZNENNZzP&#10;47w3o9XVYDt2gIjGu5ovFwVn4JRvjNvV/OuX6zeXnGGSrpGdd1DzIyC/Wr9+tepDBaVvfddAZATi&#10;sOpDzduUQiUEqhasxIUP4CiofbQy0TXuRBNlT+i2E2VRvBO9j02IXgEieTdTkM+I8SWAXmujYOPV&#10;3oJLE2qETiaihK0JyNdjt1qDSp+0RkisqzkxTeNJj5C9zadYr2S1izK0Rs0tyJe08IyTlcbRo2eo&#10;jUyS7aP5B8oaFT16nRbKWzERGRUhFsvimTZ3rQwwciGpMZxFx/8Hq24PnyMzTc3LkjMnLU389PPH&#10;6f7X6eE7Ix8J1AesKO8uUGYaPviB1ubRj+TMvAcdbf4SI0Zxkvd4lheGxFQuKsrL9wWFFMXeXhTl&#10;8iLDiD/VIWL6CN6ybNQ80vhGVeXhBtOU+piSH3P+2nTdOMLO/eUgzMkD4w7M1ZnI1HC20rAdZnZb&#10;3xyJXE97UHP8tpcRONuHaHYttTGSFbmEhjD2Oy9MnvLTO9lPf5L1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BJ0O1XXAAAACgEAAA8AAAAAAAAAAQAgAAAAIgAAAGRycy9kb3ducmV2LnhtbFBLAQIU&#10;ABQAAAAIAIdO4kAscwkQuwEAAGwDAAAOAAAAAAAAAAEAIAAAACYBAABkcnMvZTJvRG9jLnhtbFBL&#10;BQYAAAAABgAGAFkBAABTBQAAAAA=&#10;">
                <v:fill on="f" focussize="0,0"/>
                <v:stroke on="f"/>
                <v:imagedata o:title=""/>
                <o:lock v:ext="edit" aspectratio="f"/>
                <v:textbox>
                  <w:txbxContent>
                    <w:p w14:paraId="034CAF76">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分包工程的要</w:t>
                      </w:r>
                    </w:p>
                    <w:p w14:paraId="529BE0CC">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求</w:t>
                      </w:r>
                    </w:p>
                  </w:txbxContent>
                </v:textbox>
              </v:shape>
            </w:pict>
          </mc:Fallback>
        </mc:AlternateContent>
      </w:r>
      <w:r>
        <w:rPr>
          <w:rFonts w:hint="default" w:ascii="Times New Roman" w:hAnsi="Times New Roman" w:cs="Times New Roman"/>
          <w:b/>
          <w:bCs/>
          <w:color w:val="auto"/>
          <w:sz w:val="22"/>
          <w:szCs w:val="22"/>
          <w:highlight w:val="none"/>
        </w:rPr>
        <w:t xml:space="preserve">7.1   </w:t>
      </w:r>
    </w:p>
    <w:p w14:paraId="04DEBB66">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承包人应自己实施、完成合同工程的主体结构。承包人不得将其承包的全部工程或将其肢解后以分包的名义转包给第三方，也不得将合同工程主体结构、关键性工作分包给第三方。</w:t>
      </w:r>
    </w:p>
    <w:p w14:paraId="18E43E28">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674624" behindDoc="0" locked="0" layoutInCell="1" allowOverlap="1">
                <wp:simplePos x="0" y="0"/>
                <wp:positionH relativeFrom="column">
                  <wp:posOffset>-114300</wp:posOffset>
                </wp:positionH>
                <wp:positionV relativeFrom="paragraph">
                  <wp:posOffset>121920</wp:posOffset>
                </wp:positionV>
                <wp:extent cx="1028700" cy="7874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1028700" cy="787400"/>
                        </a:xfrm>
                        <a:prstGeom prst="rect">
                          <a:avLst/>
                        </a:prstGeom>
                        <a:noFill/>
                        <a:ln>
                          <a:noFill/>
                        </a:ln>
                        <a:effectLst/>
                      </wps:spPr>
                      <wps:txbx>
                        <w:txbxContent>
                          <w:p w14:paraId="27230BD3">
                            <w:pPr>
                              <w:spacing w:line="240" w:lineRule="exact"/>
                              <w:rPr>
                                <w:rFonts w:ascii="楷体_GB2312" w:hAnsi="宋体" w:eastAsia="楷体_GB2312" w:cs="Times New Roman"/>
                                <w:b/>
                                <w:bCs/>
                                <w:color w:val="000000"/>
                                <w:sz w:val="18"/>
                                <w:szCs w:val="18"/>
                              </w:rPr>
                            </w:pPr>
                          </w:p>
                          <w:p w14:paraId="6A89A61A">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分包工程的批</w:t>
                            </w:r>
                          </w:p>
                          <w:p w14:paraId="66095A9E">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准</w:t>
                            </w:r>
                          </w:p>
                        </w:txbxContent>
                      </wps:txbx>
                      <wps:bodyPr wrap="square" upright="1"/>
                    </wps:wsp>
                  </a:graphicData>
                </a:graphic>
              </wp:anchor>
            </w:drawing>
          </mc:Choice>
          <mc:Fallback>
            <w:pict>
              <v:shape id="_x0000_s1026" o:spid="_x0000_s1026" o:spt="202" type="#_x0000_t202" style="position:absolute;left:0pt;margin-left:-9pt;margin-top:9.6pt;height:62pt;width:81pt;z-index:251674624;mso-width-relative:page;mso-height-relative:page;" filled="f" stroked="f" coordsize="21600,21600" o:gfxdata="UEsDBAoAAAAAAIdO4kAAAAAAAAAAAAAAAAAEAAAAZHJzL1BLAwQUAAAACACHTuJA4zi1L9cAAAAK&#10;AQAADwAAAGRycy9kb3ducmV2LnhtbE2PzU7DMBCE70i8g7VIvbV20oDaEKcHUK9FlB+Jmxtvk4h4&#10;HcVuE96ezQluuzuj2W+K3eQ6ccUhtJ40JCsFAqnytqVaw/vbfrkBEaIhazpPqOEHA+zK25vC5NaP&#10;9IrXY6wFh1DIjYYmxj6XMlQNOhNWvkdi7ewHZyKvQy3tYEYOd51MlXqQzrTEHxrT41OD1ffx4jR8&#10;HM5fn5l6qZ/dfT/6SUlyW6n14i5RjyAiTvHPDDM+o0PJTCd/IRtEp2GZbLhLZGGbgpgNWcaH0zys&#10;U5BlIf9XKH8BUEsDBBQAAAAIAIdO4kBruNUuuwEAAGwDAAAOAAAAZHJzL2Uyb0RvYy54bWytU0tu&#10;2zAQ3RfoHQjuYypOERuC5QCFkW6KpkDaA9DUyCLAXzm0JV+gvUFX3XTfc/kcHUqKmyabLLKhhvN5&#10;nPdmtLrprWEHiKi9q/jlrOAMnPK1druKf/1ye7HkDJN0tTTeQcWPgPxm/fbNqgslzH3rTQ2REYjD&#10;sgsVb1MKpRCoWrASZz6Ao2Djo5WJrnEn6ig7QrdGzIviWnQ+1iF6BYjk3YxBPiHGlwD6ptEKNl7t&#10;Lbg0okYwMhElbHVAvh66bRpQ6a5pEBIzFSemaTjpEbK3+RTrlSx3UYZWq6kF+ZIWnnCyUjt69Ay1&#10;kUmyfdTPoKxW0aNv0kx5K0YigyLE4rJ4os19KwMMXEhqDGfR8fVg1afD58h0XfH5FWdOWpr46eeP&#10;068/p9/fGflIoC5gSXn3gTJT/973tDYPfiRn5t030eYvMWIUJ3mPZ3mhT0zlomK+XBQUUhRbLBfv&#10;yCZ48a86REwfwFuWjYpHGt+gqjx8xDSmPqTkx5y/1cYMIzTuPwdhjh4YdmCqzkTGhrOV+m0/sdv6&#10;+kjkOtqDiuO3vYzA2T5EvWupjYGsyCU0hKHfaWHylB/fyX78k6z/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OM4tS/XAAAACgEAAA8AAAAAAAAAAQAgAAAAIgAAAGRycy9kb3ducmV2LnhtbFBLAQIU&#10;ABQAAAAIAIdO4kBruNUuuwEAAGwDAAAOAAAAAAAAAAEAIAAAACYBAABkcnMvZTJvRG9jLnhtbFBL&#10;BQYAAAAABgAGAFkBAABTBQAAAAA=&#10;">
                <v:fill on="f" focussize="0,0"/>
                <v:stroke on="f"/>
                <v:imagedata o:title=""/>
                <o:lock v:ext="edit" aspectratio="f"/>
                <v:textbox>
                  <w:txbxContent>
                    <w:p w14:paraId="27230BD3">
                      <w:pPr>
                        <w:spacing w:line="240" w:lineRule="exact"/>
                        <w:rPr>
                          <w:rFonts w:ascii="楷体_GB2312" w:hAnsi="宋体" w:eastAsia="楷体_GB2312" w:cs="Times New Roman"/>
                          <w:b/>
                          <w:bCs/>
                          <w:color w:val="000000"/>
                          <w:sz w:val="18"/>
                          <w:szCs w:val="18"/>
                        </w:rPr>
                      </w:pPr>
                    </w:p>
                    <w:p w14:paraId="6A89A61A">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分包工程的批</w:t>
                      </w:r>
                    </w:p>
                    <w:p w14:paraId="66095A9E">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准</w:t>
                      </w:r>
                    </w:p>
                  </w:txbxContent>
                </v:textbox>
              </v:shape>
            </w:pict>
          </mc:Fallback>
        </mc:AlternateContent>
      </w:r>
      <w:r>
        <w:rPr>
          <w:rFonts w:hint="default" w:ascii="Times New Roman" w:hAnsi="Times New Roman" w:cs="Times New Roman"/>
          <w:b/>
          <w:bCs/>
          <w:color w:val="auto"/>
          <w:sz w:val="22"/>
          <w:szCs w:val="22"/>
          <w:highlight w:val="none"/>
        </w:rPr>
        <w:t xml:space="preserve">7.2  </w:t>
      </w:r>
      <w:r>
        <w:rPr>
          <w:rFonts w:hint="default" w:ascii="Times New Roman" w:hAnsi="Times New Roman" w:cs="Times New Roman"/>
          <w:b/>
          <w:bCs/>
          <w:color w:val="auto"/>
          <w:sz w:val="22"/>
          <w:szCs w:val="22"/>
          <w:highlight w:val="none"/>
          <w:u w:val="dotted"/>
        </w:rPr>
        <w:t xml:space="preserve">                                                                              </w:t>
      </w:r>
      <w:r>
        <w:rPr>
          <w:rFonts w:hint="default" w:ascii="Times New Roman" w:hAnsi="Times New Roman" w:cs="Times New Roman"/>
          <w:b/>
          <w:bCs/>
          <w:color w:val="auto"/>
          <w:sz w:val="22"/>
          <w:szCs w:val="22"/>
          <w:highlight w:val="none"/>
        </w:rPr>
        <w:t xml:space="preserve">             </w:t>
      </w:r>
    </w:p>
    <w:p w14:paraId="36313D5C">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承包人可依法将部分工程分包给具有相应分包资质的分包人，但未经发包人同意，承包人不得将工程的任何部分或任何工作分包给第三方。下列情况则属例外：</w:t>
      </w:r>
    </w:p>
    <w:p w14:paraId="274765F3">
      <w:pPr>
        <w:pStyle w:val="15"/>
        <w:numPr>
          <w:ilvl w:val="0"/>
          <w:numId w:val="6"/>
        </w:numPr>
        <w:adjustRightInd w:val="0"/>
        <w:snapToGrid w:val="0"/>
        <w:spacing w:line="420" w:lineRule="exact"/>
        <w:ind w:firstLine="54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施工劳务作业分包；</w:t>
      </w:r>
    </w:p>
    <w:p w14:paraId="29BD0701">
      <w:pPr>
        <w:pStyle w:val="15"/>
        <w:numPr>
          <w:ilvl w:val="0"/>
          <w:numId w:val="6"/>
        </w:numPr>
        <w:adjustRightInd w:val="0"/>
        <w:snapToGrid w:val="0"/>
        <w:spacing w:line="420" w:lineRule="exact"/>
        <w:ind w:firstLine="54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按照合同约定的标准购买材料和工程设备；</w:t>
      </w:r>
    </w:p>
    <w:p w14:paraId="7009CC25">
      <w:pPr>
        <w:pStyle w:val="15"/>
        <w:numPr>
          <w:ilvl w:val="0"/>
          <w:numId w:val="6"/>
        </w:numPr>
        <w:adjustRightInd w:val="0"/>
        <w:snapToGrid w:val="0"/>
        <w:spacing w:line="420" w:lineRule="exact"/>
        <w:ind w:left="1077" w:firstLine="539"/>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合同中已指定的分包工程。</w:t>
      </w:r>
    </w:p>
    <w:p w14:paraId="6BCC58E9">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7.3  </w:t>
      </w:r>
      <w:r>
        <w:rPr>
          <w:rFonts w:hint="default" w:ascii="Times New Roman" w:hAnsi="Times New Roman" w:cs="Times New Roman"/>
          <w:b/>
          <w:bCs/>
          <w:color w:val="auto"/>
          <w:sz w:val="22"/>
          <w:szCs w:val="22"/>
          <w:highlight w:val="none"/>
          <w:u w:val="dotted"/>
        </w:rPr>
        <w:t xml:space="preserve">                                                                                                        </w:t>
      </w:r>
    </w:p>
    <w:p w14:paraId="7A146CD6">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675648" behindDoc="0" locked="0" layoutInCell="1" allowOverlap="1">
                <wp:simplePos x="0" y="0"/>
                <wp:positionH relativeFrom="column">
                  <wp:posOffset>-114300</wp:posOffset>
                </wp:positionH>
                <wp:positionV relativeFrom="paragraph">
                  <wp:posOffset>0</wp:posOffset>
                </wp:positionV>
                <wp:extent cx="1028700" cy="305435"/>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028700" cy="305435"/>
                        </a:xfrm>
                        <a:prstGeom prst="rect">
                          <a:avLst/>
                        </a:prstGeom>
                        <a:noFill/>
                        <a:ln>
                          <a:noFill/>
                        </a:ln>
                        <a:effectLst/>
                      </wps:spPr>
                      <wps:txbx>
                        <w:txbxContent>
                          <w:p w14:paraId="5EF5DF6F">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签订分包合同</w:t>
                            </w:r>
                          </w:p>
                        </w:txbxContent>
                      </wps:txbx>
                      <wps:bodyPr wrap="square" upright="1"/>
                    </wps:wsp>
                  </a:graphicData>
                </a:graphic>
              </wp:anchor>
            </w:drawing>
          </mc:Choice>
          <mc:Fallback>
            <w:pict>
              <v:shape id="_x0000_s1026" o:spid="_x0000_s1026" o:spt="202" type="#_x0000_t202" style="position:absolute;left:0pt;margin-left:-9pt;margin-top:0pt;height:24.05pt;width:81pt;z-index:251675648;mso-width-relative:page;mso-height-relative:page;" filled="f" stroked="f" coordsize="21600,21600" o:gfxdata="UEsDBAoAAAAAAIdO4kAAAAAAAAAAAAAAAAAEAAAAZHJzL1BLAwQUAAAACACHTuJAiJN+cNQAAAAH&#10;AQAADwAAAGRycy9kb3ducmV2LnhtbE2PQU/DMAyF70j8h8hI3LakqKBS6u4A4gpiDCRuWeO1FY1T&#10;Ndla/j3eCS7Ws5713udqs/hBnWiKfWCEbG1AETfB9dwi7N6fVwWomCw7OwQmhB+KsKkvLypbujDz&#10;G522qVUSwrG0CF1KY6l1bDryNq7DSCzeIUzeJlmnVrvJzhLuB31jzJ32tmdp6OxIjx0139ujR/h4&#10;OXx95ua1ffK34xwWo9nfa8Trq8w8gEq0pL9jOOMLOtTCtA9HdlENCKuskF8Sgsyzneci9gh5kYGu&#10;K/2fv/4FUEsDBBQAAAAIAIdO4kD9RtJsvAEAAGwDAAAOAAAAZHJzL2Uyb0RvYy54bWytU0tu2zAQ&#10;3RfIHQjuYypO0gaC5QCFkWyCtkCaA9DUyCIgfsqhLfkC7Q266qb7nsvn6JBS3DTZZJENNZzP47w3&#10;o8X1YDq2g4Da2YqfzQrOwCpXa7up+MPXm9MrzjBKW8vOWaj4HpBfL0/eLXpfwty1rqshMAKxWPa+&#10;4m2MvhQCVQtG4sx5sBRsXDAy0jVsRB1kT+imE/OieC96F2ofnAJE8q7GIJ8Qw2sAXdNoBSuntgZs&#10;HFEDdDISJWy1R77M3TYNqPi5aRAi6ypOTGM+6RGy1+kUy4UsN0H6VqupBfmaFp5xMlJbevQItZJR&#10;sm3QL6CMVsGha+JMOSNGIlkRYnFWPNPmvpUeMheSGv1RdHw7WPVp9yUwXVd8fsGZlYYmfvj54/Dr&#10;z+H3d0Y+Eqj3WFLevafMOHx0A63Nox/JmXgPTTDpS4wYxUne/VFeGCJTqaiYX30oKKQodl5cXpxf&#10;Jhjxr9oHjLfgDEtGxQONL6sqd3cYx9THlPSYdTe66/IIO/ufgzBHD+QdmKoTkbHhZMVhPUzs1q7e&#10;E7me9qDi+G0rA3C29UFvWmojkxWphIaQ+50WJk356Z3spz/J8i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CIk35w1AAAAAcBAAAPAAAAAAAAAAEAIAAAACIAAABkcnMvZG93bnJldi54bWxQSwECFAAU&#10;AAAACACHTuJA/UbSbLwBAABsAwAADgAAAAAAAAABACAAAAAjAQAAZHJzL2Uyb0RvYy54bWxQSwUG&#10;AAAAAAYABgBZAQAAUQUAAAAA&#10;">
                <v:fill on="f" focussize="0,0"/>
                <v:stroke on="f"/>
                <v:imagedata o:title=""/>
                <o:lock v:ext="edit" aspectratio="f"/>
                <v:textbox>
                  <w:txbxContent>
                    <w:p w14:paraId="5EF5DF6F">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签订分包合同</w:t>
                      </w:r>
                    </w:p>
                  </w:txbxContent>
                </v:textbox>
              </v:shape>
            </w:pict>
          </mc:Fallback>
        </mc:AlternateContent>
      </w:r>
      <w:r>
        <w:rPr>
          <w:rFonts w:hint="default" w:ascii="Times New Roman" w:hAnsi="Times New Roman" w:cs="Times New Roman"/>
          <w:color w:val="auto"/>
          <w:sz w:val="22"/>
          <w:szCs w:val="22"/>
          <w:highlight w:val="none"/>
        </w:rPr>
        <w:t>承包人分包工程的，应与分包人签订分包合同，并在分包合同签订后的7天内向发包人和监理工程师、造价工程师各提交一份分包合同。承包人有义务禁止分包人将分包工程再次分包。</w:t>
      </w:r>
    </w:p>
    <w:p w14:paraId="2F8B8CDE">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676672" behindDoc="0" locked="0" layoutInCell="1" allowOverlap="1">
                <wp:simplePos x="0" y="0"/>
                <wp:positionH relativeFrom="column">
                  <wp:posOffset>-114300</wp:posOffset>
                </wp:positionH>
                <wp:positionV relativeFrom="paragraph">
                  <wp:posOffset>202565</wp:posOffset>
                </wp:positionV>
                <wp:extent cx="914400" cy="495300"/>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914400" cy="495300"/>
                        </a:xfrm>
                        <a:prstGeom prst="rect">
                          <a:avLst/>
                        </a:prstGeom>
                        <a:noFill/>
                        <a:ln>
                          <a:noFill/>
                        </a:ln>
                        <a:effectLst/>
                      </wps:spPr>
                      <wps:txbx>
                        <w:txbxContent>
                          <w:p w14:paraId="6FB6386E">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分包工程款结算与支付</w:t>
                            </w:r>
                          </w:p>
                        </w:txbxContent>
                      </wps:txbx>
                      <wps:bodyPr wrap="square" upright="1"/>
                    </wps:wsp>
                  </a:graphicData>
                </a:graphic>
              </wp:anchor>
            </w:drawing>
          </mc:Choice>
          <mc:Fallback>
            <w:pict>
              <v:shape id="_x0000_s1026" o:spid="_x0000_s1026" o:spt="202" type="#_x0000_t202" style="position:absolute;left:0pt;margin-left:-9pt;margin-top:15.95pt;height:39pt;width:72pt;z-index:251676672;mso-width-relative:page;mso-height-relative:page;" filled="f" stroked="f" coordsize="21600,21600" o:gfxdata="UEsDBAoAAAAAAIdO4kAAAAAAAAAAAAAAAAAEAAAAZHJzL1BLAwQUAAAACACHTuJA6IBXI9cAAAAK&#10;AQAADwAAAGRycy9kb3ducmV2LnhtbE2PT0/DMAzF70h8h8hI3LakA6a1NN0BxBXE+CNx8xqvrWic&#10;qsnW8u3xTnCz/Z6ef6/czr5XJxpjF9hCtjSgiOvgOm4svL89LTagYkJ22AcmCz8UYVtdXpRYuDDx&#10;K512qVESwrFAC21KQ6F1rFvyGJdhIBbtEEaPSdax0W7EScJ9r1fGrLXHjuVDiwM9tFR/747ewsfz&#10;4evz1rw0j/5umMJsNPtcW3t9lZl7UInm9GeGM76gQyVM+3BkF1VvYZFtpEuycJPloM6G1VoOexlM&#10;noOuSv2/QvULUEsDBBQAAAAIAIdO4kA3y6XmuwEAAGsDAAAOAAAAZHJzL2Uyb0RvYy54bWytU0tu&#10;2zAQ3RfIHQjuY8muUzSC5QCFkW6KtkCaA9DU0CLAXzm0JV+gvUFX3XTfc/kcHUqKk6abLLqhhvN5&#10;nPdmtLrprWEHiKi9q/l8VnIGTvpGu13N77/cXr7lDJNwjTDeQc2PgPxmffFq1YUKFr71poHICMRh&#10;1YWatymFqihQtmAFznwAR0HloxWJrnFXNFF0hG5NsSjLN0XnYxOil4BI3s0Y5BNifAmgV0pL2Hi5&#10;t+DSiBrBiESUsNUB+XroVimQ6ZNSCImZmhPTNJz0CNnbfBbrlah2UYRWy6kF8ZIWnnGyQjt69Ay1&#10;EUmwfdT/QFkto0ev0kx6W4xEBkWIxbx8ps1dKwIMXEhqDGfR8f/Byo+Hz5HppuaLK86csDTx04/v&#10;p5+/T7++MfKRQF3AivLuAmWm/p3vaW0e/EjOzLtX0eYvMWIUJ3mPZ3mhT0yS83q+XJYUkRRaXl+9&#10;JpvQi8fiEDG9B29ZNmoeaXqDqOLwAdOY+pCS33L+VhszTNC4vxyEOXpgWIGpOvMY+81W6rf9RG7r&#10;myNx62gNao5f9yICZ/sQ9a6lNgauRS6hGQz9TvuSh/z0TvbTf2T9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OiAVyPXAAAACgEAAA8AAAAAAAAAAQAgAAAAIgAAAGRycy9kb3ducmV2LnhtbFBLAQIU&#10;ABQAAAAIAIdO4kA3y6XmuwEAAGsDAAAOAAAAAAAAAAEAIAAAACYBAABkcnMvZTJvRG9jLnhtbFBL&#10;BQYAAAAABgAGAFkBAABTBQAAAAA=&#10;">
                <v:fill on="f" focussize="0,0"/>
                <v:stroke on="f"/>
                <v:imagedata o:title=""/>
                <o:lock v:ext="edit" aspectratio="f"/>
                <v:textbox>
                  <w:txbxContent>
                    <w:p w14:paraId="6FB6386E">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分包工程款结算与支付</w:t>
                      </w:r>
                    </w:p>
                  </w:txbxContent>
                </v:textbox>
              </v:shape>
            </w:pict>
          </mc:Fallback>
        </mc:AlternateContent>
      </w:r>
      <w:r>
        <w:rPr>
          <w:rFonts w:hint="default" w:ascii="Times New Roman" w:hAnsi="Times New Roman" w:cs="Times New Roman"/>
          <w:b/>
          <w:bCs/>
          <w:color w:val="auto"/>
          <w:sz w:val="22"/>
          <w:szCs w:val="22"/>
          <w:highlight w:val="none"/>
        </w:rPr>
        <w:t xml:space="preserve">7.4  </w:t>
      </w:r>
      <w:r>
        <w:rPr>
          <w:rFonts w:hint="default" w:ascii="Times New Roman" w:hAnsi="Times New Roman" w:cs="Times New Roman"/>
          <w:b/>
          <w:bCs/>
          <w:color w:val="auto"/>
          <w:sz w:val="22"/>
          <w:szCs w:val="22"/>
          <w:highlight w:val="none"/>
          <w:u w:val="dotted"/>
        </w:rPr>
        <w:t xml:space="preserve">                                                                                                        </w:t>
      </w:r>
    </w:p>
    <w:p w14:paraId="4796B0C6">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分包工程款由承包人与分包人结算。除合同另有约定或取得承包人的同意外，发包人应将分包工程款按专用条款约定的支付方式全部支付给承包人，禁止发包人直接向分包人支付任何工程款。</w:t>
      </w:r>
    </w:p>
    <w:p w14:paraId="3D39F341">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如发包人有要求时，承包人应提供能证明自己已向分包人支付其分包工程款等证明资料。否则，发包人有权直接向分包人支付承包人应支付而未支付的分包工程款，并在承包人得到的工程款中扣除。</w:t>
      </w:r>
    </w:p>
    <w:p w14:paraId="721212F9">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677696" behindDoc="0" locked="0" layoutInCell="1" allowOverlap="1">
                <wp:simplePos x="0" y="0"/>
                <wp:positionH relativeFrom="column">
                  <wp:posOffset>-114300</wp:posOffset>
                </wp:positionH>
                <wp:positionV relativeFrom="paragraph">
                  <wp:posOffset>205105</wp:posOffset>
                </wp:positionV>
                <wp:extent cx="914400" cy="49530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914400" cy="495300"/>
                        </a:xfrm>
                        <a:prstGeom prst="rect">
                          <a:avLst/>
                        </a:prstGeom>
                        <a:noFill/>
                        <a:ln>
                          <a:noFill/>
                        </a:ln>
                        <a:effectLst/>
                      </wps:spPr>
                      <wps:txbx>
                        <w:txbxContent>
                          <w:p w14:paraId="321A2BD7">
                            <w:pPr>
                              <w:rPr>
                                <w:rFonts w:ascii="楷体_GB2312" w:hAnsi="宋体" w:eastAsia="楷体_GB2312" w:cs="Times New Roman"/>
                                <w:sz w:val="18"/>
                                <w:szCs w:val="18"/>
                              </w:rPr>
                            </w:pPr>
                            <w:r>
                              <w:rPr>
                                <w:rFonts w:hint="eastAsia" w:ascii="楷体_GB2312" w:hAnsi="宋体" w:eastAsia="楷体_GB2312" w:cs="楷体_GB2312"/>
                                <w:b/>
                                <w:bCs/>
                                <w:color w:val="000000"/>
                                <w:sz w:val="18"/>
                                <w:szCs w:val="18"/>
                              </w:rPr>
                              <w:t>分包工程责任和义务</w:t>
                            </w:r>
                          </w:p>
                        </w:txbxContent>
                      </wps:txbx>
                      <wps:bodyPr wrap="square" upright="1"/>
                    </wps:wsp>
                  </a:graphicData>
                </a:graphic>
              </wp:anchor>
            </w:drawing>
          </mc:Choice>
          <mc:Fallback>
            <w:pict>
              <v:shape id="_x0000_s1026" o:spid="_x0000_s1026" o:spt="202" type="#_x0000_t202" style="position:absolute;left:0pt;margin-left:-9pt;margin-top:16.15pt;height:39pt;width:72pt;z-index:251677696;mso-width-relative:page;mso-height-relative:page;" filled="f" stroked="f" coordsize="21600,21600" o:gfxdata="UEsDBAoAAAAAAIdO4kAAAAAAAAAAAAAAAAAEAAAAZHJzL1BLAwQUAAAACACHTuJAkHD7ctcAAAAK&#10;AQAADwAAAGRycy9kb3ducmV2LnhtbE2PQU/DMAyF70j7D5EncduStjBtpekOIK4gBpu0W9Z4bUXj&#10;VE22ln+Pd4Kb7ff0/L1iO7lOXHEIrScNyVKBQKq8banW8PX5uliDCNGQNZ0n1PCDAbbl7K4wufUj&#10;feB1F2vBIRRyo6GJsc+lDFWDzoSl75FYO/vBmcjrUEs7mJHDXSdTpVbSmZb4Q2N6fG6w+t5dnIb9&#10;2/l4eFDv9Yt77Ec/KUluI7W+nyfqCUTEKf6Z4YbP6FAy08lfyAbRaVgka+4SNWRpBuJmSFd8OPGQ&#10;qAxkWcj/FcpfUEsDBBQAAAAIAIdO4kAOUOVkuwEAAGsDAAAOAAAAZHJzL2Uyb0RvYy54bWytU0tu&#10;2zAQ3RfIHQjuY8muEzSC5QCFkW6KtEDaA9DU0CLAXzm0JV+gvUFX3XTfc/kcHUqKm6abLLqhhvN5&#10;nPdmtLrtrWEHiKi9q/l8VnIGTvpGu13NP3+6u3zDGSbhGmG8g5ofAfnt+uLVqgsVLHzrTQOREYjD&#10;qgs1b1MKVVGgbMEKnPkAjoLKRysSXeOuaKLoCN2aYlGW10XnYxOil4BI3s0Y5BNifAmgV0pL2Hi5&#10;t+DSiBrBiESUsNUB+XroVimQ6YNSCImZmhPTNJz0CNnbfBbrlah2UYRWy6kF8ZIWnnGyQjt69Ay1&#10;EUmwfdT/QFkto0ev0kx6W4xEBkWIxbx8ps1DKwIMXEhqDGfR8f/ByvvDx8h0U/PFNWdOWJr46fu3&#10;049fp59fGflIoC5gRXkPgTJT/9b3tDaPfiRn5t2raPOXGDGKk7zHs7zQJybJeTNfLkuKSAotb65e&#10;k03oxZ/iEDG9A29ZNmoeaXqDqOLwHtOY+piS33L+ThszTNC4vxyEOXpgWIGpOvMY+81W6rf9RG7r&#10;myNx62gNao5f9iICZ/sQ9a6lNgauRS6hGQz9TvuSh/z0TvbTf2T9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Bw+3LXAAAACgEAAA8AAAAAAAAAAQAgAAAAIgAAAGRycy9kb3ducmV2LnhtbFBLAQIU&#10;ABQAAAAIAIdO4kAOUOVkuwEAAGsDAAAOAAAAAAAAAAEAIAAAACYBAABkcnMvZTJvRG9jLnhtbFBL&#10;BQYAAAAABgAGAFkBAABTBQAAAAA=&#10;">
                <v:fill on="f" focussize="0,0"/>
                <v:stroke on="f"/>
                <v:imagedata o:title=""/>
                <o:lock v:ext="edit" aspectratio="f"/>
                <v:textbox>
                  <w:txbxContent>
                    <w:p w14:paraId="321A2BD7">
                      <w:pPr>
                        <w:rPr>
                          <w:rFonts w:ascii="楷体_GB2312" w:hAnsi="宋体" w:eastAsia="楷体_GB2312" w:cs="Times New Roman"/>
                          <w:sz w:val="18"/>
                          <w:szCs w:val="18"/>
                        </w:rPr>
                      </w:pPr>
                      <w:r>
                        <w:rPr>
                          <w:rFonts w:hint="eastAsia" w:ascii="楷体_GB2312" w:hAnsi="宋体" w:eastAsia="楷体_GB2312" w:cs="楷体_GB2312"/>
                          <w:b/>
                          <w:bCs/>
                          <w:color w:val="000000"/>
                          <w:sz w:val="18"/>
                          <w:szCs w:val="18"/>
                        </w:rPr>
                        <w:t>分包工程责任和义务</w:t>
                      </w:r>
                    </w:p>
                  </w:txbxContent>
                </v:textbox>
              </v:shape>
            </w:pict>
          </mc:Fallback>
        </mc:AlternateContent>
      </w:r>
      <w:r>
        <w:rPr>
          <w:rFonts w:hint="default" w:ascii="Times New Roman" w:hAnsi="Times New Roman" w:cs="Times New Roman"/>
          <w:b/>
          <w:bCs/>
          <w:color w:val="auto"/>
          <w:sz w:val="22"/>
          <w:szCs w:val="22"/>
          <w:highlight w:val="none"/>
        </w:rPr>
        <w:t xml:space="preserve">7.5  </w:t>
      </w:r>
      <w:r>
        <w:rPr>
          <w:rFonts w:hint="default" w:ascii="Times New Roman" w:hAnsi="Times New Roman" w:cs="Times New Roman"/>
          <w:b/>
          <w:bCs/>
          <w:color w:val="auto"/>
          <w:sz w:val="22"/>
          <w:szCs w:val="22"/>
          <w:highlight w:val="none"/>
          <w:u w:val="dotted"/>
        </w:rPr>
        <w:t xml:space="preserve">                                                                                                         </w:t>
      </w:r>
    </w:p>
    <w:p w14:paraId="23E3EA58">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工程分包不能免除承包人应承担的任何责任和应履行的任何义务。承包人应在分包场地派驻相应管理人员保证本合同的履行。</w:t>
      </w:r>
    </w:p>
    <w:p w14:paraId="010C3C8D">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分包人应对分包工程负责。分包人的任何违约行为或疏忽导致工程损坏、损害或给发包人造成损失的，承包人应承担连带责任。</w:t>
      </w:r>
    </w:p>
    <w:p w14:paraId="3F826842">
      <w:pPr>
        <w:pStyle w:val="15"/>
        <w:adjustRightInd w:val="0"/>
        <w:snapToGrid w:val="0"/>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678720" behindDoc="0" locked="0" layoutInCell="1" allowOverlap="1">
                <wp:simplePos x="0" y="0"/>
                <wp:positionH relativeFrom="column">
                  <wp:posOffset>-114300</wp:posOffset>
                </wp:positionH>
                <wp:positionV relativeFrom="paragraph">
                  <wp:posOffset>229235</wp:posOffset>
                </wp:positionV>
                <wp:extent cx="914400" cy="280035"/>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914400" cy="280035"/>
                        </a:xfrm>
                        <a:prstGeom prst="rect">
                          <a:avLst/>
                        </a:prstGeom>
                        <a:noFill/>
                        <a:ln>
                          <a:noFill/>
                        </a:ln>
                        <a:effectLst/>
                      </wps:spPr>
                      <wps:txbx>
                        <w:txbxContent>
                          <w:p w14:paraId="5D5F02F0">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分包合同终止</w:t>
                            </w:r>
                          </w:p>
                        </w:txbxContent>
                      </wps:txbx>
                      <wps:bodyPr wrap="square" upright="1"/>
                    </wps:wsp>
                  </a:graphicData>
                </a:graphic>
              </wp:anchor>
            </w:drawing>
          </mc:Choice>
          <mc:Fallback>
            <w:pict>
              <v:shape id="_x0000_s1026" o:spid="_x0000_s1026" o:spt="202" type="#_x0000_t202" style="position:absolute;left:0pt;margin-left:-9pt;margin-top:18.05pt;height:22.05pt;width:72pt;z-index:251678720;mso-width-relative:page;mso-height-relative:page;" filled="f" stroked="f" coordsize="21600,21600" o:gfxdata="UEsDBAoAAAAAAIdO4kAAAAAAAAAAAAAAAAAEAAAAZHJzL1BLAwQUAAAACACHTuJA+HMcytYAAAAJ&#10;AQAADwAAAGRycy9kb3ducmV2LnhtbE2PzU7DMBCE70i8g7VI3Fo7AaIQsukBxBXUPyRubrxNIuJ1&#10;FLtNePu6JzjOzmj2m3I1216cafSdY4RkqUAQ18503CDstu+LHIQPmo3uHRPCL3lYVbc3pS6Mm3hN&#10;501oRCxhX2iENoShkNLXLVntl24gjt7RjVaHKMdGmlFPsdz2MlUqk1Z3HD+0eqDXluqfzcki7D+O&#10;31+P6rN5s0/D5GYl2T5LxPu7RL2ACDSHvzBc8SM6VJHp4E5svOgRFkketwSEhywBcQ2kWTwcEHKV&#10;gqxK+X9BdQFQSwMEFAAAAAgAh07iQFaixz68AQAAawMAAA4AAABkcnMvZTJvRG9jLnhtbK1TS27b&#10;MBDdF+gdCO5ryW7aJoLlAIWRbIq2QJoD0NTQIsBfOLQlX6C9QVfddN9z+RwdSoqbJpsssqGG83mc&#10;92a0vOytYXuIqL2r+XxWcgZO+ka7bc1vv129OecMk3CNMN5BzQ+A/HL1+tWyCxUsfOtNA5ERiMOq&#10;CzVvUwpVUaBswQqc+QCOgspHKxJd47ZoougI3ZpiUZbvi87HJkQvAZG86zHIJ8T4HECvlJaw9nJn&#10;waURNYIRiShhqwPy1dCtUiDTF6UQEjM1J6ZpOOkRsjf5LFZLUW2jCK2WUwviOS084mSFdvToCWot&#10;kmC7qJ9AWS2jR6/STHpbjEQGRYjFvHykzU0rAgxcSGoMJ9Hx5WDl5/3XyHRT88UHzpywNPHjzx/H&#10;X3+Ov78z8pFAXcCK8m4CZab+o+9pbe79SM7Mu1fR5i8xYhQneQ8neaFPTJLzYn52VlJEUmhxXpZv&#10;32WU4l9xiJiuwVuWjZpHmt4gqth/wjSm3qfkt5y/0sYMEzTuPwdhjh4YVmCqzjzGfrOV+k0/kdv4&#10;5kDcOlqDmuPdTkTgbBei3rbUxsC1yCU0g6HfaV/ykB/eyX74j6z+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PhzHMrWAAAACQEAAA8AAAAAAAAAAQAgAAAAIgAAAGRycy9kb3ducmV2LnhtbFBLAQIU&#10;ABQAAAAIAIdO4kBWosc+vAEAAGsDAAAOAAAAAAAAAAEAIAAAACUBAABkcnMvZTJvRG9jLnhtbFBL&#10;BQYAAAAABgAGAFkBAABTBQAAAAA=&#10;">
                <v:fill on="f" focussize="0,0"/>
                <v:stroke on="f"/>
                <v:imagedata o:title=""/>
                <o:lock v:ext="edit" aspectratio="f"/>
                <v:textbox>
                  <w:txbxContent>
                    <w:p w14:paraId="5D5F02F0">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分包合同终止</w:t>
                      </w:r>
                    </w:p>
                  </w:txbxContent>
                </v:textbox>
              </v:shape>
            </w:pict>
          </mc:Fallback>
        </mc:AlternateContent>
      </w:r>
      <w:r>
        <w:rPr>
          <w:rFonts w:hint="default" w:ascii="Times New Roman" w:hAnsi="Times New Roman" w:cs="Times New Roman"/>
          <w:b/>
          <w:bCs/>
          <w:color w:val="auto"/>
          <w:sz w:val="22"/>
          <w:szCs w:val="22"/>
          <w:highlight w:val="none"/>
        </w:rPr>
        <w:t xml:space="preserve">7.6 </w:t>
      </w:r>
      <w:r>
        <w:rPr>
          <w:rFonts w:hint="default" w:ascii="Times New Roman" w:hAnsi="Times New Roman" w:cs="Times New Roman"/>
          <w:color w:val="auto"/>
          <w:sz w:val="22"/>
          <w:szCs w:val="22"/>
          <w:highlight w:val="none"/>
        </w:rPr>
        <w:t xml:space="preserve"> </w:t>
      </w:r>
      <w:r>
        <w:rPr>
          <w:rFonts w:hint="default" w:ascii="Times New Roman" w:hAnsi="Times New Roman" w:cs="Times New Roman"/>
          <w:color w:val="auto"/>
          <w:sz w:val="22"/>
          <w:szCs w:val="22"/>
          <w:highlight w:val="none"/>
          <w:u w:val="dotted"/>
        </w:rPr>
        <w:t xml:space="preserve">                                                                                                        </w:t>
      </w:r>
    </w:p>
    <w:p w14:paraId="1AA8C100">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无论何种原因，当本合同终止时，分包人与承包人签订的分包合同也随即终止。承包人应在本合同终止前向分包人支付分包人应得所有款项。</w:t>
      </w:r>
    </w:p>
    <w:p w14:paraId="3537682E">
      <w:pPr>
        <w:pStyle w:val="15"/>
        <w:tabs>
          <w:tab w:val="left" w:pos="1260"/>
        </w:tabs>
        <w:adjustRightInd w:val="0"/>
        <w:snapToGrid w:val="0"/>
        <w:spacing w:before="120" w:beforeLines="50"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u w:val="single"/>
        </w:rPr>
        <w:t xml:space="preserve">                                                                                                             </w:t>
      </w:r>
    </w:p>
    <w:p w14:paraId="566A92EF">
      <w:pPr>
        <w:pStyle w:val="5"/>
        <w:numPr>
          <w:ilvl w:val="0"/>
          <w:numId w:val="0"/>
        </w:numPr>
        <w:tabs>
          <w:tab w:val="left" w:pos="360"/>
          <w:tab w:val="left" w:pos="420"/>
          <w:tab w:val="left" w:pos="1287"/>
        </w:tabs>
        <w:spacing w:line="420" w:lineRule="exact"/>
        <w:rPr>
          <w:rFonts w:hint="default" w:ascii="Times New Roman" w:hAnsi="Times New Roman" w:cs="Times New Roman"/>
          <w:color w:val="auto"/>
          <w:sz w:val="22"/>
          <w:szCs w:val="22"/>
          <w:highlight w:val="none"/>
        </w:rPr>
      </w:pPr>
      <w:bookmarkStart w:id="100" w:name="_Toc26435"/>
      <w:bookmarkStart w:id="101" w:name="_Toc469383987"/>
      <w:r>
        <w:rPr>
          <w:rFonts w:hint="default" w:ascii="Times New Roman" w:hAnsi="Times New Roman" w:cs="Times New Roman"/>
          <w:color w:val="auto"/>
          <w:sz w:val="22"/>
          <w:szCs w:val="22"/>
          <w:highlight w:val="none"/>
        </w:rPr>
        <w:t>8  现场查勘</w:t>
      </w:r>
      <w:bookmarkEnd w:id="100"/>
      <w:bookmarkEnd w:id="101"/>
    </w:p>
    <w:p w14:paraId="5FEFDA0F">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679744" behindDoc="0" locked="0" layoutInCell="1" allowOverlap="1">
                <wp:simplePos x="0" y="0"/>
                <wp:positionH relativeFrom="column">
                  <wp:posOffset>-114300</wp:posOffset>
                </wp:positionH>
                <wp:positionV relativeFrom="paragraph">
                  <wp:posOffset>236855</wp:posOffset>
                </wp:positionV>
                <wp:extent cx="914400" cy="495300"/>
                <wp:effectExtent l="0" t="0" r="0" b="0"/>
                <wp:wrapNone/>
                <wp:docPr id="32" name="文本框 32"/>
                <wp:cNvGraphicFramePr/>
                <a:graphic xmlns:a="http://schemas.openxmlformats.org/drawingml/2006/main">
                  <a:graphicData uri="http://schemas.microsoft.com/office/word/2010/wordprocessingShape">
                    <wps:wsp>
                      <wps:cNvSpPr txBox="1"/>
                      <wps:spPr>
                        <a:xfrm>
                          <a:off x="0" y="0"/>
                          <a:ext cx="914400" cy="495300"/>
                        </a:xfrm>
                        <a:prstGeom prst="rect">
                          <a:avLst/>
                        </a:prstGeom>
                        <a:noFill/>
                        <a:ln>
                          <a:noFill/>
                        </a:ln>
                        <a:effectLst/>
                      </wps:spPr>
                      <wps:txbx>
                        <w:txbxContent>
                          <w:p w14:paraId="55E1D22B">
                            <w:pPr>
                              <w:spacing w:line="200" w:lineRule="exact"/>
                              <w:rPr>
                                <w:rFonts w:ascii="楷体_GB2312" w:hAnsi="宋体" w:eastAsia="楷体_GB2312" w:cs="Times New Roman"/>
                                <w:sz w:val="18"/>
                                <w:szCs w:val="18"/>
                              </w:rPr>
                            </w:pPr>
                            <w:r>
                              <w:rPr>
                                <w:rFonts w:hint="eastAsia" w:ascii="楷体_GB2312" w:hAnsi="宋体" w:eastAsia="楷体_GB2312" w:cs="楷体_GB2312"/>
                                <w:b/>
                                <w:bCs/>
                                <w:color w:val="000000"/>
                                <w:sz w:val="18"/>
                                <w:szCs w:val="18"/>
                              </w:rPr>
                              <w:t>发包人提供资料的责任</w:t>
                            </w:r>
                          </w:p>
                        </w:txbxContent>
                      </wps:txbx>
                      <wps:bodyPr wrap="square" upright="1"/>
                    </wps:wsp>
                  </a:graphicData>
                </a:graphic>
              </wp:anchor>
            </w:drawing>
          </mc:Choice>
          <mc:Fallback>
            <w:pict>
              <v:shape id="_x0000_s1026" o:spid="_x0000_s1026" o:spt="202" type="#_x0000_t202" style="position:absolute;left:0pt;margin-left:-9pt;margin-top:18.65pt;height:39pt;width:72pt;z-index:251679744;mso-width-relative:page;mso-height-relative:page;" filled="f" stroked="f" coordsize="21600,21600" o:gfxdata="UEsDBAoAAAAAAIdO4kAAAAAAAAAAAAAAAAAEAAAAZHJzL1BLAwQUAAAACACHTuJAJqBJj9gAAAAK&#10;AQAADwAAAGRycy9kb3ducmV2LnhtbE2PzW7CMBCE75V4B2uRegM7pFAa4nBo1Wur0h+pNxMvSUS8&#10;jmJDwtuznNrb7s5o9pt8O7pWnLEPjScNyVyBQCq9bajS8PX5OluDCNGQNa0n1HDBANticpebzPqB&#10;PvC8i5XgEAqZ0VDH2GVShrJGZ8Lcd0isHXzvTOS1r6TtzcDhrpULpVbSmYb4Q206fK6xPO5OTsP3&#10;2+H350G9Vy9u2Q1+VJLck9T6fpqoDYiIY/wzww2f0aFgpr0/kQ2i1TBL1twlakgfUxA3w2LFhz0P&#10;yTIFWeTyf4XiClBLAwQUAAAACACHTuJAXcjHxLsBAABrAwAADgAAAGRycy9lMm9Eb2MueG1srVNL&#10;btswEN0X6B0I7mvKjls0guUAhZFuirZA0gPQ1NAiwF85tCVfoL1BV91kn3P5HBl94qbpJotuqOF8&#10;Hue9Ga2uOmfZARKa4Cs+nxWcgVehNn5X8W+312/ec4ZZ+lra4KHiR0B+tX79atXGEhahCbaGxAjE&#10;Y9nGijc5x1IIVA04ibMQwVNQh+RkpmvaiTrJltCdFYuieCfakOqYggJE8m7GIJ8Q00sAg9ZGwSao&#10;vQOfR9QEVmaihI2JyNdDt1qDyl+0RsjMVpyY5uGkR8je9qdYr2S5SzI2Rk0tyJe08IyTk8bTo2eo&#10;jcyS7ZP5B8oZlQIGnWcqODESGRQhFvPimTY3jYwwcCGpMZ5Fx/8Hqz4fviZm6opfLDjz0tHET79+&#10;nn7fn+5+MPKRQG3EkvJuImXm7kPoaG0e/UjOnnenk+u/xIhRnOQ9nuWFLjNFzsv5cllQRFFoefn2&#10;gmxCF3+KY8L8EYJjvVHxRNMbRJWHT5jH1MeU/i0fro21wwSt/8tBmKMHhhWYqnseY7+9lbttN5Hb&#10;hvpI3Fpag4rj971MwNk+JrNrqI2Bq+hLaAZDv9O+9EN+eif76T+yfg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moEmP2AAAAAoBAAAPAAAAAAAAAAEAIAAAACIAAABkcnMvZG93bnJldi54bWxQSwEC&#10;FAAUAAAACACHTuJAXcjHxLsBAABrAwAADgAAAAAAAAABACAAAAAnAQAAZHJzL2Uyb0RvYy54bWxQ&#10;SwUGAAAAAAYABgBZAQAAVAUAAAAA&#10;">
                <v:fill on="f" focussize="0,0"/>
                <v:stroke on="f"/>
                <v:imagedata o:title=""/>
                <o:lock v:ext="edit" aspectratio="f"/>
                <v:textbox>
                  <w:txbxContent>
                    <w:p w14:paraId="55E1D22B">
                      <w:pPr>
                        <w:spacing w:line="200" w:lineRule="exact"/>
                        <w:rPr>
                          <w:rFonts w:ascii="楷体_GB2312" w:hAnsi="宋体" w:eastAsia="楷体_GB2312" w:cs="Times New Roman"/>
                          <w:sz w:val="18"/>
                          <w:szCs w:val="18"/>
                        </w:rPr>
                      </w:pPr>
                      <w:r>
                        <w:rPr>
                          <w:rFonts w:hint="eastAsia" w:ascii="楷体_GB2312" w:hAnsi="宋体" w:eastAsia="楷体_GB2312" w:cs="楷体_GB2312"/>
                          <w:b/>
                          <w:bCs/>
                          <w:color w:val="000000"/>
                          <w:sz w:val="18"/>
                          <w:szCs w:val="18"/>
                        </w:rPr>
                        <w:t>发包人提供资料的责任</w:t>
                      </w:r>
                    </w:p>
                  </w:txbxContent>
                </v:textbox>
              </v:shape>
            </w:pict>
          </mc:Fallback>
        </mc:AlternateContent>
      </w:r>
      <w:r>
        <w:rPr>
          <w:rFonts w:hint="default" w:ascii="Times New Roman" w:hAnsi="Times New Roman" w:cs="Times New Roman"/>
          <w:b/>
          <w:bCs/>
          <w:color w:val="auto"/>
          <w:sz w:val="22"/>
          <w:szCs w:val="22"/>
          <w:highlight w:val="none"/>
        </w:rPr>
        <w:t xml:space="preserve">8.1                                                                                </w:t>
      </w:r>
    </w:p>
    <w:p w14:paraId="79A5EDF5">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发包人应按照第19.2款第（4）点规定向承包人提供有关资料。此资料作为招标文件的组成部分，与招标文件一并发布。发包人对其提供的上述资料的真实性、准确性和完整性负责。因发包人提供上述资料错误导致承包人发生损失的，发包人应承担由此增加的费用和（或）延误的工期，并向承包人支付合理利润。</w:t>
      </w:r>
    </w:p>
    <w:p w14:paraId="6106469C">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8.2  </w:t>
      </w:r>
      <w:r>
        <w:rPr>
          <w:rFonts w:hint="default" w:ascii="Times New Roman" w:hAnsi="Times New Roman" w:cs="Times New Roman"/>
          <w:b/>
          <w:bCs/>
          <w:color w:val="auto"/>
          <w:sz w:val="22"/>
          <w:szCs w:val="22"/>
          <w:highlight w:val="none"/>
          <w:u w:val="dotted"/>
        </w:rPr>
        <w:t xml:space="preserve">                                                                                                        </w:t>
      </w:r>
    </w:p>
    <w:p w14:paraId="17A14C8D">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680768" behindDoc="0" locked="0" layoutInCell="1" allowOverlap="1">
                <wp:simplePos x="0" y="0"/>
                <wp:positionH relativeFrom="column">
                  <wp:posOffset>-114300</wp:posOffset>
                </wp:positionH>
                <wp:positionV relativeFrom="paragraph">
                  <wp:posOffset>0</wp:posOffset>
                </wp:positionV>
                <wp:extent cx="914400" cy="50038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914400" cy="500380"/>
                        </a:xfrm>
                        <a:prstGeom prst="rect">
                          <a:avLst/>
                        </a:prstGeom>
                        <a:noFill/>
                        <a:ln>
                          <a:noFill/>
                        </a:ln>
                        <a:effectLst/>
                      </wps:spPr>
                      <wps:txbx>
                        <w:txbxContent>
                          <w:p w14:paraId="39E36EC3">
                            <w:pPr>
                              <w:rPr>
                                <w:rFonts w:ascii="楷体_GB2312" w:hAnsi="宋体" w:eastAsia="楷体_GB2312" w:cs="Times New Roman"/>
                                <w:sz w:val="18"/>
                                <w:szCs w:val="18"/>
                              </w:rPr>
                            </w:pPr>
                            <w:r>
                              <w:rPr>
                                <w:rFonts w:hint="eastAsia" w:ascii="楷体_GB2312" w:hAnsi="宋体" w:eastAsia="楷体_GB2312" w:cs="楷体_GB2312"/>
                                <w:b/>
                                <w:bCs/>
                                <w:color w:val="000000"/>
                                <w:sz w:val="18"/>
                                <w:szCs w:val="18"/>
                              </w:rPr>
                              <w:t>承包人现场查勘</w:t>
                            </w:r>
                          </w:p>
                        </w:txbxContent>
                      </wps:txbx>
                      <wps:bodyPr wrap="square" upright="1"/>
                    </wps:wsp>
                  </a:graphicData>
                </a:graphic>
              </wp:anchor>
            </w:drawing>
          </mc:Choice>
          <mc:Fallback>
            <w:pict>
              <v:shape id="_x0000_s1026" o:spid="_x0000_s1026" o:spt="202" type="#_x0000_t202" style="position:absolute;left:0pt;margin-left:-9pt;margin-top:0pt;height:39.4pt;width:72pt;z-index:251680768;mso-width-relative:page;mso-height-relative:page;" filled="f" stroked="f" coordsize="21600,21600" o:gfxdata="UEsDBAoAAAAAAIdO4kAAAAAAAAAAAAAAAAAEAAAAZHJzL1BLAwQUAAAACACHTuJAFaYpR9QAAAAH&#10;AQAADwAAAGRycy9kb3ducmV2LnhtbE2PQU/DMAyF70j8h8hI3LakE4xS6u4A4gpiAyRuWeO1FY1T&#10;Ndla/j3eCS7Ws5713udyM/tenWiMXWCEbGlAEdfBddwgvO+eFzmomCw72wcmhB+KsKkuL0pbuDDx&#10;G522qVESwrGwCG1KQ6F1rFvyNi7DQCzeIYzeJlnHRrvRThLue70yZq297VgaWjvQY0v19/boET5e&#10;Dl+fN+a1efK3wxRmo9nfa8Trq8w8gEo0p79jOOMLOlTCtA9HdlH1CIssl18SgsyzvVqL2CPc5Tno&#10;qtT/+atfUEsDBBQAAAAIAIdO4kC2tVnmvAEAAGsDAAAOAAAAZHJzL2Uyb0RvYy54bWytU0tu2zAQ&#10;3RfIHQjuY8puWqSC5QCBkWyCtkCaA9DUyCIgfsqhLfkC7Q266qb7nsvn6JBS3DTdZJENNZzP47w3&#10;o+XVYDq2h4Da2YrPZwVnYJWrtd1W/OHLzfklZxilrWXnLFT8AMivVmdvlr0vYeFa19UQGIFYLHtf&#10;8TZGXwqBqgUjceY8WAo2LhgZ6Rq2og6yJ3TTiUVRvBe9C7UPTgEieddjkE+I4SWArmm0grVTOwM2&#10;jqgBOhmJErbaI1/lbpsGVPzUNAiRdRUnpjGf9AjZm3SK1VKW2yB9q9XUgnxJC884GaktPXqCWsso&#10;2S7o/6CMVsGha+JMOSNGIlkRYjEvnmlz30oPmQtJjf4kOr4erPq4/xyYriu+oLlbaWjixx/fjz9/&#10;H399Y+QjgXqPJeXde8qMw7UbaG0e/UjOxHtogklfYsQoTvIeTvLCEJki54f5xUVBEUWhd0Xx9jLL&#10;L/4W+4DxFpxhyah4oOllUeX+DiM1QqmPKekt62501+UJdvYfByWOHsgrMFUnHmO/yYrDZpjIbVx9&#10;IG49rUHF8etOBuBs54PettRG5ipSCc0gNzHtSxry0zvZT/+R1R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VpilH1AAAAAcBAAAPAAAAAAAAAAEAIAAAACIAAABkcnMvZG93bnJldi54bWxQSwECFAAU&#10;AAAACACHTuJAtrVZ5rwBAABrAwAADgAAAAAAAAABACAAAAAjAQAAZHJzL2Uyb0RvYy54bWxQSwUG&#10;AAAAAAYABgBZAQAAUQUAAAAA&#10;">
                <v:fill on="f" focussize="0,0"/>
                <v:stroke on="f"/>
                <v:imagedata o:title=""/>
                <o:lock v:ext="edit" aspectratio="f"/>
                <v:textbox>
                  <w:txbxContent>
                    <w:p w14:paraId="39E36EC3">
                      <w:pPr>
                        <w:rPr>
                          <w:rFonts w:ascii="楷体_GB2312" w:hAnsi="宋体" w:eastAsia="楷体_GB2312" w:cs="Times New Roman"/>
                          <w:sz w:val="18"/>
                          <w:szCs w:val="18"/>
                        </w:rPr>
                      </w:pPr>
                      <w:r>
                        <w:rPr>
                          <w:rFonts w:hint="eastAsia" w:ascii="楷体_GB2312" w:hAnsi="宋体" w:eastAsia="楷体_GB2312" w:cs="楷体_GB2312"/>
                          <w:b/>
                          <w:bCs/>
                          <w:color w:val="000000"/>
                          <w:sz w:val="18"/>
                          <w:szCs w:val="18"/>
                        </w:rPr>
                        <w:t>承包人现场查勘</w:t>
                      </w:r>
                    </w:p>
                  </w:txbxContent>
                </v:textbox>
              </v:shape>
            </w:pict>
          </mc:Fallback>
        </mc:AlternateContent>
      </w:r>
      <w:r>
        <w:rPr>
          <w:rFonts w:hint="default" w:ascii="Times New Roman" w:hAnsi="Times New Roman" w:cs="Times New Roman"/>
          <w:color w:val="auto"/>
          <w:sz w:val="22"/>
          <w:szCs w:val="22"/>
          <w:highlight w:val="none"/>
        </w:rPr>
        <w:t>承包人应依据发包人按照第19.2款第（4）点规定提供的资料和自己对现场查勘来编制投标文件，并对发包人提供上述资料的理解、推断和应用负责。因承包人未能充分查勘、了解以下情况或未能充分估计以下情况所可能产生后果的，承包人承担由此增加的费用和（或）延误的工期。承包人的投标文件应被认为已经考虑了现场及其周围环境的影响，包括但不限于以下内容：</w:t>
      </w:r>
    </w:p>
    <w:p w14:paraId="518C4BE8">
      <w:pPr>
        <w:pStyle w:val="15"/>
        <w:adjustRightInd w:val="0"/>
        <w:snapToGrid w:val="0"/>
        <w:spacing w:line="420" w:lineRule="exact"/>
        <w:ind w:left="1619"/>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（1）现场地质情况及地形地貌特征；</w:t>
      </w:r>
    </w:p>
    <w:p w14:paraId="7A61EC10">
      <w:pPr>
        <w:pStyle w:val="15"/>
        <w:adjustRightInd w:val="0"/>
        <w:snapToGrid w:val="0"/>
        <w:spacing w:line="420" w:lineRule="exact"/>
        <w:ind w:left="1619"/>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（2）水文和气候条件；</w:t>
      </w:r>
    </w:p>
    <w:p w14:paraId="49D77D8E">
      <w:pPr>
        <w:pStyle w:val="15"/>
        <w:adjustRightInd w:val="0"/>
        <w:snapToGrid w:val="0"/>
        <w:spacing w:line="420" w:lineRule="exact"/>
        <w:ind w:left="1619"/>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（3）为实施、完成并保修合同工程所需的临时工程和措施项目；</w:t>
      </w:r>
    </w:p>
    <w:p w14:paraId="31469D45">
      <w:pPr>
        <w:pStyle w:val="15"/>
        <w:tabs>
          <w:tab w:val="left" w:pos="2580"/>
        </w:tabs>
        <w:adjustRightInd w:val="0"/>
        <w:snapToGrid w:val="0"/>
        <w:spacing w:line="420" w:lineRule="exact"/>
        <w:ind w:left="1619"/>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（4）为实施、完成并保修合同工程所需的材料采购和加工、设备的采购，及所需的施工设备、周转性材料、人员和管理等；</w:t>
      </w:r>
    </w:p>
    <w:p w14:paraId="199C2778">
      <w:pPr>
        <w:pStyle w:val="15"/>
        <w:adjustRightInd w:val="0"/>
        <w:snapToGrid w:val="0"/>
        <w:spacing w:line="420" w:lineRule="exact"/>
        <w:ind w:left="1619"/>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（5）场地内外的交通情况及水、电、食宿供应条件；</w:t>
      </w:r>
    </w:p>
    <w:p w14:paraId="5901D997">
      <w:pPr>
        <w:pStyle w:val="15"/>
        <w:adjustRightInd w:val="0"/>
        <w:snapToGrid w:val="0"/>
        <w:spacing w:line="420" w:lineRule="exact"/>
        <w:ind w:left="1619"/>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（6）可能对投标报价有影响或起作用的其他情况。</w:t>
      </w:r>
    </w:p>
    <w:p w14:paraId="49945B0F">
      <w:pPr>
        <w:pStyle w:val="15"/>
        <w:adjustRightInd w:val="0"/>
        <w:snapToGrid w:val="0"/>
        <w:spacing w:line="420" w:lineRule="exact"/>
        <w:ind w:right="-238"/>
        <w:rPr>
          <w:rFonts w:hint="default" w:ascii="Times New Roman" w:hAnsi="Times New Roman" w:cs="Times New Roman"/>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32C65355">
      <w:pPr>
        <w:pStyle w:val="5"/>
        <w:numPr>
          <w:ilvl w:val="0"/>
          <w:numId w:val="0"/>
        </w:numPr>
        <w:tabs>
          <w:tab w:val="left" w:pos="360"/>
          <w:tab w:val="left" w:pos="420"/>
          <w:tab w:val="left" w:pos="1287"/>
        </w:tabs>
        <w:spacing w:line="420" w:lineRule="exact"/>
        <w:rPr>
          <w:rFonts w:hint="default" w:ascii="Times New Roman" w:hAnsi="Times New Roman" w:cs="Times New Roman"/>
          <w:color w:val="auto"/>
          <w:sz w:val="22"/>
          <w:szCs w:val="22"/>
          <w:highlight w:val="none"/>
        </w:rPr>
      </w:pPr>
      <w:bookmarkStart w:id="102" w:name="_Toc3542"/>
      <w:bookmarkStart w:id="103" w:name="_Toc469383988"/>
      <w:r>
        <w:rPr>
          <w:rFonts w:hint="default" w:ascii="Times New Roman" w:hAnsi="Times New Roman" w:cs="Times New Roman"/>
          <w:color w:val="auto"/>
          <w:sz w:val="22"/>
          <w:szCs w:val="22"/>
          <w:highlight w:val="none"/>
        </w:rPr>
        <w:t>9  招标错失的修正</w:t>
      </w:r>
      <w:bookmarkEnd w:id="102"/>
      <w:bookmarkEnd w:id="103"/>
    </w:p>
    <w:p w14:paraId="47BEAF8E">
      <w:pPr>
        <w:pStyle w:val="15"/>
        <w:adjustRightInd w:val="0"/>
        <w:snapToGrid w:val="0"/>
        <w:spacing w:before="240" w:beforeLines="100"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681792" behindDoc="0" locked="0" layoutInCell="1" allowOverlap="1">
                <wp:simplePos x="0" y="0"/>
                <wp:positionH relativeFrom="column">
                  <wp:posOffset>-60960</wp:posOffset>
                </wp:positionH>
                <wp:positionV relativeFrom="paragraph">
                  <wp:posOffset>286385</wp:posOffset>
                </wp:positionV>
                <wp:extent cx="914400" cy="79248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914400" cy="792480"/>
                        </a:xfrm>
                        <a:prstGeom prst="rect">
                          <a:avLst/>
                        </a:prstGeom>
                        <a:noFill/>
                        <a:ln>
                          <a:noFill/>
                        </a:ln>
                        <a:effectLst/>
                      </wps:spPr>
                      <wps:txbx>
                        <w:txbxContent>
                          <w:p w14:paraId="54251FDE">
                            <w:pPr>
                              <w:pStyle w:val="15"/>
                              <w:tabs>
                                <w:tab w:val="left" w:pos="2160"/>
                              </w:tabs>
                              <w:spacing w:before="192" w:beforeLines="80"/>
                              <w:rPr>
                                <w:rFonts w:ascii="楷体_GB2312" w:hAnsi="宋体" w:eastAsia="楷体_GB2312"/>
                                <w:color w:val="FF00FF"/>
                                <w:sz w:val="24"/>
                                <w:szCs w:val="24"/>
                              </w:rPr>
                            </w:pPr>
                            <w:r>
                              <w:rPr>
                                <w:rFonts w:hint="eastAsia" w:ascii="楷体_GB2312" w:hAnsi="宋体" w:eastAsia="楷体_GB2312" w:cs="楷体_GB2312"/>
                                <w:b/>
                                <w:bCs/>
                                <w:color w:val="000000"/>
                                <w:sz w:val="18"/>
                                <w:szCs w:val="18"/>
                              </w:rPr>
                              <w:t>合同条款及格式完备性和义务</w:t>
                            </w:r>
                          </w:p>
                          <w:p w14:paraId="72CAC85A">
                            <w:pPr>
                              <w:rPr>
                                <w:rFonts w:cs="Times New Roman"/>
                                <w:sz w:val="18"/>
                                <w:szCs w:val="18"/>
                              </w:rPr>
                            </w:pPr>
                          </w:p>
                        </w:txbxContent>
                      </wps:txbx>
                      <wps:bodyPr wrap="square" upright="1"/>
                    </wps:wsp>
                  </a:graphicData>
                </a:graphic>
              </wp:anchor>
            </w:drawing>
          </mc:Choice>
          <mc:Fallback>
            <w:pict>
              <v:shape id="_x0000_s1026" o:spid="_x0000_s1026" o:spt="202" type="#_x0000_t202" style="position:absolute;left:0pt;margin-left:-4.8pt;margin-top:22.55pt;height:62.4pt;width:72pt;z-index:251681792;mso-width-relative:page;mso-height-relative:page;" filled="f" stroked="f" coordsize="21600,21600" o:gfxdata="UEsDBAoAAAAAAIdO4kAAAAAAAAAAAAAAAAAEAAAAZHJzL1BLAwQUAAAACACHTuJACwDcldcAAAAJ&#10;AQAADwAAAGRycy9kb3ducmV2LnhtbE2PzU7DMBCE70h9B2srcWvXKWlEQpweiriCKD8SNzfeJhHx&#10;OordJrw97glus5rRzLflbra9uNDoO8cKkrUEQVw703Gj4P3taXUPwgfNRveOScEPedhVi5tSF8ZN&#10;/EqXQ2hELGFfaAVtCEOB6OuWrPZrNxBH7+RGq0M8xwbNqKdYbnvcSJmh1R3HhVYPtG+p/j6crYKP&#10;59PXZypfmke7HSY3S2Sbo1K3y0Q+gAg0h78wXPEjOlSR6ejObLzoFazyLCYVpNsExNW/S1MQxyiy&#10;PAesSvz/QfULUEsDBBQAAAAIAIdO4kAshKfFvQEAAGsDAAAOAAAAZHJzL2Uyb0RvYy54bWytU0tu&#10;2zAQ3RfoHQjua8qG0caC5QCBkW6KtkDaA9DU0CIgfsqhLfkC7Q266qb7nsvn6IhSnDTdZJENNZzP&#10;47w3o/V1b1t2hIjGu4rPZwVn4JSvjdtX/OuX2zdXnGGSrpatd1DxEyC/3rx+te5CCQvf+LaGyAjE&#10;YdmFijcphVIIVA1YiTMfwFFQ+2hlomvcizrKjtBtKxZF8VZ0PtYhegWI5N2OQT4hxucAeq2Ngq1X&#10;BwsujagRWpmIEjYmIN/kbrUGlT5pjZBYW3FimvJJj5C9G06xWctyH2VojJpakM9p4QknK42jRy9Q&#10;W5kkO0TzH5Q1Knr0Os2Ut2IkkhUhFvPiiTZ3jQyQuZDUGC6i48vBqo/Hz5GZuuKLFWdOWpr4+eeP&#10;868/59/fGflIoC5gSXl3gTJTf+N7Wpt7P5Jz4N3raIcvMWIUJ3lPF3mhT0yRczVfLguKKAq9Wy2W&#10;V1l+8VAcIqb34C0bjIpHml4WVR4/YKJGKPU+ZXjL+VvTtnmCrfvHQYmjB/IKTNUDj7HfwUr9rp/I&#10;7Xx9Im4drUHF8dtBRuDsEKLZN9RG5iqGEppBbmLal2HIj+9kP/5HNn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CwDcldcAAAAJAQAADwAAAAAAAAABACAAAAAiAAAAZHJzL2Rvd25yZXYueG1sUEsB&#10;AhQAFAAAAAgAh07iQCyEp8W9AQAAawMAAA4AAAAAAAAAAQAgAAAAJgEAAGRycy9lMm9Eb2MueG1s&#10;UEsFBgAAAAAGAAYAWQEAAFUFAAAAAA==&#10;">
                <v:fill on="f" focussize="0,0"/>
                <v:stroke on="f"/>
                <v:imagedata o:title=""/>
                <o:lock v:ext="edit" aspectratio="f"/>
                <v:textbox>
                  <w:txbxContent>
                    <w:p w14:paraId="54251FDE">
                      <w:pPr>
                        <w:pStyle w:val="15"/>
                        <w:tabs>
                          <w:tab w:val="left" w:pos="2160"/>
                        </w:tabs>
                        <w:spacing w:before="192" w:beforeLines="80"/>
                        <w:rPr>
                          <w:rFonts w:ascii="楷体_GB2312" w:hAnsi="宋体" w:eastAsia="楷体_GB2312"/>
                          <w:color w:val="FF00FF"/>
                          <w:sz w:val="24"/>
                          <w:szCs w:val="24"/>
                        </w:rPr>
                      </w:pPr>
                      <w:r>
                        <w:rPr>
                          <w:rFonts w:hint="eastAsia" w:ascii="楷体_GB2312" w:hAnsi="宋体" w:eastAsia="楷体_GB2312" w:cs="楷体_GB2312"/>
                          <w:b/>
                          <w:bCs/>
                          <w:color w:val="000000"/>
                          <w:sz w:val="18"/>
                          <w:szCs w:val="18"/>
                        </w:rPr>
                        <w:t>合同条款及格式完备性和义务</w:t>
                      </w:r>
                    </w:p>
                    <w:p w14:paraId="72CAC85A">
                      <w:pPr>
                        <w:rPr>
                          <w:rFonts w:cs="Times New Roman"/>
                          <w:sz w:val="18"/>
                          <w:szCs w:val="18"/>
                        </w:rPr>
                      </w:pPr>
                    </w:p>
                  </w:txbxContent>
                </v:textbox>
              </v:shape>
            </w:pict>
          </mc:Fallback>
        </mc:AlternateContent>
      </w:r>
      <w:r>
        <w:rPr>
          <w:rFonts w:hint="default" w:ascii="Times New Roman" w:hAnsi="Times New Roman" w:cs="Times New Roman"/>
          <w:b/>
          <w:bCs/>
          <w:color w:val="auto"/>
          <w:sz w:val="22"/>
          <w:szCs w:val="22"/>
          <w:highlight w:val="none"/>
        </w:rPr>
        <w:t xml:space="preserve">9.1  </w:t>
      </w:r>
    </w:p>
    <w:p w14:paraId="00E60A3F">
      <w:pPr>
        <w:pStyle w:val="15"/>
        <w:tabs>
          <w:tab w:val="left" w:pos="1980"/>
        </w:tabs>
        <w:spacing w:before="192" w:beforeLines="80" w:line="420" w:lineRule="exact"/>
        <w:ind w:left="1622"/>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发包人招标文件中的合同条款及格式，应被认为是正确的和公平的，并已包括了发包人履行本合同的全部义务，包括但不限于以下内容：</w:t>
      </w:r>
    </w:p>
    <w:p w14:paraId="475CC0AB">
      <w:pPr>
        <w:pStyle w:val="15"/>
        <w:tabs>
          <w:tab w:val="left" w:pos="2160"/>
        </w:tabs>
        <w:spacing w:line="420" w:lineRule="exact"/>
        <w:ind w:firstLine="1485" w:firstLineChars="675"/>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（1）支付工程款及其他应付款项的义务；</w:t>
      </w:r>
    </w:p>
    <w:p w14:paraId="501C8CE1">
      <w:pPr>
        <w:pStyle w:val="15"/>
        <w:tabs>
          <w:tab w:val="left" w:pos="2160"/>
        </w:tabs>
        <w:spacing w:line="420" w:lineRule="exact"/>
        <w:ind w:left="-61" w:leftChars="-29" w:firstLine="1540" w:firstLineChars="7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（2）完成本合同第19.2款约定工作的义务；</w:t>
      </w:r>
    </w:p>
    <w:p w14:paraId="048D9609">
      <w:pPr>
        <w:pStyle w:val="15"/>
        <w:tabs>
          <w:tab w:val="left" w:pos="2160"/>
        </w:tabs>
        <w:spacing w:line="420" w:lineRule="exact"/>
        <w:ind w:left="-61" w:leftChars="-29" w:firstLine="1540" w:firstLineChars="7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（3）修正不正确合同条款及格式的义务；</w:t>
      </w:r>
    </w:p>
    <w:p w14:paraId="3A8CA4A1">
      <w:pPr>
        <w:pStyle w:val="15"/>
        <w:tabs>
          <w:tab w:val="left" w:pos="2160"/>
        </w:tabs>
        <w:spacing w:line="420" w:lineRule="exact"/>
        <w:ind w:left="-61" w:leftChars="-29" w:firstLine="1540" w:firstLineChars="7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（4）澄清并改正被认定有失公平的合同条款的义务；</w:t>
      </w:r>
    </w:p>
    <w:p w14:paraId="75944B42">
      <w:pPr>
        <w:pStyle w:val="15"/>
        <w:tabs>
          <w:tab w:val="left" w:pos="2160"/>
        </w:tabs>
        <w:spacing w:line="420" w:lineRule="exact"/>
        <w:ind w:left="-61" w:leftChars="-29" w:firstLine="1540" w:firstLineChars="700"/>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w:t>（5）协助承包人实施、完成并保修合同工程的义务。</w:t>
      </w:r>
    </w:p>
    <w:p w14:paraId="4FCDE10D">
      <w:pPr>
        <w:pStyle w:val="15"/>
        <w:tabs>
          <w:tab w:val="left" w:pos="2160"/>
        </w:tabs>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682816" behindDoc="0" locked="0" layoutInCell="1" allowOverlap="1">
                <wp:simplePos x="0" y="0"/>
                <wp:positionH relativeFrom="column">
                  <wp:posOffset>45085</wp:posOffset>
                </wp:positionH>
                <wp:positionV relativeFrom="paragraph">
                  <wp:posOffset>187325</wp:posOffset>
                </wp:positionV>
                <wp:extent cx="914400" cy="829310"/>
                <wp:effectExtent l="0" t="0" r="0" b="0"/>
                <wp:wrapNone/>
                <wp:docPr id="30" name="文本框 30"/>
                <wp:cNvGraphicFramePr/>
                <a:graphic xmlns:a="http://schemas.openxmlformats.org/drawingml/2006/main">
                  <a:graphicData uri="http://schemas.microsoft.com/office/word/2010/wordprocessingShape">
                    <wps:wsp>
                      <wps:cNvSpPr txBox="1"/>
                      <wps:spPr>
                        <a:xfrm>
                          <a:off x="0" y="0"/>
                          <a:ext cx="914400" cy="829310"/>
                        </a:xfrm>
                        <a:prstGeom prst="rect">
                          <a:avLst/>
                        </a:prstGeom>
                        <a:noFill/>
                        <a:ln>
                          <a:noFill/>
                        </a:ln>
                        <a:effectLst/>
                      </wps:spPr>
                      <wps:txbx>
                        <w:txbxContent>
                          <w:p w14:paraId="61332219">
                            <w:pPr>
                              <w:pStyle w:val="15"/>
                              <w:tabs>
                                <w:tab w:val="left" w:pos="2160"/>
                              </w:tabs>
                              <w:spacing w:before="192" w:beforeLines="80"/>
                              <w:rPr>
                                <w:rFonts w:ascii="楷体_GB2312" w:hAnsi="宋体" w:eastAsia="楷体_GB2312"/>
                                <w:color w:val="FF00FF"/>
                                <w:sz w:val="24"/>
                                <w:szCs w:val="24"/>
                              </w:rPr>
                            </w:pPr>
                            <w:r>
                              <w:rPr>
                                <w:rFonts w:hint="eastAsia" w:ascii="楷体_GB2312" w:hAnsi="宋体" w:eastAsia="楷体_GB2312" w:cs="楷体_GB2312"/>
                                <w:b/>
                                <w:bCs/>
                                <w:color w:val="000000"/>
                                <w:sz w:val="18"/>
                                <w:szCs w:val="18"/>
                              </w:rPr>
                              <w:t>工程量清单准确性和修正</w:t>
                            </w:r>
                          </w:p>
                          <w:p w14:paraId="7E5E7A83">
                            <w:pPr>
                              <w:rPr>
                                <w:rFonts w:cs="Times New Roman"/>
                                <w:sz w:val="18"/>
                                <w:szCs w:val="18"/>
                              </w:rPr>
                            </w:pPr>
                          </w:p>
                        </w:txbxContent>
                      </wps:txbx>
                      <wps:bodyPr wrap="square" upright="1"/>
                    </wps:wsp>
                  </a:graphicData>
                </a:graphic>
              </wp:anchor>
            </w:drawing>
          </mc:Choice>
          <mc:Fallback>
            <w:pict>
              <v:shape id="_x0000_s1026" o:spid="_x0000_s1026" o:spt="202" type="#_x0000_t202" style="position:absolute;left:0pt;margin-left:3.55pt;margin-top:14.75pt;height:65.3pt;width:72pt;z-index:251682816;mso-width-relative:page;mso-height-relative:page;" filled="f" stroked="f" coordsize="21600,21600" o:gfxdata="UEsDBAoAAAAAAIdO4kAAAAAAAAAAAAAAAAAEAAAAZHJzL1BLAwQUAAAACACHTuJAe4ztrdUAAAAI&#10;AQAADwAAAGRycy9kb3ducmV2LnhtbE2PQU/DMAyF70j8h8hIu7Ek0zpYaboDaNchNkDiljVeW9E4&#10;VZOt5d/jneBm+z09f6/YTL4TFxxiG8iAnisQSFVwLdUG3g/b+0cQMVlytguEBn4wwqa8vSls7sJI&#10;b3jZp1pwCMXcGmhS6nMpY9Wgt3EeeiTWTmHwNvE61NINduRw38mFUivpbUv8obE9PjdYfe/P3sDH&#10;7vT1uVSv9YvP+jFMSpJfS2Nmd1o9gUg4pT8zXPEZHUpmOoYzuSg6Aw+ajQYW6wzEVc40H448rJQG&#10;WRbyf4HyF1BLAwQUAAAACACHTuJAxs7Gq7sBAABrAwAADgAAAGRycy9lMm9Eb2MueG1srVNLbtsw&#10;EN0XyB0I7mPKThAkguUAgZFuiqZA2gPQ1MgiwF84tCVfoL1BV91033P5HB1Ripummyy6oYbzeZz3&#10;ZrS87a1he4iovav4fFZwBk75Wrttxb98vj+/5gyTdLU03kHFD4D8dnX2btmFEha+9aaGyAjEYdmF&#10;ircphVIIVC1YiTMfwFGw8dHKRNe4FXWUHaFbIxZFcSU6H+sQvQJE8q7HIJ8Q41sAfdNoBWuvdhZc&#10;GlEjGJmIErY6IF/lbpsGVHpoGoTETMWJaconPUL2ZjjFainLbZSh1WpqQb6lhVecrNSOHj1BrWWS&#10;bBf1P1BWq+jRN2mmvBUjkawIsZgXr7R5bGWAzIWkxnASHf8frPq4/xSZrit+QZI4aWnix+/fjj9+&#10;HX9+ZeQjgbqAJeU9BspM/Z3vaW2e/UjOgXffRDt8iRGjOGEdTvJCn5gi58388rKgiKLQ9eLmYp7R&#10;xZ/iEDG9B2/ZYFQ80vSyqHL/ARM1QqnPKcNbzt9rY/IEjfvLQYmjB/IKTNUDj7HfwUr9pp/IbXx9&#10;IG4drUHF8WknI3C2C1FvW2ojcxVDCc0gNzHtyzDkl3eyX/4jq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B7jO2t1QAAAAgBAAAPAAAAAAAAAAEAIAAAACIAAABkcnMvZG93bnJldi54bWxQSwECFAAU&#10;AAAACACHTuJAxs7Gq7sBAABrAwAADgAAAAAAAAABACAAAAAkAQAAZHJzL2Uyb0RvYy54bWxQSwUG&#10;AAAAAAYABgBZAQAAUQUAAAAA&#10;">
                <v:fill on="f" focussize="0,0"/>
                <v:stroke on="f"/>
                <v:imagedata o:title=""/>
                <o:lock v:ext="edit" aspectratio="f"/>
                <v:textbox>
                  <w:txbxContent>
                    <w:p w14:paraId="61332219">
                      <w:pPr>
                        <w:pStyle w:val="15"/>
                        <w:tabs>
                          <w:tab w:val="left" w:pos="2160"/>
                        </w:tabs>
                        <w:spacing w:before="192" w:beforeLines="80"/>
                        <w:rPr>
                          <w:rFonts w:ascii="楷体_GB2312" w:hAnsi="宋体" w:eastAsia="楷体_GB2312"/>
                          <w:color w:val="FF00FF"/>
                          <w:sz w:val="24"/>
                          <w:szCs w:val="24"/>
                        </w:rPr>
                      </w:pPr>
                      <w:r>
                        <w:rPr>
                          <w:rFonts w:hint="eastAsia" w:ascii="楷体_GB2312" w:hAnsi="宋体" w:eastAsia="楷体_GB2312" w:cs="楷体_GB2312"/>
                          <w:b/>
                          <w:bCs/>
                          <w:color w:val="000000"/>
                          <w:sz w:val="18"/>
                          <w:szCs w:val="18"/>
                        </w:rPr>
                        <w:t>工程量清单准确性和修正</w:t>
                      </w:r>
                    </w:p>
                    <w:p w14:paraId="7E5E7A83">
                      <w:pPr>
                        <w:rPr>
                          <w:rFonts w:cs="Times New Roman"/>
                          <w:sz w:val="18"/>
                          <w:szCs w:val="18"/>
                        </w:rPr>
                      </w:pPr>
                    </w:p>
                  </w:txbxContent>
                </v:textbox>
              </v:shape>
            </w:pict>
          </mc:Fallback>
        </mc:AlternateContent>
      </w:r>
      <w:r>
        <w:rPr>
          <w:rFonts w:hint="default" w:ascii="Times New Roman" w:hAnsi="Times New Roman" w:cs="Times New Roman"/>
          <w:b/>
          <w:bCs/>
          <w:color w:val="auto"/>
          <w:sz w:val="22"/>
          <w:szCs w:val="22"/>
          <w:highlight w:val="none"/>
        </w:rPr>
        <w:t xml:space="preserve">9.2  </w:t>
      </w:r>
      <w:r>
        <w:rPr>
          <w:rFonts w:hint="default" w:ascii="Times New Roman" w:hAnsi="Times New Roman" w:cs="Times New Roman"/>
          <w:b/>
          <w:bCs/>
          <w:color w:val="auto"/>
          <w:sz w:val="22"/>
          <w:szCs w:val="22"/>
          <w:highlight w:val="none"/>
          <w:u w:val="dotted"/>
        </w:rPr>
        <w:t xml:space="preserve">                                                                               </w:t>
      </w:r>
    </w:p>
    <w:p w14:paraId="3C24C864">
      <w:pPr>
        <w:pStyle w:val="15"/>
        <w:tabs>
          <w:tab w:val="left" w:pos="2160"/>
        </w:tabs>
        <w:spacing w:line="420" w:lineRule="exact"/>
        <w:ind w:left="1794" w:leftChars="828" w:hanging="55" w:hangingChars="25"/>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发包人招标文件提供的工程量清单及其招标控制价等资料，应被认为是准确的和完整的。当出现下列情形之一的，发包人应及时予以修正，并相应调整合同价款：</w:t>
      </w:r>
    </w:p>
    <w:p w14:paraId="7A01C7A3">
      <w:pPr>
        <w:pStyle w:val="15"/>
        <w:tabs>
          <w:tab w:val="left" w:pos="2160"/>
        </w:tabs>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 xml:space="preserve">             （1）施工设计图纸发生变化的；</w:t>
      </w:r>
    </w:p>
    <w:p w14:paraId="3091F9A9">
      <w:pPr>
        <w:pStyle w:val="15"/>
        <w:tabs>
          <w:tab w:val="left" w:pos="2160"/>
        </w:tabs>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 xml:space="preserve">             （2）出现第68.2款规定调整合同价款事件的；</w:t>
      </w:r>
    </w:p>
    <w:p w14:paraId="0725D7B6">
      <w:pPr>
        <w:pStyle w:val="15"/>
        <w:tabs>
          <w:tab w:val="left" w:pos="2160"/>
        </w:tabs>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 xml:space="preserve">             （3）未按照国家、省有关计价规定编制的其它情形。</w:t>
      </w:r>
    </w:p>
    <w:p w14:paraId="15355352">
      <w:pPr>
        <w:pStyle w:val="15"/>
        <w:tabs>
          <w:tab w:val="left" w:pos="2160"/>
        </w:tabs>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 xml:space="preserve">               （4）工程量清单存在缺项、漏项的；</w:t>
      </w:r>
    </w:p>
    <w:p w14:paraId="3B8F7A15">
      <w:pPr>
        <w:pStyle w:val="15"/>
        <w:adjustRightInd w:val="0"/>
        <w:snapToGrid w:val="0"/>
        <w:spacing w:line="420" w:lineRule="exact"/>
        <w:ind w:right="-238"/>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63DCD09F">
      <w:pPr>
        <w:pStyle w:val="5"/>
        <w:numPr>
          <w:ilvl w:val="0"/>
          <w:numId w:val="0"/>
        </w:numPr>
        <w:tabs>
          <w:tab w:val="left" w:pos="360"/>
          <w:tab w:val="left" w:pos="420"/>
          <w:tab w:val="left" w:pos="1287"/>
        </w:tabs>
        <w:spacing w:line="420" w:lineRule="exact"/>
        <w:rPr>
          <w:rFonts w:hint="default" w:ascii="Times New Roman" w:hAnsi="Times New Roman" w:cs="Times New Roman"/>
          <w:color w:val="auto"/>
          <w:sz w:val="22"/>
          <w:szCs w:val="22"/>
          <w:highlight w:val="none"/>
        </w:rPr>
      </w:pPr>
      <w:bookmarkStart w:id="104" w:name="_Toc12150"/>
      <w:bookmarkStart w:id="105" w:name="_Toc469383989"/>
      <w:r>
        <w:rPr>
          <w:rFonts w:hint="default" w:ascii="Times New Roman" w:hAnsi="Times New Roman" w:cs="Times New Roman"/>
          <w:color w:val="auto"/>
          <w:sz w:val="22"/>
          <w:szCs w:val="22"/>
          <w:highlight w:val="none"/>
        </w:rPr>
        <w:t>10  投标文件的完备性</w:t>
      </w:r>
      <w:bookmarkEnd w:id="104"/>
      <w:bookmarkEnd w:id="105"/>
    </w:p>
    <w:p w14:paraId="4B56C84B">
      <w:pPr>
        <w:pStyle w:val="15"/>
        <w:tabs>
          <w:tab w:val="left" w:pos="1410"/>
        </w:tabs>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683840" behindDoc="0" locked="0" layoutInCell="1" allowOverlap="1">
                <wp:simplePos x="0" y="0"/>
                <wp:positionH relativeFrom="column">
                  <wp:posOffset>-114300</wp:posOffset>
                </wp:positionH>
                <wp:positionV relativeFrom="paragraph">
                  <wp:posOffset>92075</wp:posOffset>
                </wp:positionV>
                <wp:extent cx="914400" cy="812800"/>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914400" cy="812800"/>
                        </a:xfrm>
                        <a:prstGeom prst="rect">
                          <a:avLst/>
                        </a:prstGeom>
                        <a:noFill/>
                        <a:ln>
                          <a:noFill/>
                        </a:ln>
                        <a:effectLst/>
                      </wps:spPr>
                      <wps:txbx>
                        <w:txbxContent>
                          <w:p w14:paraId="6954B3D0">
                            <w:pPr>
                              <w:pStyle w:val="15"/>
                              <w:tabs>
                                <w:tab w:val="left" w:pos="2160"/>
                              </w:tabs>
                              <w:spacing w:before="192" w:beforeLines="80"/>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投标文件完备性和义务</w:t>
                            </w:r>
                          </w:p>
                        </w:txbxContent>
                      </wps:txbx>
                      <wps:bodyPr wrap="square" upright="1"/>
                    </wps:wsp>
                  </a:graphicData>
                </a:graphic>
              </wp:anchor>
            </w:drawing>
          </mc:Choice>
          <mc:Fallback>
            <w:pict>
              <v:shape id="_x0000_s1026" o:spid="_x0000_s1026" o:spt="202" type="#_x0000_t202" style="position:absolute;left:0pt;margin-left:-9pt;margin-top:7.25pt;height:64pt;width:72pt;z-index:251683840;mso-width-relative:page;mso-height-relative:page;" filled="f" stroked="f" coordsize="21600,21600" o:gfxdata="UEsDBAoAAAAAAIdO4kAAAAAAAAAAAAAAAAAEAAAAZHJzL1BLAwQUAAAACACHTuJAduPKGtYAAAAK&#10;AQAADwAAAGRycy9kb3ducmV2LnhtbE2PzW6DMBCE75XyDtZWyi2xQSFKKSaHVL2mavoj9ebgDaDi&#10;NcJOoG/f5dQed2Y0+02xn1wnbjiE1pOGZK1AIFXetlRreH97Xu1AhGjIms4TavjBAPtycVeY3PqR&#10;XvF2irXgEgq50dDE2OdShqpBZ8La90jsXfzgTORzqKUdzMjlrpOpUlvpTEv8oTE9Hhqsvk9Xp+Hj&#10;ePn63KiX+sll/egnJck9SK2X94l6BBFxin9hmPEZHUpmOvsr2SA6Datkx1siG5sMxBxItyycZyHN&#10;QJaF/D+h/AVQSwMEFAAAAAgAh07iQKnccS66AQAAawMAAA4AAABkcnMvZTJvRG9jLnhtbK1TzY7T&#10;MBC+I/EOlu80SVmhEjVdaVUtFwRICw/gOpPGkv/W4zbpC8AbcOLCnefqczB2smVZLnvg4ozn5/N8&#10;30zW16PR7AgBlbMNrxYlZ2Cla5XdN/zL59tXK84wCtsK7Sw0/ATIrzcvX6wHX8PS9U63EBiBWKwH&#10;3/A+Rl8XBcoejMCF82Ap2LlgRKRr2BdtEAOhG10sy/JNMbjQ+uAkIJJ3OwX5jBieA+i6TknYOnkw&#10;YOOEGkCLSJSwVx75JnfbdSDjx65DiEw3nJjGfNIjZO/SWWzWot4H4Xsl5xbEc1p4wskIZenRC9RW&#10;RMEOQf0DZZQMDl0XF9KZYiKSFSEWVflEm7teeMhcSGr0F9Hx/8HKD8dPgam24a8rzqwwNPHz92/n&#10;H7/OP78y8pFAg8ea8u48Zcbxxo20Ng9+JGfiPXbBpC8xYhQneU8XeWGMTJLzbXV1VVJEUmhVLVdk&#10;E3rxp9gHjO/AGZaMhgeaXhZVHN9jnFIfUtJb1t0qrfMEtf3LQZiTB/IKzNWJx9RvsuK4G2dyO9ee&#10;iNtAa9BwvD+IAJwdfFD7ntrIXItUQjPI/c77kob8+E72439k8x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B248oa1gAAAAoBAAAPAAAAAAAAAAEAIAAAACIAAABkcnMvZG93bnJldi54bWxQSwECFAAU&#10;AAAACACHTuJAqdxxLroBAABrAwAADgAAAAAAAAABACAAAAAlAQAAZHJzL2Uyb0RvYy54bWxQSwUG&#10;AAAAAAYABgBZAQAAUQUAAAAA&#10;">
                <v:fill on="f" focussize="0,0"/>
                <v:stroke on="f"/>
                <v:imagedata o:title=""/>
                <o:lock v:ext="edit" aspectratio="f"/>
                <v:textbox>
                  <w:txbxContent>
                    <w:p w14:paraId="6954B3D0">
                      <w:pPr>
                        <w:pStyle w:val="15"/>
                        <w:tabs>
                          <w:tab w:val="left" w:pos="2160"/>
                        </w:tabs>
                        <w:spacing w:before="192" w:beforeLines="80"/>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投标文件完备性和义务</w:t>
                      </w:r>
                    </w:p>
                  </w:txbxContent>
                </v:textbox>
              </v:shape>
            </w:pict>
          </mc:Fallback>
        </mc:AlternateContent>
      </w:r>
      <w:r>
        <w:rPr>
          <w:rFonts w:hint="default" w:ascii="Times New Roman" w:hAnsi="Times New Roman" w:cs="Times New Roman"/>
          <w:b/>
          <w:bCs/>
          <w:color w:val="auto"/>
          <w:sz w:val="22"/>
          <w:szCs w:val="22"/>
          <w:highlight w:val="none"/>
        </w:rPr>
        <w:t xml:space="preserve">10.1                                      </w:t>
      </w:r>
    </w:p>
    <w:p w14:paraId="41E60171">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承包人投标文件中的工程量清单所填单价和合价，应被认为是正确的和完备的，并已包括了承包人履行本合同的全部义务，包括但不限于以下内容：</w:t>
      </w:r>
    </w:p>
    <w:p w14:paraId="283B942B">
      <w:pPr>
        <w:pStyle w:val="15"/>
        <w:adjustRightInd w:val="0"/>
        <w:snapToGrid w:val="0"/>
        <w:spacing w:line="420" w:lineRule="exact"/>
        <w:ind w:right="-24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 xml:space="preserve">            （1）提供材料和工程设备、服务的义务及处理意外事件的义务； </w:t>
      </w:r>
    </w:p>
    <w:p w14:paraId="572B3433">
      <w:pPr>
        <w:pStyle w:val="15"/>
        <w:adjustRightInd w:val="0"/>
        <w:snapToGrid w:val="0"/>
        <w:spacing w:line="420" w:lineRule="exact"/>
        <w:ind w:right="-24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 xml:space="preserve">            （2）实施和完成合同工程的义务；</w:t>
      </w:r>
    </w:p>
    <w:p w14:paraId="03CCACAF">
      <w:pPr>
        <w:pStyle w:val="15"/>
        <w:adjustRightInd w:val="0"/>
        <w:snapToGrid w:val="0"/>
        <w:spacing w:line="420" w:lineRule="exact"/>
        <w:ind w:right="-24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 xml:space="preserve">            （3）工程质量保修的一切义务。</w:t>
      </w:r>
    </w:p>
    <w:p w14:paraId="206D0C91">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10.2  </w:t>
      </w:r>
      <w:r>
        <w:rPr>
          <w:rFonts w:hint="default" w:ascii="Times New Roman" w:hAnsi="Times New Roman" w:cs="Times New Roman"/>
          <w:b/>
          <w:bCs/>
          <w:color w:val="auto"/>
          <w:sz w:val="22"/>
          <w:szCs w:val="22"/>
          <w:highlight w:val="none"/>
          <w:u w:val="dotted"/>
        </w:rPr>
        <w:t xml:space="preserve">                                                                                                        </w:t>
      </w:r>
      <w:r>
        <w:rPr>
          <w:rFonts w:hint="default" w:ascii="Times New Roman" w:hAnsi="Times New Roman" w:cs="Times New Roman"/>
          <w:b/>
          <w:bCs/>
          <w:color w:val="auto"/>
          <w:sz w:val="22"/>
          <w:szCs w:val="22"/>
          <w:highlight w:val="none"/>
        </w:rPr>
        <w:t xml:space="preserve"> </w:t>
      </w:r>
    </w:p>
    <w:p w14:paraId="60AF285F">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684864" behindDoc="0" locked="0" layoutInCell="1" allowOverlap="1">
                <wp:simplePos x="0" y="0"/>
                <wp:positionH relativeFrom="column">
                  <wp:posOffset>-114300</wp:posOffset>
                </wp:positionH>
                <wp:positionV relativeFrom="paragraph">
                  <wp:posOffset>8255</wp:posOffset>
                </wp:positionV>
                <wp:extent cx="914400" cy="455295"/>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914400" cy="455295"/>
                        </a:xfrm>
                        <a:prstGeom prst="rect">
                          <a:avLst/>
                        </a:prstGeom>
                        <a:noFill/>
                        <a:ln>
                          <a:noFill/>
                        </a:ln>
                        <a:effectLst/>
                      </wps:spPr>
                      <wps:txbx>
                        <w:txbxContent>
                          <w:p w14:paraId="3FBFA898">
                            <w:pPr>
                              <w:rPr>
                                <w:rFonts w:ascii="楷体_GB2312" w:hAnsi="宋体" w:eastAsia="楷体_GB2312" w:cs="Times New Roman"/>
                                <w:sz w:val="18"/>
                                <w:szCs w:val="18"/>
                              </w:rPr>
                            </w:pPr>
                            <w:r>
                              <w:rPr>
                                <w:rFonts w:hint="eastAsia" w:ascii="楷体_GB2312" w:hAnsi="宋体" w:eastAsia="楷体_GB2312" w:cs="楷体_GB2312"/>
                                <w:b/>
                                <w:bCs/>
                                <w:color w:val="000000"/>
                                <w:sz w:val="18"/>
                                <w:szCs w:val="18"/>
                              </w:rPr>
                              <w:t>承包人报价的限制</w:t>
                            </w:r>
                          </w:p>
                        </w:txbxContent>
                      </wps:txbx>
                      <wps:bodyPr wrap="square" upright="1"/>
                    </wps:wsp>
                  </a:graphicData>
                </a:graphic>
              </wp:anchor>
            </w:drawing>
          </mc:Choice>
          <mc:Fallback>
            <w:pict>
              <v:shape id="_x0000_s1026" o:spid="_x0000_s1026" o:spt="202" type="#_x0000_t202" style="position:absolute;left:0pt;margin-left:-9pt;margin-top:0.65pt;height:35.85pt;width:72pt;z-index:251684864;mso-width-relative:page;mso-height-relative:page;" filled="f" stroked="f" coordsize="21600,21600" o:gfxdata="UEsDBAoAAAAAAIdO4kAAAAAAAAAAAAAAAAAEAAAAZHJzL1BLAwQUAAAACACHTuJAQ7+MQ9UAAAAI&#10;AQAADwAAAGRycy9kb3ducmV2LnhtbE2Py07DMBBF90j8gzVI7Fo7LZQSMukCxBZEeUjs3HiaRMTj&#10;KHab8PdMV3R5dUZ3zi02k+/UkYbYBkbI5gYUcRVcyzXCx/vzbA0qJsvOdoEJ4ZcibMrLi8LmLoz8&#10;RsdtqpWUcMwtQpNSn2sdq4a8jfPQEwvbh8HbJHGotRvsKOW+0wtjVtrbluVDY3t6bKj62R48wufL&#10;/vvrxrzWT/62H8NkNPt7jXh9lZkHUImm9H8MJ31Rh1KcduHALqoOYZatZUsSsAR14ouV5B3C3dKA&#10;Lgt9PqD8A1BLAwQUAAAACACHTuJAo1IYVrsBAABrAwAADgAAAGRycy9lMm9Eb2MueG1srVPNjtMw&#10;EL4j8Q6W7zRpt0Vs1HQlVC0XBEjLPoDrjBtL/sPjNukLwBtw4sKd5+pzME6yZVkue+DijOfn83zf&#10;TNY3vTXsCBG1dzWfz0rOwEnfaLev+f3n21dvOMMkXCOMd1DzEyC/2bx8se5CBQvfetNAZATisOpC&#10;zduUQlUUKFuwAmc+gKOg8tGKRNe4L5ooOkK3pliU5eui87EJ0UtAJO92DPIJMT4H0CulJWy9PFhw&#10;aUSNYEQiStjqgHwzdKsUyPRRKYTETM2JaRpOeoTsXT6LzVpU+yhCq+XUgnhOC084WaEdPXqB2ook&#10;2CHqf6CsltGjV2kmvS1GIoMixGJePtHmrhUBBi4kNYaL6Pj/YOWH46fIdFPzqyvOnLA08fP3b+cf&#10;v84/vzLykUBdwIry7gJlpv6t72ltHvxIzsy7V9HmLzFiFCd5Txd5oU9MkvN6vlyWFJEUWq5Wi+tV&#10;Rin+FIeI6R14y7JR80jTG0QVx/eYxtSHlPyW87famGGCxv3lIMzRA8MKTNWZx9hvtlK/6ydyO9+c&#10;iFtHa1Bz/HIQETg7hKj3LbUxcC1yCc1g6Hfalzzkx3eyH/8jm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BDv4xD1QAAAAgBAAAPAAAAAAAAAAEAIAAAACIAAABkcnMvZG93bnJldi54bWxQSwECFAAU&#10;AAAACACHTuJAo1IYVrsBAABrAwAADgAAAAAAAAABACAAAAAkAQAAZHJzL2Uyb0RvYy54bWxQSwUG&#10;AAAAAAYABgBZAQAAUQUAAAAA&#10;">
                <v:fill on="f" focussize="0,0"/>
                <v:stroke on="f"/>
                <v:imagedata o:title=""/>
                <o:lock v:ext="edit" aspectratio="f"/>
                <v:textbox>
                  <w:txbxContent>
                    <w:p w14:paraId="3FBFA898">
                      <w:pPr>
                        <w:rPr>
                          <w:rFonts w:ascii="楷体_GB2312" w:hAnsi="宋体" w:eastAsia="楷体_GB2312" w:cs="Times New Roman"/>
                          <w:sz w:val="18"/>
                          <w:szCs w:val="18"/>
                        </w:rPr>
                      </w:pPr>
                      <w:r>
                        <w:rPr>
                          <w:rFonts w:hint="eastAsia" w:ascii="楷体_GB2312" w:hAnsi="宋体" w:eastAsia="楷体_GB2312" w:cs="楷体_GB2312"/>
                          <w:b/>
                          <w:bCs/>
                          <w:color w:val="000000"/>
                          <w:sz w:val="18"/>
                          <w:szCs w:val="18"/>
                        </w:rPr>
                        <w:t>承包人报价的限制</w:t>
                      </w:r>
                    </w:p>
                  </w:txbxContent>
                </v:textbox>
              </v:shape>
            </w:pict>
          </mc:Fallback>
        </mc:AlternateContent>
      </w:r>
      <w:r>
        <w:rPr>
          <w:rFonts w:hint="default" w:ascii="Times New Roman" w:hAnsi="Times New Roman" w:cs="Times New Roman"/>
          <w:color w:val="auto"/>
          <w:sz w:val="22"/>
          <w:szCs w:val="22"/>
          <w:highlight w:val="none"/>
        </w:rPr>
        <w:t>承包人投标文件中的工程量清单中没有填入单价或合价的清单项目，应认为该项目价款已包含在工程量清单的其他项目的单价或合价中，发包人将不另行支付。</w:t>
      </w:r>
    </w:p>
    <w:p w14:paraId="716BAE59">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10.3  </w:t>
      </w:r>
      <w:r>
        <w:rPr>
          <w:rFonts w:hint="default" w:ascii="Times New Roman" w:hAnsi="Times New Roman" w:cs="Times New Roman"/>
          <w:b/>
          <w:bCs/>
          <w:color w:val="auto"/>
          <w:sz w:val="22"/>
          <w:szCs w:val="22"/>
          <w:highlight w:val="none"/>
          <w:u w:val="dotted"/>
        </w:rPr>
        <w:t xml:space="preserve">                                                                                                        </w:t>
      </w:r>
      <w:r>
        <w:rPr>
          <w:rFonts w:hint="default" w:ascii="Times New Roman" w:hAnsi="Times New Roman" w:cs="Times New Roman"/>
          <w:b/>
          <w:bCs/>
          <w:color w:val="auto"/>
          <w:sz w:val="22"/>
          <w:szCs w:val="22"/>
          <w:highlight w:val="none"/>
        </w:rPr>
        <w:t xml:space="preserve"> </w:t>
      </w:r>
    </w:p>
    <w:p w14:paraId="7B77C010">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685888" behindDoc="0" locked="0" layoutInCell="1" allowOverlap="1">
                <wp:simplePos x="0" y="0"/>
                <wp:positionH relativeFrom="column">
                  <wp:posOffset>-114300</wp:posOffset>
                </wp:positionH>
                <wp:positionV relativeFrom="paragraph">
                  <wp:posOffset>8255</wp:posOffset>
                </wp:positionV>
                <wp:extent cx="914400" cy="455295"/>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914400" cy="455295"/>
                        </a:xfrm>
                        <a:prstGeom prst="rect">
                          <a:avLst/>
                        </a:prstGeom>
                        <a:noFill/>
                        <a:ln>
                          <a:noFill/>
                        </a:ln>
                        <a:effectLst/>
                      </wps:spPr>
                      <wps:txbx>
                        <w:txbxContent>
                          <w:p w14:paraId="2DA1692B">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算术性错误的调整</w:t>
                            </w:r>
                          </w:p>
                        </w:txbxContent>
                      </wps:txbx>
                      <wps:bodyPr wrap="square" upright="1"/>
                    </wps:wsp>
                  </a:graphicData>
                </a:graphic>
              </wp:anchor>
            </w:drawing>
          </mc:Choice>
          <mc:Fallback>
            <w:pict>
              <v:shape id="_x0000_s1026" o:spid="_x0000_s1026" o:spt="202" type="#_x0000_t202" style="position:absolute;left:0pt;margin-left:-9pt;margin-top:0.65pt;height:35.85pt;width:72pt;z-index:251685888;mso-width-relative:page;mso-height-relative:page;" filled="f" stroked="f" coordsize="21600,21600" o:gfxdata="UEsDBAoAAAAAAIdO4kAAAAAAAAAAAAAAAAAEAAAAZHJzL1BLAwQUAAAACACHTuJAQ7+MQ9UAAAAI&#10;AQAADwAAAGRycy9kb3ducmV2LnhtbE2Py07DMBBF90j8gzVI7Fo7LZQSMukCxBZEeUjs3HiaRMTj&#10;KHab8PdMV3R5dUZ3zi02k+/UkYbYBkbI5gYUcRVcyzXCx/vzbA0qJsvOdoEJ4ZcibMrLi8LmLoz8&#10;RsdtqpWUcMwtQpNSn2sdq4a8jfPQEwvbh8HbJHGotRvsKOW+0wtjVtrbluVDY3t6bKj62R48wufL&#10;/vvrxrzWT/62H8NkNPt7jXh9lZkHUImm9H8MJ31Rh1KcduHALqoOYZatZUsSsAR14ouV5B3C3dKA&#10;Lgt9PqD8A1BLAwQUAAAACACHTuJAh+vX97sBAABrAwAADgAAAGRycy9lMm9Eb2MueG1srVPNjtMw&#10;EL4j8Q6W7zRpaREbNV1pVS0XBEgLD+A6k8aS//C4TfoC8AacuHDnufocjJ1sWZbLHvbijOfn83zf&#10;TNbXg9HsCAGVszWfz0rOwErXKLuv+ZfPt6/ecoZR2EZoZ6HmJ0B+vXn5Yt37Chauc7qBwAjEYtX7&#10;mncx+qooUHZgBM6cB0vB1gUjIl3DvmiC6And6GJRlm+K3oXGBycBkbzbMcgnxPAUQNe2SsLWyYMB&#10;G0fUAFpEooSd8sg3udu2BRk/ti1CZLrmxDTmkx4he5fOYrMW1T4I3yk5tSCe0sIjTkYoS49eoLYi&#10;CnYI6j8oo2Rw6No4k84UI5GsCLGYl4+0ueuEh8yFpEZ/ER2fD1Z+OH4KTDU1f73kzApDEz//+H7+&#10;+fv86xsjHwnUe6wo785TZhxu3EBrc+9HcibeQxtM+hIjRnGS93SRF4bIJDmv5stlSRFJoeVqtbha&#10;JZTib7EPGN+BMywZNQ80vSyqOL7HOKbep6S3rLtVWucJavuPgzBHD+QVmKoTj7HfZMVhN0zkdq45&#10;Ebee1qDm+PUgAnB28EHtO2ojcy1SCc0g9zvtSxrywzvZD/+RzR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BDv4xD1QAAAAgBAAAPAAAAAAAAAAEAIAAAACIAAABkcnMvZG93bnJldi54bWxQSwECFAAU&#10;AAAACACHTuJAh+vX97sBAABrAwAADgAAAAAAAAABACAAAAAkAQAAZHJzL2Uyb0RvYy54bWxQSwUG&#10;AAAAAAYABgBZAQAAUQUAAAAA&#10;">
                <v:fill on="f" focussize="0,0"/>
                <v:stroke on="f"/>
                <v:imagedata o:title=""/>
                <o:lock v:ext="edit" aspectratio="f"/>
                <v:textbox>
                  <w:txbxContent>
                    <w:p w14:paraId="2DA1692B">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算术性错误的调整</w:t>
                      </w:r>
                    </w:p>
                  </w:txbxContent>
                </v:textbox>
              </v:shape>
            </w:pict>
          </mc:Fallback>
        </mc:AlternateContent>
      </w:r>
      <w:r>
        <w:rPr>
          <w:rFonts w:hint="default" w:ascii="Times New Roman" w:hAnsi="Times New Roman" w:cs="Times New Roman"/>
          <w:color w:val="auto"/>
          <w:sz w:val="22"/>
          <w:szCs w:val="22"/>
          <w:highlight w:val="none"/>
        </w:rPr>
        <w:t>承包人投标文件中出现算术性错误，导致其实际总造价与报价总金额不一致时，合同双方当事人可按照国家、省有关规定予以修正，并相应调整合同价款。</w:t>
      </w:r>
    </w:p>
    <w:p w14:paraId="209B5B38">
      <w:pPr>
        <w:pStyle w:val="15"/>
        <w:adjustRightInd w:val="0"/>
        <w:snapToGrid w:val="0"/>
        <w:spacing w:line="420" w:lineRule="exact"/>
        <w:ind w:left="1486" w:leftChars="1" w:hanging="1484" w:hangingChars="674"/>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u w:val="single"/>
        </w:rPr>
        <w:t xml:space="preserve">                                                                                                 </w:t>
      </w:r>
    </w:p>
    <w:p w14:paraId="6547977C">
      <w:pPr>
        <w:pStyle w:val="15"/>
        <w:adjustRightInd w:val="0"/>
        <w:snapToGrid w:val="0"/>
        <w:spacing w:before="240" w:beforeLines="100" w:line="420" w:lineRule="exact"/>
        <w:ind w:firstLine="601"/>
        <w:rPr>
          <w:rFonts w:hint="default" w:ascii="Times New Roman" w:hAnsi="Times New Roman" w:cs="Times New Roman"/>
          <w:b/>
          <w:bCs/>
          <w:color w:val="auto"/>
          <w:sz w:val="22"/>
          <w:szCs w:val="22"/>
          <w:highlight w:val="none"/>
        </w:rPr>
      </w:pPr>
    </w:p>
    <w:p w14:paraId="3C748452">
      <w:pPr>
        <w:pStyle w:val="15"/>
        <w:adjustRightInd w:val="0"/>
        <w:snapToGrid w:val="0"/>
        <w:spacing w:before="240" w:beforeLines="100" w:line="420" w:lineRule="exact"/>
        <w:outlineLvl w:val="2"/>
        <w:rPr>
          <w:rFonts w:hint="default" w:ascii="Times New Roman" w:hAnsi="Times New Roman" w:cs="Times New Roman"/>
          <w:b/>
          <w:bCs/>
          <w:color w:val="auto"/>
          <w:sz w:val="22"/>
          <w:szCs w:val="22"/>
          <w:highlight w:val="none"/>
        </w:rPr>
      </w:pPr>
      <w:bookmarkStart w:id="106" w:name="_Toc469383990"/>
      <w:bookmarkStart w:id="107" w:name="_Toc8572"/>
      <w:r>
        <w:rPr>
          <w:rFonts w:hint="default" w:ascii="Times New Roman" w:hAnsi="Times New Roman" w:cs="Times New Roman"/>
          <w:b/>
          <w:bCs/>
          <w:color w:val="auto"/>
          <w:sz w:val="22"/>
          <w:szCs w:val="22"/>
          <w:highlight w:val="none"/>
        </w:rPr>
        <w:t>11  文物和地下障碍物</w:t>
      </w:r>
      <w:bookmarkEnd w:id="106"/>
      <w:bookmarkEnd w:id="107"/>
    </w:p>
    <w:p w14:paraId="722529D4">
      <w:pPr>
        <w:pStyle w:val="15"/>
        <w:adjustRightInd w:val="0"/>
        <w:snapToGrid w:val="0"/>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 xml:space="preserve">11.1  </w:t>
      </w:r>
      <w:r>
        <w:rPr>
          <w:rFonts w:hint="default" w:ascii="Times New Roman" w:hAnsi="Times New Roman" w:cs="Times New Roman"/>
          <w:color w:val="auto"/>
          <w:sz w:val="22"/>
          <w:szCs w:val="22"/>
          <w:highlight w:val="none"/>
        </w:rPr>
        <w:t xml:space="preserve">                                     </w:t>
      </w:r>
    </w:p>
    <w:p w14:paraId="503383D8">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686912" behindDoc="0" locked="0" layoutInCell="1" allowOverlap="1">
                <wp:simplePos x="0" y="0"/>
                <wp:positionH relativeFrom="column">
                  <wp:posOffset>-114300</wp:posOffset>
                </wp:positionH>
                <wp:positionV relativeFrom="paragraph">
                  <wp:posOffset>-7620</wp:posOffset>
                </wp:positionV>
                <wp:extent cx="914400" cy="495300"/>
                <wp:effectExtent l="0" t="0" r="0" b="0"/>
                <wp:wrapNone/>
                <wp:docPr id="36" name="文本框 36"/>
                <wp:cNvGraphicFramePr/>
                <a:graphic xmlns:a="http://schemas.openxmlformats.org/drawingml/2006/main">
                  <a:graphicData uri="http://schemas.microsoft.com/office/word/2010/wordprocessingShape">
                    <wps:wsp>
                      <wps:cNvSpPr txBox="1"/>
                      <wps:spPr>
                        <a:xfrm>
                          <a:off x="0" y="0"/>
                          <a:ext cx="914400" cy="495300"/>
                        </a:xfrm>
                        <a:prstGeom prst="rect">
                          <a:avLst/>
                        </a:prstGeom>
                        <a:noFill/>
                        <a:ln>
                          <a:noFill/>
                        </a:ln>
                        <a:effectLst/>
                      </wps:spPr>
                      <wps:txbx>
                        <w:txbxContent>
                          <w:p w14:paraId="07C11840">
                            <w:pPr>
                              <w:rPr>
                                <w:rFonts w:ascii="楷体_GB2312" w:hAnsi="宋体" w:eastAsia="楷体_GB2312" w:cs="Times New Roman"/>
                                <w:sz w:val="18"/>
                                <w:szCs w:val="18"/>
                              </w:rPr>
                            </w:pPr>
                            <w:r>
                              <w:rPr>
                                <w:rFonts w:hint="eastAsia" w:ascii="楷体_GB2312" w:hAnsi="宋体" w:eastAsia="楷体_GB2312" w:cs="楷体_GB2312"/>
                                <w:b/>
                                <w:bCs/>
                                <w:color w:val="000000"/>
                                <w:sz w:val="18"/>
                                <w:szCs w:val="18"/>
                              </w:rPr>
                              <w:t>文物化石等物品保护</w:t>
                            </w:r>
                          </w:p>
                        </w:txbxContent>
                      </wps:txbx>
                      <wps:bodyPr wrap="square" upright="1"/>
                    </wps:wsp>
                  </a:graphicData>
                </a:graphic>
              </wp:anchor>
            </w:drawing>
          </mc:Choice>
          <mc:Fallback>
            <w:pict>
              <v:shape id="_x0000_s1026" o:spid="_x0000_s1026" o:spt="202" type="#_x0000_t202" style="position:absolute;left:0pt;margin-left:-9pt;margin-top:-0.6pt;height:39pt;width:72pt;z-index:251686912;mso-width-relative:page;mso-height-relative:page;" filled="f" stroked="f" coordsize="21600,21600" o:gfxdata="UEsDBAoAAAAAAIdO4kAAAAAAAAAAAAAAAAAEAAAAZHJzL1BLAwQUAAAACACHTuJAY2HuttYAAAAJ&#10;AQAADwAAAGRycy9kb3ducmV2LnhtbE2PQU/DMAyF70j8h8hI3DanFZSuNN0BxBXEBki7ZY3XVjRO&#10;1WRr+fekJ7jZfk/P3yu3s+3FhUbfOVaQrCUI4tqZjhsFH/uXVQ7CB81G945JwQ952FbXV6UujJv4&#10;nS670IgYwr7QCtoQhgLR1y1Z7dduII7ayY1Wh7iODZpRTzHc9phKmaHVHccPrR7oqaX6e3e2Cj5f&#10;T4evO/nWPNv7YXKzRLYbVOr2JpGPIALN4c8MC35EhyoyHd2ZjRe9glWSxy5hGVIQiyHN4uGo4CHL&#10;AasS/zeofgFQSwMEFAAAAAgAh07iQEDqSOe8AQAAawMAAA4AAABkcnMvZTJvRG9jLnhtbK1TS27b&#10;MBDdB+gdCO5ryokbJILlAIWRboqmQJoD0NTQIiB+yqEt+QLtDbLqpvuey+foUFLcNN1k0Q01nM/j&#10;vDej5U1vW7aHiMa7is9nBWfglK+N21b84cvt2yvOMElXy9Y7qPgBkN+s3pwtu1DCuW98W0NkBOKw&#10;7ELFm5RCKQSqBqzEmQ/gKKh9tDLRNW5FHWVH6LYV50VxKTof6xC9AkTyrscgnxDjawC91kbB2qud&#10;BZdG1AitTEQJGxOQr4ZutQaV7rRGSKytODFNw0mPkL3Jp1gtZbmNMjRGTS3I17TwgpOVxtGjJ6i1&#10;TJLtovkHyhoVPXqdZspbMRIZFCEW8+KFNveNDDBwIakxnETH/werPu0/R2bqil9ccuakpYkfH78f&#10;f/w6/vzGyEcCdQFLyrsPlJn6976ntXnyIzkz715Hm7/EiFGc5D2c5IU+MUXO6/liUVBEUWhx/e6C&#10;bEIXf4pDxPQBvGXZqHik6Q2iyv1HTGPqU0p+y/lb07bDBFv3l4MwRw8MKzBVZx5jv9lK/aafyG18&#10;fSBuHa1BxfHrTkbgbBei2TbUxsBV5BKawdDvtC95yM/vZD//R1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GNh7rbWAAAACQEAAA8AAAAAAAAAAQAgAAAAIgAAAGRycy9kb3ducmV2LnhtbFBLAQIU&#10;ABQAAAAIAIdO4kBA6kjnvAEAAGsDAAAOAAAAAAAAAAEAIAAAACUBAABkcnMvZTJvRG9jLnhtbFBL&#10;BQYAAAAABgAGAFkBAABTBQAAAAA=&#10;">
                <v:fill on="f" focussize="0,0"/>
                <v:stroke on="f"/>
                <v:imagedata o:title=""/>
                <o:lock v:ext="edit" aspectratio="f"/>
                <v:textbox>
                  <w:txbxContent>
                    <w:p w14:paraId="07C11840">
                      <w:pPr>
                        <w:rPr>
                          <w:rFonts w:ascii="楷体_GB2312" w:hAnsi="宋体" w:eastAsia="楷体_GB2312" w:cs="Times New Roman"/>
                          <w:sz w:val="18"/>
                          <w:szCs w:val="18"/>
                        </w:rPr>
                      </w:pPr>
                      <w:r>
                        <w:rPr>
                          <w:rFonts w:hint="eastAsia" w:ascii="楷体_GB2312" w:hAnsi="宋体" w:eastAsia="楷体_GB2312" w:cs="楷体_GB2312"/>
                          <w:b/>
                          <w:bCs/>
                          <w:color w:val="000000"/>
                          <w:sz w:val="18"/>
                          <w:szCs w:val="18"/>
                        </w:rPr>
                        <w:t>文物化石等物品保护</w:t>
                      </w:r>
                    </w:p>
                  </w:txbxContent>
                </v:textbox>
              </v:shape>
            </w:pict>
          </mc:Fallback>
        </mc:AlternateContent>
      </w:r>
      <w:r>
        <w:rPr>
          <w:rFonts w:hint="default" w:ascii="Times New Roman" w:hAnsi="Times New Roman" w:cs="Times New Roman"/>
          <w:color w:val="auto"/>
          <w:sz w:val="22"/>
          <w:szCs w:val="22"/>
          <w:highlight w:val="none"/>
        </w:rPr>
        <w:t>在施工现场发现的古墓、古建筑遗址等文物、古迹以及其他具有考古、地质研究等价值的遗迹、化石、钱币或物品，属于国家所有。一旦发现上述文物，承包人应立即保护好现场，防止任何人员移动或损坏上述文物，并于4小时内以书面形式通知监理工程师和发包人。监理工程师应在收到通知后立即指令承包人继续保护好现场，并在收到通知后24小时内报告当地文物管理部门，合同双方当事人应按照文物管理部门的要求采取妥善保护措施。发包人承担由此增加的费用和（或）工期延误，并向承包人支付合理利润。</w:t>
      </w:r>
    </w:p>
    <w:p w14:paraId="10D3DFB9">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如发现文物后隐瞒不报或报告不及时，导致上述文物丢失或遭受破坏的，由责任方赔偿损失，并承担相应的法律责任。</w:t>
      </w:r>
    </w:p>
    <w:p w14:paraId="7011B0FB">
      <w:pPr>
        <w:pStyle w:val="15"/>
        <w:adjustRightInd w:val="0"/>
        <w:snapToGrid w:val="0"/>
        <w:spacing w:line="420" w:lineRule="exact"/>
        <w:rPr>
          <w:rFonts w:hint="default" w:ascii="Times New Roman" w:hAnsi="Times New Roman" w:cs="Times New Roman"/>
          <w:b/>
          <w:bCs/>
          <w:color w:val="auto"/>
          <w:sz w:val="22"/>
          <w:szCs w:val="22"/>
          <w:highlight w:val="none"/>
        </w:rPr>
      </w:pPr>
    </w:p>
    <w:p w14:paraId="11AE1D80">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687936" behindDoc="0" locked="0" layoutInCell="1" allowOverlap="1">
                <wp:simplePos x="0" y="0"/>
                <wp:positionH relativeFrom="column">
                  <wp:posOffset>-114300</wp:posOffset>
                </wp:positionH>
                <wp:positionV relativeFrom="paragraph">
                  <wp:posOffset>233045</wp:posOffset>
                </wp:positionV>
                <wp:extent cx="914400" cy="4953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914400" cy="495300"/>
                        </a:xfrm>
                        <a:prstGeom prst="rect">
                          <a:avLst/>
                        </a:prstGeom>
                        <a:noFill/>
                        <a:ln>
                          <a:noFill/>
                        </a:ln>
                        <a:effectLst/>
                      </wps:spPr>
                      <wps:txbx>
                        <w:txbxContent>
                          <w:p w14:paraId="0F93B0D8">
                            <w:pPr>
                              <w:rPr>
                                <w:rFonts w:ascii="楷体_GB2312" w:hAnsi="宋体" w:eastAsia="楷体_GB2312" w:cs="Times New Roman"/>
                                <w:sz w:val="18"/>
                                <w:szCs w:val="18"/>
                              </w:rPr>
                            </w:pPr>
                            <w:r>
                              <w:rPr>
                                <w:rFonts w:hint="eastAsia" w:ascii="楷体_GB2312" w:hAnsi="宋体" w:eastAsia="楷体_GB2312" w:cs="楷体_GB2312"/>
                                <w:b/>
                                <w:bCs/>
                                <w:color w:val="000000"/>
                                <w:sz w:val="18"/>
                                <w:szCs w:val="18"/>
                              </w:rPr>
                              <w:t>地下障碍物处置</w:t>
                            </w:r>
                          </w:p>
                        </w:txbxContent>
                      </wps:txbx>
                      <wps:bodyPr wrap="square" upright="1"/>
                    </wps:wsp>
                  </a:graphicData>
                </a:graphic>
              </wp:anchor>
            </w:drawing>
          </mc:Choice>
          <mc:Fallback>
            <w:pict>
              <v:shape id="_x0000_s1026" o:spid="_x0000_s1026" o:spt="202" type="#_x0000_t202" style="position:absolute;left:0pt;margin-left:-9pt;margin-top:18.35pt;height:39pt;width:72pt;z-index:251687936;mso-width-relative:page;mso-height-relative:page;" filled="f" stroked="f" coordsize="21600,21600" o:gfxdata="UEsDBAoAAAAAAIdO4kAAAAAAAAAAAAAAAAAEAAAAZHJzL1BLAwQUAAAACACHTuJA3z2d4NgAAAAK&#10;AQAADwAAAGRycy9kb3ducmV2LnhtbE2PQW/CMAyF75P2HyJP2g2SMlZY15TDpl03wQCJW2hMW61x&#10;qibQ7t/PnNjN9nt6/l6+Gl0rLtiHxpOGZKpAIJXeNlRp2H5/TJYgQjRkTesJNfxigFVxf5ebzPqB&#10;1njZxEpwCIXMaKhj7DIpQ1mjM2HqOyTWTr53JvLaV9L2ZuBw18qZUql0piH+UJsO32osfzZnp2H3&#10;eTrs5+qrenfP3eBHJcm9SK0fHxL1CiLiGG9muOIzOhTMdPRnskG0GibJkrtEDU/pAsTVMEv5cOQh&#10;mS9AFrn8X6H4A1BLAwQUAAAACACHTuJAeXEIZbwBAABrAwAADgAAAGRycy9lMm9Eb2MueG1srVNL&#10;btswEN0X6B0I7mvKiVM0guUAhZFuirZAkgPQ1NAiIH7KoS35Au0Nuuom+5zL58hQUtw03WTRDTWc&#10;z+O8N6PlVW9btoeIxruKz2cFZ+CUr43bVvzu9vrdB84wSVfL1juo+AGQX63evll2oYQz3/i2hsgI&#10;xGHZhYo3KYVSCFQNWIkzH8BRUPtoZaJr3Io6yo7QbSvOiuK96HysQ/QKEMm7HoN8QoyvAfRaGwVr&#10;r3YWXBpRI7QyESVsTEC+GrrVGlT6qjVCYm3FiWkaTnqE7E0+xWopy22UoTFqakG+poUXnKw0jh49&#10;Qa1lkmwXzT9Q1qjo0es0U96KkcigCLGYFy+0uWlkgIELSY3hJDr+P1j1Zf8tMlNX/PyCMyctTfz4&#10;6+fx98Px/gcjHwnUBSwp7yZQZuo/+p7W5smP5My8ex1t/hIjRnGS93CSF/rEFDkv54tFQRFFocXl&#10;xTnZhC7+FIeI6RN4y7JR8UjTG0SV+8+YxtSnlPyW89embYcJtu4vB2GOHhhWYKrOPMZ+s5X6TT+R&#10;2/j6QNw6WoOK4/edjMDZLkSzbaiNgavIJTSDod9pX/KQn9/Jfv6PrB4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3z2d4NgAAAAKAQAADwAAAAAAAAABACAAAAAiAAAAZHJzL2Rvd25yZXYueG1sUEsB&#10;AhQAFAAAAAgAh07iQHlxCGW8AQAAawMAAA4AAAAAAAAAAQAgAAAAJwEAAGRycy9lMm9Eb2MueG1s&#10;UEsFBgAAAAAGAAYAWQEAAFUFAAAAAA==&#10;">
                <v:fill on="f" focussize="0,0"/>
                <v:stroke on="f"/>
                <v:imagedata o:title=""/>
                <o:lock v:ext="edit" aspectratio="f"/>
                <v:textbox>
                  <w:txbxContent>
                    <w:p w14:paraId="0F93B0D8">
                      <w:pPr>
                        <w:rPr>
                          <w:rFonts w:ascii="楷体_GB2312" w:hAnsi="宋体" w:eastAsia="楷体_GB2312" w:cs="Times New Roman"/>
                          <w:sz w:val="18"/>
                          <w:szCs w:val="18"/>
                        </w:rPr>
                      </w:pPr>
                      <w:r>
                        <w:rPr>
                          <w:rFonts w:hint="eastAsia" w:ascii="楷体_GB2312" w:hAnsi="宋体" w:eastAsia="楷体_GB2312" w:cs="楷体_GB2312"/>
                          <w:b/>
                          <w:bCs/>
                          <w:color w:val="000000"/>
                          <w:sz w:val="18"/>
                          <w:szCs w:val="18"/>
                        </w:rPr>
                        <w:t>地下障碍物处置</w:t>
                      </w:r>
                    </w:p>
                  </w:txbxContent>
                </v:textbox>
              </v:shape>
            </w:pict>
          </mc:Fallback>
        </mc:AlternateContent>
      </w:r>
      <w:r>
        <w:rPr>
          <w:rFonts w:hint="default" w:ascii="Times New Roman" w:hAnsi="Times New Roman" w:cs="Times New Roman"/>
          <w:b/>
          <w:bCs/>
          <w:color w:val="auto"/>
          <w:sz w:val="22"/>
          <w:szCs w:val="22"/>
          <w:highlight w:val="none"/>
        </w:rPr>
        <w:t xml:space="preserve">11.2  </w:t>
      </w:r>
      <w:r>
        <w:rPr>
          <w:rFonts w:hint="default" w:ascii="Times New Roman" w:hAnsi="Times New Roman" w:cs="Times New Roman"/>
          <w:b/>
          <w:bCs/>
          <w:color w:val="auto"/>
          <w:sz w:val="22"/>
          <w:szCs w:val="22"/>
          <w:highlight w:val="none"/>
          <w:u w:val="dotted"/>
        </w:rPr>
        <w:t xml:space="preserve">                                                                                                       </w:t>
      </w:r>
    </w:p>
    <w:p w14:paraId="0ED270EF">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本合同已明确指出的地下障碍物（发包人招标文件提供的工程量清单有列明或提供的地质资料已明确反映的），应视为承包人在投标报价时已预见其对施工的影响，并已在合同价款中考虑。</w:t>
      </w:r>
    </w:p>
    <w:p w14:paraId="4E843309">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本合同未有明确指出的地下障碍物（发包人招标文件提供的工程量清单没列明或提供的地质资料不能明确反映的），在施工过</w:t>
      </w:r>
      <w:r>
        <w:rPr>
          <w:rFonts w:hint="default" w:ascii="Times New Roman" w:hAnsi="Times New Roman" w:cs="Times New Roman"/>
          <w:color w:val="auto"/>
          <w:sz w:val="22"/>
          <w:szCs w:val="22"/>
          <w:highlight w:val="none"/>
          <w:lang w:eastAsia="zh-CN"/>
        </w:rPr>
        <w:t>程中</w:t>
      </w:r>
      <w:r>
        <w:rPr>
          <w:rFonts w:hint="default" w:ascii="Times New Roman" w:hAnsi="Times New Roman" w:cs="Times New Roman"/>
          <w:color w:val="auto"/>
          <w:sz w:val="22"/>
          <w:szCs w:val="22"/>
          <w:highlight w:val="none"/>
        </w:rPr>
        <w:t>遇到时，承包人应于8小时内以书面形式通知监理工程师和发包人，并提出处置方案。监理工程师在收到处置方案后24小时内予以确认或提出修正方案，并发出施工指令。承包人应按照监理工程师指令进行施工。发包人应承担由此增加的费用和（或）延误的工期，并向承包人支付合理利润。</w:t>
      </w:r>
    </w:p>
    <w:p w14:paraId="5B9C7093">
      <w:pPr>
        <w:pStyle w:val="15"/>
        <w:adjustRightInd w:val="0"/>
        <w:snapToGrid w:val="0"/>
        <w:spacing w:line="420" w:lineRule="exact"/>
        <w:ind w:right="-238"/>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261C6553">
      <w:pPr>
        <w:pStyle w:val="15"/>
        <w:tabs>
          <w:tab w:val="left" w:pos="1620"/>
        </w:tabs>
        <w:adjustRightInd w:val="0"/>
        <w:snapToGrid w:val="0"/>
        <w:spacing w:before="240" w:beforeLines="100" w:line="420" w:lineRule="exact"/>
        <w:outlineLvl w:val="2"/>
        <w:rPr>
          <w:rFonts w:hint="default" w:ascii="Times New Roman" w:hAnsi="Times New Roman" w:cs="Times New Roman"/>
          <w:b/>
          <w:bCs/>
          <w:color w:val="auto"/>
          <w:sz w:val="22"/>
          <w:szCs w:val="22"/>
          <w:highlight w:val="none"/>
        </w:rPr>
      </w:pPr>
      <w:bookmarkStart w:id="108" w:name="_Toc469383991"/>
      <w:bookmarkStart w:id="109" w:name="_Toc16873"/>
      <w:r>
        <w:rPr>
          <w:rFonts w:hint="default" w:ascii="Times New Roman" w:hAnsi="Times New Roman" w:cs="Times New Roman"/>
          <w:b/>
          <w:bCs/>
          <w:color w:val="auto"/>
          <w:sz w:val="22"/>
          <w:szCs w:val="22"/>
          <w:highlight w:val="none"/>
        </w:rPr>
        <w:t>12  事故处理</w:t>
      </w:r>
      <w:bookmarkEnd w:id="108"/>
      <w:bookmarkEnd w:id="109"/>
    </w:p>
    <w:p w14:paraId="272EE5FA">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688960" behindDoc="0" locked="0" layoutInCell="1" allowOverlap="1">
                <wp:simplePos x="0" y="0"/>
                <wp:positionH relativeFrom="column">
                  <wp:posOffset>-114300</wp:posOffset>
                </wp:positionH>
                <wp:positionV relativeFrom="paragraph">
                  <wp:posOffset>229235</wp:posOffset>
                </wp:positionV>
                <wp:extent cx="1028700" cy="523875"/>
                <wp:effectExtent l="0" t="0" r="0" b="0"/>
                <wp:wrapNone/>
                <wp:docPr id="37" name="文本框 37"/>
                <wp:cNvGraphicFramePr/>
                <a:graphic xmlns:a="http://schemas.openxmlformats.org/drawingml/2006/main">
                  <a:graphicData uri="http://schemas.microsoft.com/office/word/2010/wordprocessingShape">
                    <wps:wsp>
                      <wps:cNvSpPr txBox="1"/>
                      <wps:spPr>
                        <a:xfrm>
                          <a:off x="0" y="0"/>
                          <a:ext cx="1028700" cy="523875"/>
                        </a:xfrm>
                        <a:prstGeom prst="rect">
                          <a:avLst/>
                        </a:prstGeom>
                        <a:noFill/>
                        <a:ln>
                          <a:noFill/>
                        </a:ln>
                        <a:effectLst/>
                      </wps:spPr>
                      <wps:txbx>
                        <w:txbxContent>
                          <w:p w14:paraId="4C068D6E">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发生事故的通</w:t>
                            </w:r>
                          </w:p>
                          <w:p w14:paraId="1851A2A0">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知</w:t>
                            </w:r>
                          </w:p>
                          <w:p w14:paraId="20CAC3BB">
                            <w:pPr>
                              <w:rPr>
                                <w:rFonts w:cs="Times New Roman"/>
                                <w:color w:val="000000"/>
                                <w:sz w:val="18"/>
                                <w:szCs w:val="18"/>
                              </w:rPr>
                            </w:pPr>
                          </w:p>
                        </w:txbxContent>
                      </wps:txbx>
                      <wps:bodyPr wrap="square" upright="1"/>
                    </wps:wsp>
                  </a:graphicData>
                </a:graphic>
              </wp:anchor>
            </w:drawing>
          </mc:Choice>
          <mc:Fallback>
            <w:pict>
              <v:shape id="_x0000_s1026" o:spid="_x0000_s1026" o:spt="202" type="#_x0000_t202" style="position:absolute;left:0pt;margin-left:-9pt;margin-top:18.05pt;height:41.25pt;width:81pt;z-index:251688960;mso-width-relative:page;mso-height-relative:page;" filled="f" stroked="f" coordsize="21600,21600" o:gfxdata="UEsDBAoAAAAAAIdO4kAAAAAAAAAAAAAAAAAEAAAAZHJzL1BLAwQUAAAACACHTuJA1AbGH9YAAAAK&#10;AQAADwAAAGRycy9kb3ducmV2LnhtbE2PQU/DMAyF70j8h8hI3LYkUKpSmu4A4gpiAyRuWeO1FY1T&#10;Ndla/j3eCW6239Pz96rN4gdxwin2gQzotQKB1ATXU2vgffe8KkDEZMnZIRAa+MEIm/ryorKlCzO9&#10;4WmbWsEhFEtroEtpLKWMTYfexnUYkVg7hMnbxOvUSjfZmcP9IG+UyqW3PfGHzo742GHzvT16Ax8v&#10;h6/PTL22T/5unMOiJPl7acz1lVYPIBIu6c8MZ3xGh5qZ9uFILorBwEoX3CUZuM01iLMhy/iw50EX&#10;Oci6kv8r1L9QSwMEFAAAAAgAh07iQG0NZ028AQAAbAMAAA4AAABkcnMvZTJvRG9jLnhtbK1TS27b&#10;MBDdF8gdCO5jKQ5SG4LlAIWRbIK2QNoD0NTQIsBfObQlX6C9QVfddN9z+RwdSoqbppssuqGG83mc&#10;92a0uu2tYQeIqL2r+dWs5Ayc9I12u5p//nR3ueQMk3CNMN5BzY+A/HZ98WbVhQrmvvWmgcgIxGHV&#10;hZq3KYWqKFC2YAXOfABHQeWjFYmucVc0UXSEbk0xL8u3RedjE6KXgEjezRjkE2J8DaBXSkvYeLm3&#10;4NKIGsGIRJSw1QH5euhWKZDpg1IIiZmaE9M0nPQI2dt8FuuVqHZRhFbLqQXxmhZecLJCO3r0DLUR&#10;SbB91P9AWS2jR6/STHpbjEQGRYjFVflCm8dWBBi4kNQYzqLj/4OV7w8fI9NNza8XnDlhaeKn799O&#10;P36dfn5l5COBuoAV5T0Gykz9O9/T2jz5kZyZd6+izV9ixChO8h7P8kKfmMxF5Xy5KCkkKXYzv14u&#10;bjJM8ac6REz34C3LRs0jjW9QVRweMI2pTyn5MefvtDHDCI37y0GYoweGHZiqM5Gx4WylfttP7La+&#10;ORK5jvag5vhlLyJwtg9R71pqYyBb5BIawtDvtDB5ys/vZD//Sd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NQGxh/WAAAACgEAAA8AAAAAAAAAAQAgAAAAIgAAAGRycy9kb3ducmV2LnhtbFBLAQIU&#10;ABQAAAAIAIdO4kBtDWdNvAEAAGwDAAAOAAAAAAAAAAEAIAAAACUBAABkcnMvZTJvRG9jLnhtbFBL&#10;BQYAAAAABgAGAFkBAABTBQAAAAA=&#10;">
                <v:fill on="f" focussize="0,0"/>
                <v:stroke on="f"/>
                <v:imagedata o:title=""/>
                <o:lock v:ext="edit" aspectratio="f"/>
                <v:textbox>
                  <w:txbxContent>
                    <w:p w14:paraId="4C068D6E">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发生事故的通</w:t>
                      </w:r>
                    </w:p>
                    <w:p w14:paraId="1851A2A0">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知</w:t>
                      </w:r>
                    </w:p>
                    <w:p w14:paraId="20CAC3BB">
                      <w:pPr>
                        <w:rPr>
                          <w:rFonts w:cs="Times New Roman"/>
                          <w:color w:val="000000"/>
                          <w:sz w:val="18"/>
                          <w:szCs w:val="18"/>
                        </w:rPr>
                      </w:pPr>
                    </w:p>
                  </w:txbxContent>
                </v:textbox>
              </v:shape>
            </w:pict>
          </mc:Fallback>
        </mc:AlternateContent>
      </w:r>
      <w:r>
        <w:rPr>
          <w:rFonts w:hint="default" w:ascii="Times New Roman" w:hAnsi="Times New Roman" w:cs="Times New Roman"/>
          <w:b/>
          <w:bCs/>
          <w:color w:val="auto"/>
          <w:sz w:val="22"/>
          <w:szCs w:val="22"/>
          <w:highlight w:val="none"/>
        </w:rPr>
        <w:t xml:space="preserve">12.1                   </w:t>
      </w:r>
    </w:p>
    <w:p w14:paraId="40724992">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合同履行期间，合同工程发生质量与安全事故，承包人立即通知监理工程师和发包人。</w:t>
      </w:r>
    </w:p>
    <w:p w14:paraId="53A0E7C7">
      <w:pPr>
        <w:pStyle w:val="15"/>
        <w:adjustRightInd w:val="0"/>
        <w:snapToGrid w:val="0"/>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689984" behindDoc="0" locked="0" layoutInCell="1" allowOverlap="1">
                <wp:simplePos x="0" y="0"/>
                <wp:positionH relativeFrom="column">
                  <wp:posOffset>-114300</wp:posOffset>
                </wp:positionH>
                <wp:positionV relativeFrom="paragraph">
                  <wp:posOffset>224790</wp:posOffset>
                </wp:positionV>
                <wp:extent cx="1028700" cy="29718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1028700" cy="297180"/>
                        </a:xfrm>
                        <a:prstGeom prst="rect">
                          <a:avLst/>
                        </a:prstGeom>
                        <a:noFill/>
                        <a:ln>
                          <a:noFill/>
                        </a:ln>
                        <a:effectLst/>
                      </wps:spPr>
                      <wps:txbx>
                        <w:txbxContent>
                          <w:p w14:paraId="1CFF5988">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事故的处理</w:t>
                            </w:r>
                          </w:p>
                        </w:txbxContent>
                      </wps:txbx>
                      <wps:bodyPr wrap="square" upright="1"/>
                    </wps:wsp>
                  </a:graphicData>
                </a:graphic>
              </wp:anchor>
            </w:drawing>
          </mc:Choice>
          <mc:Fallback>
            <w:pict>
              <v:shape id="_x0000_s1026" o:spid="_x0000_s1026" o:spt="202" type="#_x0000_t202" style="position:absolute;left:0pt;margin-left:-9pt;margin-top:17.7pt;height:23.4pt;width:81pt;z-index:251689984;mso-width-relative:page;mso-height-relative:page;" filled="f" stroked="f" coordsize="21600,21600" o:gfxdata="UEsDBAoAAAAAAIdO4kAAAAAAAAAAAAAAAAAEAAAAZHJzL1BLAwQUAAAACACHTuJAtZyZZdYAAAAJ&#10;AQAADwAAAGRycy9kb3ducmV2LnhtbE2PwU7DMBBE70j9B2uRuLV2QlqFkE0PRVxBFIrEzY23SUS8&#10;jmK3CX+Pe4Lj7Ixm35Tb2fbiQqPvHCMkKwWCuHam4wbh4/15mYPwQbPRvWNC+CEP22pxU+rCuInf&#10;6LIPjYgl7AuN0IYwFFL6uiWr/coNxNE7udHqEOXYSDPqKZbbXqZKbaTVHccPrR5o11L9vT9bhMPL&#10;6eszU6/Nk10Pk5uVZPsgEe9uE/UIItAc/sJwxY/oUEWmozuz8aJHWCZ53BIQ7tcZiGsgy+LhiJCn&#10;KciqlP8XVL9QSwMEFAAAAAgAh07iQMrvBTS8AQAAbAMAAA4AAABkcnMvZTJvRG9jLnhtbK1TS27b&#10;MBDdF+gdCO5jyQ7QuILlAIGRboqmQNoD0NTIIsBfOLQlX6C5QVfddN9z+RwdUoqbppssuqGG83mc&#10;92a0uh6MZgcIqJyt+XxWcgZWukbZXc2/frm9WHKGUdhGaGeh5kdAfr1++2bV+woWrnO6gcAIxGLV&#10;+5p3MfqqKFB2YATOnAdLwdYFIyJdw65ogugJ3ehiUZbvit6FxgcnAZG8mzHIJ8TwGkDXtkrCxsm9&#10;ARtH1ABaRKKEnfLI17nbtgUZ79oWITJdc2Ia80mPkL1NZ7FeiWoXhO+UnFoQr2nhBScjlKVHz1Ab&#10;EQXbB/UPlFEyOHRtnElnipFIVoRYzMsX2tx3wkPmQlKjP4uO/w9Wfjp8Dkw1Nb+kuVthaOKn74+n&#10;H79OP78x8pFAvceK8u49Zcbhxg20Nk9+JGfiPbTBpC8xYhQneY9neWGITKaicrG8KikkKbZ4fzVf&#10;Zv2LP9U+YPwAzrBk1DzQ+LKq4vARI3VCqU8p6THrbpXWeYTa/uWgxNEDeQem6kRkbDhZcdgOE7ut&#10;a45Erqc9qDk+7EUAzvY+qF1HbWSyRSqhIeQmpoVJU35+J/v5T7L+D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LWcmWXWAAAACQEAAA8AAAAAAAAAAQAgAAAAIgAAAGRycy9kb3ducmV2LnhtbFBLAQIU&#10;ABQAAAAIAIdO4kDK7wU0vAEAAGwDAAAOAAAAAAAAAAEAIAAAACUBAABkcnMvZTJvRG9jLnhtbFBL&#10;BQYAAAAABgAGAFkBAABTBQAAAAA=&#10;">
                <v:fill on="f" focussize="0,0"/>
                <v:stroke on="f"/>
                <v:imagedata o:title=""/>
                <o:lock v:ext="edit" aspectratio="f"/>
                <v:textbox>
                  <w:txbxContent>
                    <w:p w14:paraId="1CFF5988">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事故的处理</w:t>
                      </w:r>
                    </w:p>
                  </w:txbxContent>
                </v:textbox>
              </v:shape>
            </w:pict>
          </mc:Fallback>
        </mc:AlternateContent>
      </w:r>
      <w:r>
        <w:rPr>
          <w:rFonts w:hint="default" w:ascii="Times New Roman" w:hAnsi="Times New Roman" w:cs="Times New Roman"/>
          <w:b/>
          <w:bCs/>
          <w:color w:val="auto"/>
          <w:sz w:val="22"/>
          <w:szCs w:val="22"/>
          <w:highlight w:val="none"/>
        </w:rPr>
        <w:t xml:space="preserve">12.2 </w:t>
      </w:r>
      <w:r>
        <w:rPr>
          <w:rFonts w:hint="default" w:ascii="Times New Roman" w:hAnsi="Times New Roman" w:cs="Times New Roman"/>
          <w:color w:val="auto"/>
          <w:sz w:val="22"/>
          <w:szCs w:val="22"/>
          <w:highlight w:val="none"/>
        </w:rPr>
        <w:t xml:space="preserve"> </w:t>
      </w:r>
      <w:r>
        <w:rPr>
          <w:rFonts w:hint="default" w:ascii="Times New Roman" w:hAnsi="Times New Roman" w:cs="Times New Roman"/>
          <w:color w:val="auto"/>
          <w:sz w:val="22"/>
          <w:szCs w:val="22"/>
          <w:highlight w:val="none"/>
          <w:u w:val="dotted"/>
        </w:rPr>
        <w:t xml:space="preserve">                                                                                                        </w:t>
      </w:r>
    </w:p>
    <w:p w14:paraId="11702830">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接到事故通知后，合同双方当事人应立即组织人员和设备进行紧急抢救和抢修，减少人员伤亡和财产损失，防止事故扩大，并保护事故现场。需移动现场物品时，应做好标记和书面记录，妥善保护有关证据。</w:t>
      </w:r>
    </w:p>
    <w:p w14:paraId="40F8BB7C">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合同双方当事人应按照国家规定时限如实上报政府有关部门，配合政府有关部门的调查和处理，由此发生的费用和（或）延误的工期由事故责任方承担。</w:t>
      </w:r>
    </w:p>
    <w:p w14:paraId="3E65BDD9">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691008" behindDoc="0" locked="0" layoutInCell="1" allowOverlap="1">
                <wp:simplePos x="0" y="0"/>
                <wp:positionH relativeFrom="column">
                  <wp:posOffset>-114300</wp:posOffset>
                </wp:positionH>
                <wp:positionV relativeFrom="paragraph">
                  <wp:posOffset>224790</wp:posOffset>
                </wp:positionV>
                <wp:extent cx="1028700" cy="297180"/>
                <wp:effectExtent l="0" t="0" r="0" b="0"/>
                <wp:wrapNone/>
                <wp:docPr id="39" name="文本框 39"/>
                <wp:cNvGraphicFramePr/>
                <a:graphic xmlns:a="http://schemas.openxmlformats.org/drawingml/2006/main">
                  <a:graphicData uri="http://schemas.microsoft.com/office/word/2010/wordprocessingShape">
                    <wps:wsp>
                      <wps:cNvSpPr txBox="1"/>
                      <wps:spPr>
                        <a:xfrm>
                          <a:off x="0" y="0"/>
                          <a:ext cx="1028700" cy="297180"/>
                        </a:xfrm>
                        <a:prstGeom prst="rect">
                          <a:avLst/>
                        </a:prstGeom>
                        <a:noFill/>
                        <a:ln>
                          <a:noFill/>
                        </a:ln>
                        <a:effectLst/>
                      </wps:spPr>
                      <wps:txbx>
                        <w:txbxContent>
                          <w:p w14:paraId="2AA562C9">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事故争议认定</w:t>
                            </w:r>
                          </w:p>
                        </w:txbxContent>
                      </wps:txbx>
                      <wps:bodyPr wrap="square" upright="1"/>
                    </wps:wsp>
                  </a:graphicData>
                </a:graphic>
              </wp:anchor>
            </w:drawing>
          </mc:Choice>
          <mc:Fallback>
            <w:pict>
              <v:shape id="_x0000_s1026" o:spid="_x0000_s1026" o:spt="202" type="#_x0000_t202" style="position:absolute;left:0pt;margin-left:-9pt;margin-top:17.7pt;height:23.4pt;width:81pt;z-index:251691008;mso-width-relative:page;mso-height-relative:page;" filled="f" stroked="f" coordsize="21600,21600" o:gfxdata="UEsDBAoAAAAAAIdO4kAAAAAAAAAAAAAAAAAEAAAAZHJzL1BLAwQUAAAACACHTuJAtZyZZdYAAAAJ&#10;AQAADwAAAGRycy9kb3ducmV2LnhtbE2PwU7DMBBE70j9B2uRuLV2QlqFkE0PRVxBFIrEzY23SUS8&#10;jmK3CX+Pe4Lj7Ixm35Tb2fbiQqPvHCMkKwWCuHam4wbh4/15mYPwQbPRvWNC+CEP22pxU+rCuInf&#10;6LIPjYgl7AuN0IYwFFL6uiWr/coNxNE7udHqEOXYSDPqKZbbXqZKbaTVHccPrR5o11L9vT9bhMPL&#10;6eszU6/Nk10Pk5uVZPsgEe9uE/UIItAc/sJwxY/oUEWmozuz8aJHWCZ53BIQ7tcZiGsgy+LhiJCn&#10;KciqlP8XVL9QSwMEFAAAAAgAh07iQIRVqLe8AQAAbAMAAA4AAABkcnMvZTJvRG9jLnhtbK1TS27b&#10;MBDdF8gdCO5jyS7QOILlAIWRboq2QNoD0NTIIsBfObQlX6C9QVfddN9z+RwdUorz22TRDTWcz+O8&#10;N6PVzWA0O0BA5WzN57OSM7DSNcruav7t6+3lkjOMwjZCOws1PwLym/XFm1XvK1i4zukGAiMQi1Xv&#10;a97F6KuiQNmBEThzHiwFWxeMiHQNu6IJoid0o4tFWb4rehcaH5wERPJuxiCfEMNrAF3bKgkbJ/cG&#10;bBxRA2gRiRJ2yiNf527bFmT83LYIkemaE9OYT3qE7G06i/VKVLsgfKfk1IJ4TQvPOBmhLD16htqI&#10;KNg+qBdQRsng0LVxJp0pRiJZEWIxL59pc9cJD5kLSY3+LDr+P1j56fAlMNXU/O01Z1YYmvjp18/T&#10;77+nPz8Y+Uig3mNFeXeeMuPw3g20Nvd+JGfiPbTBpC8xYhQneY9neWGITKaicrG8KikkKba4vpov&#10;s/7FQ7UPGD+AMywZNQ80vqyqOHzESJ1Q6n1Kesy6W6V1HqG2TxyUOHog78BUnYiMDScrDtthYrd1&#10;zZHI9bQHNcfvexGAs70PatdRG5lskUpoCLmJaWHSlB/fyX78k6z/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LWcmWXWAAAACQEAAA8AAAAAAAAAAQAgAAAAIgAAAGRycy9kb3ducmV2LnhtbFBLAQIU&#10;ABQAAAAIAIdO4kCEVai3vAEAAGwDAAAOAAAAAAAAAAEAIAAAACUBAABkcnMvZTJvRG9jLnhtbFBL&#10;BQYAAAAABgAGAFkBAABTBQAAAAA=&#10;">
                <v:fill on="f" focussize="0,0"/>
                <v:stroke on="f"/>
                <v:imagedata o:title=""/>
                <o:lock v:ext="edit" aspectratio="f"/>
                <v:textbox>
                  <w:txbxContent>
                    <w:p w14:paraId="2AA562C9">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事故争议认定</w:t>
                      </w:r>
                    </w:p>
                  </w:txbxContent>
                </v:textbox>
              </v:shape>
            </w:pict>
          </mc:Fallback>
        </mc:AlternateContent>
      </w:r>
      <w:r>
        <w:rPr>
          <w:rFonts w:hint="default" w:ascii="Times New Roman" w:hAnsi="Times New Roman" w:cs="Times New Roman"/>
          <w:b/>
          <w:bCs/>
          <w:color w:val="auto"/>
          <w:sz w:val="22"/>
          <w:szCs w:val="22"/>
          <w:highlight w:val="none"/>
        </w:rPr>
        <w:t xml:space="preserve">12.3  </w:t>
      </w:r>
      <w:r>
        <w:rPr>
          <w:rFonts w:hint="default" w:ascii="Times New Roman" w:hAnsi="Times New Roman" w:cs="Times New Roman"/>
          <w:b/>
          <w:bCs/>
          <w:color w:val="auto"/>
          <w:sz w:val="22"/>
          <w:szCs w:val="22"/>
          <w:highlight w:val="none"/>
          <w:u w:val="dotted"/>
        </w:rPr>
        <w:t xml:space="preserve">                                                                                                        </w:t>
      </w:r>
    </w:p>
    <w:p w14:paraId="6EC6DAB6">
      <w:pPr>
        <w:pStyle w:val="15"/>
        <w:tabs>
          <w:tab w:val="left" w:pos="1620"/>
        </w:tabs>
        <w:adjustRightInd w:val="0"/>
        <w:snapToGrid w:val="0"/>
        <w:spacing w:line="420" w:lineRule="exact"/>
        <w:ind w:firstLine="1485" w:firstLineChars="675"/>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合同双方当事人对事故责任有争议时，应按照政府有关部门的认定处理。</w:t>
      </w:r>
    </w:p>
    <w:p w14:paraId="116C9EC7">
      <w:pPr>
        <w:pStyle w:val="15"/>
        <w:adjustRightInd w:val="0"/>
        <w:snapToGrid w:val="0"/>
        <w:spacing w:line="420" w:lineRule="exact"/>
        <w:ind w:right="-238"/>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u w:val="single"/>
        </w:rPr>
        <w:t xml:space="preserve">                                                                                  </w:t>
      </w:r>
      <w:r>
        <w:rPr>
          <w:rFonts w:hint="default" w:ascii="Times New Roman" w:hAnsi="Times New Roman" w:cs="Times New Roman"/>
          <w:b/>
          <w:bCs/>
          <w:color w:val="auto"/>
          <w:sz w:val="22"/>
          <w:szCs w:val="22"/>
          <w:highlight w:val="none"/>
        </w:rPr>
        <w:t xml:space="preserve">  </w:t>
      </w:r>
      <w:r>
        <w:rPr>
          <w:rFonts w:hint="default" w:ascii="Times New Roman" w:hAnsi="Times New Roman" w:cs="Times New Roman"/>
          <w:color w:val="auto"/>
          <w:sz w:val="22"/>
          <w:szCs w:val="22"/>
          <w:highlight w:val="none"/>
        </w:rPr>
        <w:t xml:space="preserve">                         </w:t>
      </w:r>
    </w:p>
    <w:p w14:paraId="4EF23017">
      <w:pPr>
        <w:pStyle w:val="15"/>
        <w:tabs>
          <w:tab w:val="left" w:pos="1620"/>
        </w:tabs>
        <w:adjustRightInd w:val="0"/>
        <w:snapToGrid w:val="0"/>
        <w:spacing w:before="240" w:beforeLines="100" w:line="420" w:lineRule="exact"/>
        <w:ind w:right="-237" w:rightChars="-113"/>
        <w:outlineLvl w:val="2"/>
        <w:rPr>
          <w:rFonts w:hint="default" w:ascii="Times New Roman" w:hAnsi="Times New Roman" w:cs="Times New Roman"/>
          <w:b/>
          <w:bCs/>
          <w:color w:val="auto"/>
          <w:sz w:val="22"/>
          <w:szCs w:val="22"/>
          <w:highlight w:val="none"/>
        </w:rPr>
      </w:pPr>
      <w:bookmarkStart w:id="110" w:name="_Toc19343"/>
      <w:bookmarkStart w:id="111" w:name="_Toc469383992"/>
      <w:r>
        <w:rPr>
          <w:rFonts w:hint="default" w:ascii="Times New Roman" w:hAnsi="Times New Roman" w:cs="Times New Roman"/>
          <w:b/>
          <w:bCs/>
          <w:color w:val="auto"/>
          <w:sz w:val="22"/>
          <w:szCs w:val="22"/>
          <w:highlight w:val="none"/>
        </w:rPr>
        <w:t>13  交通运输</w:t>
      </w:r>
      <w:bookmarkEnd w:id="110"/>
      <w:bookmarkEnd w:id="111"/>
    </w:p>
    <w:p w14:paraId="17638923">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692032" behindDoc="0" locked="0" layoutInCell="1" allowOverlap="1">
                <wp:simplePos x="0" y="0"/>
                <wp:positionH relativeFrom="column">
                  <wp:posOffset>-114300</wp:posOffset>
                </wp:positionH>
                <wp:positionV relativeFrom="paragraph">
                  <wp:posOffset>229235</wp:posOffset>
                </wp:positionV>
                <wp:extent cx="1028700" cy="523875"/>
                <wp:effectExtent l="0" t="0" r="0" b="0"/>
                <wp:wrapNone/>
                <wp:docPr id="52" name="文本框 52"/>
                <wp:cNvGraphicFramePr/>
                <a:graphic xmlns:a="http://schemas.openxmlformats.org/drawingml/2006/main">
                  <a:graphicData uri="http://schemas.microsoft.com/office/word/2010/wordprocessingShape">
                    <wps:wsp>
                      <wps:cNvSpPr txBox="1"/>
                      <wps:spPr>
                        <a:xfrm>
                          <a:off x="0" y="0"/>
                          <a:ext cx="1028700" cy="523875"/>
                        </a:xfrm>
                        <a:prstGeom prst="rect">
                          <a:avLst/>
                        </a:prstGeom>
                        <a:noFill/>
                        <a:ln>
                          <a:noFill/>
                        </a:ln>
                        <a:effectLst/>
                      </wps:spPr>
                      <wps:txbx>
                        <w:txbxContent>
                          <w:p w14:paraId="7C81D3C3">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道路通行权和</w:t>
                            </w:r>
                          </w:p>
                          <w:p w14:paraId="145DBA04">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场外设施</w:t>
                            </w:r>
                          </w:p>
                          <w:p w14:paraId="495BF097">
                            <w:pPr>
                              <w:rPr>
                                <w:rFonts w:cs="Times New Roman"/>
                                <w:color w:val="0000FF"/>
                                <w:sz w:val="18"/>
                                <w:szCs w:val="18"/>
                              </w:rPr>
                            </w:pPr>
                          </w:p>
                          <w:p w14:paraId="2DC1F009">
                            <w:pPr>
                              <w:rPr>
                                <w:rFonts w:cs="Times New Roman"/>
                                <w:sz w:val="18"/>
                                <w:szCs w:val="18"/>
                              </w:rPr>
                            </w:pPr>
                          </w:p>
                        </w:txbxContent>
                      </wps:txbx>
                      <wps:bodyPr wrap="square" upright="1"/>
                    </wps:wsp>
                  </a:graphicData>
                </a:graphic>
              </wp:anchor>
            </w:drawing>
          </mc:Choice>
          <mc:Fallback>
            <w:pict>
              <v:shape id="_x0000_s1026" o:spid="_x0000_s1026" o:spt="202" type="#_x0000_t202" style="position:absolute;left:0pt;margin-left:-9pt;margin-top:18.05pt;height:41.25pt;width:81pt;z-index:251692032;mso-width-relative:page;mso-height-relative:page;" filled="f" stroked="f" coordsize="21600,21600" o:gfxdata="UEsDBAoAAAAAAIdO4kAAAAAAAAAAAAAAAAAEAAAAZHJzL1BLAwQUAAAACACHTuJA1AbGH9YAAAAK&#10;AQAADwAAAGRycy9kb3ducmV2LnhtbE2PQU/DMAyF70j8h8hI3LYkUKpSmu4A4gpiAyRuWeO1FY1T&#10;Ndla/j3eCW6239Pz96rN4gdxwin2gQzotQKB1ATXU2vgffe8KkDEZMnZIRAa+MEIm/ryorKlCzO9&#10;4WmbWsEhFEtroEtpLKWMTYfexnUYkVg7hMnbxOvUSjfZmcP9IG+UyqW3PfGHzo742GHzvT16Ax8v&#10;h6/PTL22T/5unMOiJPl7acz1lVYPIBIu6c8MZ3xGh5qZ9uFILorBwEoX3CUZuM01iLMhy/iw50EX&#10;Oci6kv8r1L9QSwMEFAAAAAgAh07iQLTeXX+7AQAAbAMAAA4AAABkcnMvZTJvRG9jLnhtbK1TzY7T&#10;MBC+I/EOlu/U2aCyVdR0JVQtFwRICw/gOuPGUvyDx23SF4A34MSFO8/V52CcZLvLctkDF2c8P5/n&#10;+2ayvhlsx44Q0XhX86tFwRk45Rvj9jX/8vn21YozTNI1svMOan4C5Debly/Wfaig9K3vGoiMQBxW&#10;fah5m1KohEDVgpW48AEcBbWPVia6xr1oouwJ3XaiLIo3ovexCdErQCTvdgryGTE+B9BrbRRsvTpY&#10;cGlCjdDJRJSwNQH5ZuxWa1Dpo9YIiXU1J6ZpPOkRsnf5FJu1rPZRhtaouQX5nBaecLLSOHr0ArWV&#10;SbJDNP9AWaOiR6/TQnkrJiKjIsTiqniizV0rA4xcSGoMF9Hx/8GqD8dPkZmm5suSMyctTfz84/v5&#10;5+/zr2+MfCRQH7CivLtAmWl46wdam3s/kjPzHnS0+UuMGMVJ3tNFXhgSU7moKFfXBYUUxZbl69X1&#10;MsOIh+oQMb0Db1k2ah5pfKOq8vge05R6n5Ifc/7WdN04ws795SDMyQPjDszVmcjUcLbSsBtmdjvf&#10;nIhcT3tQc/x6kBE4O4Ro9i21MZIVuYSGMPY7L0ye8uM72Y9/ks0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1AbGH9YAAAAKAQAADwAAAAAAAAABACAAAAAiAAAAZHJzL2Rvd25yZXYueG1sUEsBAhQA&#10;FAAAAAgAh07iQLTeXX+7AQAAbAMAAA4AAAAAAAAAAQAgAAAAJQEAAGRycy9lMm9Eb2MueG1sUEsF&#10;BgAAAAAGAAYAWQEAAFIFAAAAAA==&#10;">
                <v:fill on="f" focussize="0,0"/>
                <v:stroke on="f"/>
                <v:imagedata o:title=""/>
                <o:lock v:ext="edit" aspectratio="f"/>
                <v:textbox>
                  <w:txbxContent>
                    <w:p w14:paraId="7C81D3C3">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道路通行权和</w:t>
                      </w:r>
                    </w:p>
                    <w:p w14:paraId="145DBA04">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场外设施</w:t>
                      </w:r>
                    </w:p>
                    <w:p w14:paraId="495BF097">
                      <w:pPr>
                        <w:rPr>
                          <w:rFonts w:cs="Times New Roman"/>
                          <w:color w:val="0000FF"/>
                          <w:sz w:val="18"/>
                          <w:szCs w:val="18"/>
                        </w:rPr>
                      </w:pPr>
                    </w:p>
                    <w:p w14:paraId="2DC1F009">
                      <w:pPr>
                        <w:rPr>
                          <w:rFonts w:cs="Times New Roman"/>
                          <w:sz w:val="18"/>
                          <w:szCs w:val="18"/>
                        </w:rPr>
                      </w:pPr>
                    </w:p>
                  </w:txbxContent>
                </v:textbox>
              </v:shape>
            </w:pict>
          </mc:Fallback>
        </mc:AlternateContent>
      </w:r>
      <w:r>
        <w:rPr>
          <w:rFonts w:hint="default" w:ascii="Times New Roman" w:hAnsi="Times New Roman" w:cs="Times New Roman"/>
          <w:b/>
          <w:bCs/>
          <w:color w:val="auto"/>
          <w:sz w:val="22"/>
          <w:szCs w:val="22"/>
          <w:highlight w:val="none"/>
        </w:rPr>
        <w:t xml:space="preserve">13.1                   </w:t>
      </w:r>
    </w:p>
    <w:p w14:paraId="1223E901">
      <w:pPr>
        <w:pStyle w:val="15"/>
        <w:tabs>
          <w:tab w:val="left" w:pos="1202"/>
        </w:tabs>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除专用条款另有约定外，发包人应根据实施合同工程的需要，负责办理取得出入施工场地的专用和临时道路的通行权，以及取得为实施合同工程所需修建场外设施的权利，并承担有关费用（包括运输超大件或超重件所需的道路和桥梁临时加固改造费用和其他有关费用）。承包人应协助发包人办理上述手续。</w:t>
      </w:r>
    </w:p>
    <w:p w14:paraId="6F9DB50F">
      <w:pPr>
        <w:pStyle w:val="15"/>
        <w:tabs>
          <w:tab w:val="left" w:pos="1202"/>
        </w:tabs>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承包人应在订立合同前查勘施工现场，并根据工程规模及技术参数合理预见工程施工所需的进出施工现场的方式、手段、路径等。因承包人未合理预见所增加的费用和（或）延误的工期由承包人承担。</w:t>
      </w:r>
    </w:p>
    <w:p w14:paraId="76C23001">
      <w:pPr>
        <w:pStyle w:val="15"/>
        <w:tabs>
          <w:tab w:val="left" w:pos="1202"/>
        </w:tabs>
        <w:adjustRightInd w:val="0"/>
        <w:snapToGrid w:val="0"/>
        <w:spacing w:line="420" w:lineRule="exact"/>
        <w:ind w:left="1484" w:leftChars="1" w:hanging="1482" w:hangingChars="674"/>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693056" behindDoc="0" locked="0" layoutInCell="1" allowOverlap="1">
                <wp:simplePos x="0" y="0"/>
                <wp:positionH relativeFrom="column">
                  <wp:posOffset>-114300</wp:posOffset>
                </wp:positionH>
                <wp:positionV relativeFrom="paragraph">
                  <wp:posOffset>333375</wp:posOffset>
                </wp:positionV>
                <wp:extent cx="1028700" cy="523875"/>
                <wp:effectExtent l="0" t="0" r="0" b="0"/>
                <wp:wrapNone/>
                <wp:docPr id="40" name="文本框 40"/>
                <wp:cNvGraphicFramePr/>
                <a:graphic xmlns:a="http://schemas.openxmlformats.org/drawingml/2006/main">
                  <a:graphicData uri="http://schemas.microsoft.com/office/word/2010/wordprocessingShape">
                    <wps:wsp>
                      <wps:cNvSpPr txBox="1"/>
                      <wps:spPr>
                        <a:xfrm>
                          <a:off x="0" y="0"/>
                          <a:ext cx="1028700" cy="523875"/>
                        </a:xfrm>
                        <a:prstGeom prst="rect">
                          <a:avLst/>
                        </a:prstGeom>
                        <a:noFill/>
                        <a:ln>
                          <a:noFill/>
                        </a:ln>
                        <a:effectLst/>
                      </wps:spPr>
                      <wps:txbx>
                        <w:txbxContent>
                          <w:p w14:paraId="0DAE9750">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场内临时道路</w:t>
                            </w:r>
                          </w:p>
                          <w:p w14:paraId="126F05EC">
                            <w:pPr>
                              <w:rPr>
                                <w:rFonts w:ascii="宋体" w:cs="Times New Roman"/>
                                <w:color w:val="000000"/>
                                <w:sz w:val="24"/>
                                <w:szCs w:val="24"/>
                              </w:rPr>
                            </w:pPr>
                            <w:r>
                              <w:rPr>
                                <w:rFonts w:hint="eastAsia" w:ascii="楷体_GB2312" w:hAnsi="宋体" w:eastAsia="楷体_GB2312" w:cs="楷体_GB2312"/>
                                <w:b/>
                                <w:bCs/>
                                <w:color w:val="000000"/>
                                <w:sz w:val="18"/>
                                <w:szCs w:val="18"/>
                              </w:rPr>
                              <w:t>和交通设施</w:t>
                            </w:r>
                          </w:p>
                          <w:p w14:paraId="70A88502">
                            <w:pPr>
                              <w:rPr>
                                <w:rFonts w:cs="Times New Roman"/>
                                <w:color w:val="0000FF"/>
                                <w:sz w:val="18"/>
                                <w:szCs w:val="18"/>
                              </w:rPr>
                            </w:pPr>
                          </w:p>
                          <w:p w14:paraId="5587EA50">
                            <w:pPr>
                              <w:rPr>
                                <w:rFonts w:cs="Times New Roman"/>
                                <w:sz w:val="18"/>
                                <w:szCs w:val="18"/>
                              </w:rPr>
                            </w:pPr>
                          </w:p>
                        </w:txbxContent>
                      </wps:txbx>
                      <wps:bodyPr wrap="square" upright="1"/>
                    </wps:wsp>
                  </a:graphicData>
                </a:graphic>
              </wp:anchor>
            </w:drawing>
          </mc:Choice>
          <mc:Fallback>
            <w:pict>
              <v:shape id="_x0000_s1026" o:spid="_x0000_s1026" o:spt="202" type="#_x0000_t202" style="position:absolute;left:0pt;margin-left:-9pt;margin-top:26.25pt;height:41.25pt;width:81pt;z-index:251693056;mso-width-relative:page;mso-height-relative:page;" filled="f" stroked="f" coordsize="21600,21600" o:gfxdata="UEsDBAoAAAAAAIdO4kAAAAAAAAAAAAAAAAAEAAAAZHJzL1BLAwQUAAAACACHTuJAVJ4rmdgAAAAK&#10;AQAADwAAAGRycy9kb3ducmV2LnhtbE2PzW7CMBCE75V4B2srcQM7kFQQ4nCg6rVV6Y/Um4mXJGq8&#10;jmJD0rfvcmpvuzuj2W+K/eQ6ccUhtJ40JEsFAqnytqVaw/vb02IDIkRD1nSeUMMPBtiXs7vC5NaP&#10;9IrXY6wFh1DIjYYmxj6XMlQNOhOWvkdi7ewHZyKvQy3tYEYOd51cKfUgnWmJPzSmx0OD1ffx4jR8&#10;PJ+/PlP1Uj+6rB/9pCS5rdR6fp+oHYiIU/wzww2f0aFkppO/kA2i07BINtwlashWGYibIU35cOJh&#10;nSmQZSH/Vyh/AVBLAwQUAAAACACHTuJARG2QMrsBAABsAwAADgAAAGRycy9lMm9Eb2MueG1srVNL&#10;btswEN0XyB0I7mMqbtIYguUAgZFsirZA2gPQ1MgiwF85tCVfoL1BV91033P5HB1KipummyyyoYbz&#10;eZz3ZrS86a1he4iovav4xazgDJzytXbbin/5fHe+4AyTdLU03kHFD4D8ZnX2ZtmFEua+9aaGyAjE&#10;YdmFircphVIIVC1YiTMfwFGw8dHKRNe4FXWUHaFbI+ZF8U50PtYhegWI5F2PQT4hxpcA+qbRCtZe&#10;7Sy4NKJGMDIRJWx1QL4aum0aUOlj0yAkZipOTNNw0iNkb/IpVktZbqMMrVZTC/IlLTzjZKV29OgJ&#10;ai2TZLuo/4OyWkWPvkkz5a0YiQyKEIuL4pk2D60MMHAhqTGcRMfXg1Uf9p8i03XFL0kSJy1N/Pjj&#10;+/Hn7+Ovb4x8JFAXsKS8h0CZqb/1Pa3Nox/JmXn3TbT5S4wYxQnrcJIX+sRULirmi+uCQopiV/O3&#10;i+urDCP+VoeI6R68ZdmoeKTxDarK/XtMY+pjSn7M+TttzDBC4/5xEObogWEHpupMZGw4W6nf9BO7&#10;ja8PRK6jPag4ft3JCJztQtTbltoYyIpcQkMY+p0WJk/56Z3spz/J6g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UniuZ2AAAAAoBAAAPAAAAAAAAAAEAIAAAACIAAABkcnMvZG93bnJldi54bWxQSwEC&#10;FAAUAAAACACHTuJARG2QMrsBAABsAwAADgAAAAAAAAABACAAAAAnAQAAZHJzL2Uyb0RvYy54bWxQ&#10;SwUGAAAAAAYABgBZAQAAVAUAAAAA&#10;">
                <v:fill on="f" focussize="0,0"/>
                <v:stroke on="f"/>
                <v:imagedata o:title=""/>
                <o:lock v:ext="edit" aspectratio="f"/>
                <v:textbox>
                  <w:txbxContent>
                    <w:p w14:paraId="0DAE9750">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场内临时道路</w:t>
                      </w:r>
                    </w:p>
                    <w:p w14:paraId="126F05EC">
                      <w:pPr>
                        <w:rPr>
                          <w:rFonts w:ascii="宋体" w:cs="Times New Roman"/>
                          <w:color w:val="000000"/>
                          <w:sz w:val="24"/>
                          <w:szCs w:val="24"/>
                        </w:rPr>
                      </w:pPr>
                      <w:r>
                        <w:rPr>
                          <w:rFonts w:hint="eastAsia" w:ascii="楷体_GB2312" w:hAnsi="宋体" w:eastAsia="楷体_GB2312" w:cs="楷体_GB2312"/>
                          <w:b/>
                          <w:bCs/>
                          <w:color w:val="000000"/>
                          <w:sz w:val="18"/>
                          <w:szCs w:val="18"/>
                        </w:rPr>
                        <w:t>和交通设施</w:t>
                      </w:r>
                    </w:p>
                    <w:p w14:paraId="70A88502">
                      <w:pPr>
                        <w:rPr>
                          <w:rFonts w:cs="Times New Roman"/>
                          <w:color w:val="0000FF"/>
                          <w:sz w:val="18"/>
                          <w:szCs w:val="18"/>
                        </w:rPr>
                      </w:pPr>
                    </w:p>
                    <w:p w14:paraId="5587EA50">
                      <w:pPr>
                        <w:rPr>
                          <w:rFonts w:cs="Times New Roman"/>
                          <w:sz w:val="18"/>
                          <w:szCs w:val="18"/>
                        </w:rPr>
                      </w:pPr>
                    </w:p>
                  </w:txbxContent>
                </v:textbox>
              </v:shape>
            </w:pict>
          </mc:Fallback>
        </mc:AlternateContent>
      </w:r>
      <w:r>
        <w:rPr>
          <w:rFonts w:hint="default" w:ascii="Times New Roman" w:hAnsi="Times New Roman" w:cs="Times New Roman"/>
          <w:b/>
          <w:bCs/>
          <w:color w:val="auto"/>
          <w:sz w:val="22"/>
          <w:szCs w:val="22"/>
          <w:highlight w:val="none"/>
        </w:rPr>
        <w:t>13.2</w:t>
      </w:r>
      <w:r>
        <w:rPr>
          <w:rFonts w:hint="default" w:ascii="Times New Roman" w:hAnsi="Times New Roman" w:cs="Times New Roman"/>
          <w:color w:val="auto"/>
          <w:sz w:val="22"/>
          <w:szCs w:val="22"/>
          <w:highlight w:val="none"/>
        </w:rPr>
        <w:t xml:space="preserve">  </w:t>
      </w:r>
      <w:r>
        <w:rPr>
          <w:rFonts w:hint="default" w:ascii="Times New Roman" w:hAnsi="Times New Roman" w:cs="Times New Roman"/>
          <w:color w:val="auto"/>
          <w:sz w:val="22"/>
          <w:szCs w:val="22"/>
          <w:highlight w:val="none"/>
          <w:u w:val="dotted"/>
        </w:rPr>
        <w:t xml:space="preserve">                                                                                  </w:t>
      </w:r>
      <w:r>
        <w:rPr>
          <w:rFonts w:hint="default" w:ascii="Times New Roman" w:hAnsi="Times New Roman" w:cs="Times New Roman"/>
          <w:color w:val="auto"/>
          <w:sz w:val="22"/>
          <w:szCs w:val="22"/>
          <w:highlight w:val="none"/>
        </w:rPr>
        <w:t>除专用条款另有约定外，承包人应负责修建、维修、养护和管理施工场地内所需的临时道路和交通设施，包括维修、养护和管理发包人提供的道路和交通设施，并承担相应费用。</w:t>
      </w:r>
    </w:p>
    <w:p w14:paraId="49E3DC24">
      <w:pPr>
        <w:pStyle w:val="15"/>
        <w:tabs>
          <w:tab w:val="left" w:pos="1202"/>
        </w:tabs>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承包人修建的临时道路和交通设施应免费提供发包人使用。</w:t>
      </w:r>
    </w:p>
    <w:p w14:paraId="5003DA0F">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694080" behindDoc="0" locked="0" layoutInCell="1" allowOverlap="1">
                <wp:simplePos x="0" y="0"/>
                <wp:positionH relativeFrom="column">
                  <wp:posOffset>-114300</wp:posOffset>
                </wp:positionH>
                <wp:positionV relativeFrom="paragraph">
                  <wp:posOffset>224790</wp:posOffset>
                </wp:positionV>
                <wp:extent cx="1028700" cy="297180"/>
                <wp:effectExtent l="0" t="0" r="0" b="0"/>
                <wp:wrapNone/>
                <wp:docPr id="41" name="文本框 41"/>
                <wp:cNvGraphicFramePr/>
                <a:graphic xmlns:a="http://schemas.openxmlformats.org/drawingml/2006/main">
                  <a:graphicData uri="http://schemas.microsoft.com/office/word/2010/wordprocessingShape">
                    <wps:wsp>
                      <wps:cNvSpPr txBox="1"/>
                      <wps:spPr>
                        <a:xfrm>
                          <a:off x="0" y="0"/>
                          <a:ext cx="1028700" cy="297180"/>
                        </a:xfrm>
                        <a:prstGeom prst="rect">
                          <a:avLst/>
                        </a:prstGeom>
                        <a:noFill/>
                        <a:ln>
                          <a:noFill/>
                        </a:ln>
                        <a:effectLst/>
                      </wps:spPr>
                      <wps:txbx>
                        <w:txbxContent>
                          <w:p w14:paraId="110AA823">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场外交通</w:t>
                            </w:r>
                          </w:p>
                        </w:txbxContent>
                      </wps:txbx>
                      <wps:bodyPr wrap="square" upright="1"/>
                    </wps:wsp>
                  </a:graphicData>
                </a:graphic>
              </wp:anchor>
            </w:drawing>
          </mc:Choice>
          <mc:Fallback>
            <w:pict>
              <v:shape id="_x0000_s1026" o:spid="_x0000_s1026" o:spt="202" type="#_x0000_t202" style="position:absolute;left:0pt;margin-left:-9pt;margin-top:17.7pt;height:23.4pt;width:81pt;z-index:251694080;mso-width-relative:page;mso-height-relative:page;" filled="f" stroked="f" coordsize="21600,21600" o:gfxdata="UEsDBAoAAAAAAIdO4kAAAAAAAAAAAAAAAAAEAAAAZHJzL1BLAwQUAAAACACHTuJAtZyZZdYAAAAJ&#10;AQAADwAAAGRycy9kb3ducmV2LnhtbE2PwU7DMBBE70j9B2uRuLV2QlqFkE0PRVxBFIrEzY23SUS8&#10;jmK3CX+Pe4Lj7Ixm35Tb2fbiQqPvHCMkKwWCuHam4wbh4/15mYPwQbPRvWNC+CEP22pxU+rCuInf&#10;6LIPjYgl7AuN0IYwFFL6uiWr/coNxNE7udHqEOXYSDPqKZbbXqZKbaTVHccPrR5o11L9vT9bhMPL&#10;6eszU6/Nk10Pk5uVZPsgEe9uE/UIItAc/sJwxY/oUEWmozuz8aJHWCZ53BIQ7tcZiGsgy+LhiJCn&#10;KciqlP8XVL9QSwMEFAAAAAgAh07iQDPZtjK8AQAAbAMAAA4AAABkcnMvZTJvRG9jLnhtbK1TS27b&#10;MBDdF+gdCO5jyUbQuILlAIGRboqmQNoD0NTIIsBfOLQlX6C5QVfddN9z+RwdUoqbppssuqGG83mc&#10;92a0uh6MZgcIqJyt+XxWcgZWukbZXc2/frm9WHKGUdhGaGeh5kdAfr1++2bV+woWrnO6gcAIxGLV&#10;+5p3MfqqKFB2YATOnAdLwdYFIyJdw65ogugJ3ehiUZbvit6FxgcnAZG8mzHIJ8TwGkDXtkrCxsm9&#10;ARtH1ABaRKKEnfLI17nbtgUZ79oWITJdc2Ia80mPkL1NZ7FeiWoXhO+UnFoQr2nhBScjlKVHz1Ab&#10;EQXbB/UPlFEyOHRtnElnipFIVoRYzMsX2tx3wkPmQlKjP4uO/w9Wfjp8Dkw1Nb+cc2aFoYmfvj+e&#10;fvw6/fzGyEcC9R4ryrv3lBmHGzfQ2jz5kZyJ99AGk77EiFGc5D2e5YUhMpmKysXyqqSQpNji/dV8&#10;mfUv/lT7gPEDOMOSUfNA48uqisNHjNQJpT6lpMesu1Va5xFq+5eDEkcP5B2YqhORseFkxWE7TOy2&#10;rjkSuZ72oOb4sBcBONv7oHYdtZHJFqmEhpCbmBYmTfn5neznP8n6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LWcmWXWAAAACQEAAA8AAAAAAAAAAQAgAAAAIgAAAGRycy9kb3ducmV2LnhtbFBLAQIU&#10;ABQAAAAIAIdO4kAz2bYyvAEAAGwDAAAOAAAAAAAAAAEAIAAAACUBAABkcnMvZTJvRG9jLnhtbFBL&#10;BQYAAAAABgAGAFkBAABTBQAAAAA=&#10;">
                <v:fill on="f" focussize="0,0"/>
                <v:stroke on="f"/>
                <v:imagedata o:title=""/>
                <o:lock v:ext="edit" aspectratio="f"/>
                <v:textbox>
                  <w:txbxContent>
                    <w:p w14:paraId="110AA823">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场外交通</w:t>
                      </w:r>
                    </w:p>
                  </w:txbxContent>
                </v:textbox>
              </v:shape>
            </w:pict>
          </mc:Fallback>
        </mc:AlternateContent>
      </w:r>
      <w:r>
        <w:rPr>
          <w:rFonts w:hint="default" w:ascii="Times New Roman" w:hAnsi="Times New Roman" w:cs="Times New Roman"/>
          <w:b/>
          <w:bCs/>
          <w:color w:val="auto"/>
          <w:sz w:val="22"/>
          <w:szCs w:val="22"/>
          <w:highlight w:val="none"/>
        </w:rPr>
        <w:t xml:space="preserve">13.3  </w:t>
      </w:r>
      <w:r>
        <w:rPr>
          <w:rFonts w:hint="default" w:ascii="Times New Roman" w:hAnsi="Times New Roman" w:cs="Times New Roman"/>
          <w:b/>
          <w:bCs/>
          <w:color w:val="auto"/>
          <w:sz w:val="22"/>
          <w:szCs w:val="22"/>
          <w:highlight w:val="none"/>
          <w:u w:val="dotted"/>
        </w:rPr>
        <w:t xml:space="preserve">                                                                                                        </w:t>
      </w:r>
    </w:p>
    <w:p w14:paraId="26E450C2">
      <w:pPr>
        <w:pStyle w:val="15"/>
        <w:tabs>
          <w:tab w:val="left" w:pos="1202"/>
        </w:tabs>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承包人应遵守有关交通法规，严格按照道路和桥梁的限制荷重安全行驶，并服从交通管理部门的检查和监督。承包人车辆外出行驶所需的场外公共道路的通行费、养路费和税款等，由承包人承担。</w:t>
      </w:r>
    </w:p>
    <w:p w14:paraId="64338ACF">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695104" behindDoc="0" locked="0" layoutInCell="1" allowOverlap="1">
                <wp:simplePos x="0" y="0"/>
                <wp:positionH relativeFrom="column">
                  <wp:posOffset>-114300</wp:posOffset>
                </wp:positionH>
                <wp:positionV relativeFrom="paragraph">
                  <wp:posOffset>224790</wp:posOffset>
                </wp:positionV>
                <wp:extent cx="1028700" cy="466090"/>
                <wp:effectExtent l="0" t="0" r="0" b="0"/>
                <wp:wrapNone/>
                <wp:docPr id="42" name="文本框 42"/>
                <wp:cNvGraphicFramePr/>
                <a:graphic xmlns:a="http://schemas.openxmlformats.org/drawingml/2006/main">
                  <a:graphicData uri="http://schemas.microsoft.com/office/word/2010/wordprocessingShape">
                    <wps:wsp>
                      <wps:cNvSpPr txBox="1"/>
                      <wps:spPr>
                        <a:xfrm>
                          <a:off x="0" y="0"/>
                          <a:ext cx="1028700" cy="466090"/>
                        </a:xfrm>
                        <a:prstGeom prst="rect">
                          <a:avLst/>
                        </a:prstGeom>
                        <a:noFill/>
                        <a:ln>
                          <a:noFill/>
                        </a:ln>
                        <a:effectLst/>
                      </wps:spPr>
                      <wps:txbx>
                        <w:txbxContent>
                          <w:p w14:paraId="04F2A83E">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超大件和超重</w:t>
                            </w:r>
                          </w:p>
                          <w:p w14:paraId="3622E942">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件的运输</w:t>
                            </w:r>
                          </w:p>
                        </w:txbxContent>
                      </wps:txbx>
                      <wps:bodyPr wrap="square" upright="1"/>
                    </wps:wsp>
                  </a:graphicData>
                </a:graphic>
              </wp:anchor>
            </w:drawing>
          </mc:Choice>
          <mc:Fallback>
            <w:pict>
              <v:shape id="_x0000_s1026" o:spid="_x0000_s1026" o:spt="202" type="#_x0000_t202" style="position:absolute;left:0pt;margin-left:-9pt;margin-top:17.7pt;height:36.7pt;width:81pt;z-index:251695104;mso-width-relative:page;mso-height-relative:page;" filled="f" stroked="f" coordsize="21600,21600" o:gfxdata="UEsDBAoAAAAAAIdO4kAAAAAAAAAAAAAAAAAEAAAAZHJzL1BLAwQUAAAACACHTuJAG9Iqt9cAAAAK&#10;AQAADwAAAGRycy9kb3ducmV2LnhtbE2PQU/DMAyF70j7D5EncduSQoe60nQHEFfQNkDaLWu8tqJx&#10;qiZby7/HO42b7ff0/L1iM7lOXHAIrScNyVKBQKq8banW8Ll/W2QgQjRkTecJNfxigE05uytMbv1I&#10;W7zsYi04hEJuNDQx9rmUoWrQmbD0PRJrJz84E3kdamkHM3K46+SDUk/SmZb4Q2N6fGmw+tmdnYav&#10;99PhO1Uf9atb9aOflCS3llrfzxP1DCLiFG9muOIzOpTMdPRnskF0GhZJxl2ihsdVCuJqSFM+HHlQ&#10;WQayLOT/CuUfUEsDBBQAAAAIAIdO4kBl59ThvAEAAGwDAAAOAAAAZHJzL2Uyb0RvYy54bWytU0tu&#10;2zAQ3RfoHQjuaylG4KaC5QCBkW6KpkDaA9DUyCLAXzm0JV8gvUFX3XTfc/kcHVKK89tkkQ01nM/j&#10;vDej5eVgNNtDQOVszc9mJWdgpWuU3db8x/frDxecYRS2EdpZqPkBkF+u3r9b9r6CueucbiAwArFY&#10;9b7mXYy+KgqUHRiBM+fBUrB1wYhI17AtmiB6Qje6mJflouhdaHxwEhDJux6DfEIMrwF0baskrJ3c&#10;GbBxRA2gRSRK2CmPfJW7bVuQ8aZtESLTNSemMZ/0CNmbdBarpai2QfhOyakF8ZoWnnEyQll69AS1&#10;FlGwXVAvoIySwaFr40w6U4xEsiLE4qx8ps1tJzxkLiQ1+pPo+Haw8uv+W2Cqqfn5nDMrDE38+PvX&#10;8c+/4987Rj4SqPdYUd6tp8w4XLmB1ubej+RMvIc2mPQlRoziJO/hJC8MkclUVM4vPpYUkhQ7XyzK&#10;T1n/4qHaB4yfwRmWjJoHGl9WVey/YKROKPU+JT1m3bXSOo9Q2ycOShw9kHdgqk5ExoaTFYfNMLHb&#10;uOZA5Hrag5rjz50IwNnOB7XtqI1MtkglNITcxLQwacqP72Q//klW/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b0iq31wAAAAoBAAAPAAAAAAAAAAEAIAAAACIAAABkcnMvZG93bnJldi54bWxQSwEC&#10;FAAUAAAACACHTuJAZefU4bwBAABsAwAADgAAAAAAAAABACAAAAAmAQAAZHJzL2Uyb0RvYy54bWxQ&#10;SwUGAAAAAAYABgBZAQAAVAUAAAAA&#10;">
                <v:fill on="f" focussize="0,0"/>
                <v:stroke on="f"/>
                <v:imagedata o:title=""/>
                <o:lock v:ext="edit" aspectratio="f"/>
                <v:textbox>
                  <w:txbxContent>
                    <w:p w14:paraId="04F2A83E">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超大件和超重</w:t>
                      </w:r>
                    </w:p>
                    <w:p w14:paraId="3622E942">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件的运输</w:t>
                      </w:r>
                    </w:p>
                  </w:txbxContent>
                </v:textbox>
              </v:shape>
            </w:pict>
          </mc:Fallback>
        </mc:AlternateContent>
      </w:r>
      <w:r>
        <w:rPr>
          <w:rFonts w:hint="default" w:ascii="Times New Roman" w:hAnsi="Times New Roman" w:cs="Times New Roman"/>
          <w:b/>
          <w:bCs/>
          <w:color w:val="auto"/>
          <w:sz w:val="22"/>
          <w:szCs w:val="22"/>
          <w:highlight w:val="none"/>
        </w:rPr>
        <w:t xml:space="preserve">13.4  </w:t>
      </w:r>
      <w:r>
        <w:rPr>
          <w:rFonts w:hint="default" w:ascii="Times New Roman" w:hAnsi="Times New Roman" w:cs="Times New Roman"/>
          <w:b/>
          <w:bCs/>
          <w:color w:val="auto"/>
          <w:sz w:val="22"/>
          <w:szCs w:val="22"/>
          <w:highlight w:val="none"/>
          <w:u w:val="dotted"/>
        </w:rPr>
        <w:t xml:space="preserve">                                                                                                        </w:t>
      </w:r>
    </w:p>
    <w:p w14:paraId="243D51A2">
      <w:pPr>
        <w:pStyle w:val="15"/>
        <w:tabs>
          <w:tab w:val="left" w:pos="1202"/>
        </w:tabs>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应负责向交通管理部门办理运输超大件或超重件的申请手续，发包人应协助承包人办理上述手续。除专用条款另有约定外，运输超大件或超重件所需的道路和桥梁临时加固改造费用和其他有关费用，由承包人承担。</w:t>
      </w:r>
    </w:p>
    <w:p w14:paraId="0A14C42C">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696128" behindDoc="0" locked="0" layoutInCell="1" allowOverlap="1">
                <wp:simplePos x="0" y="0"/>
                <wp:positionH relativeFrom="column">
                  <wp:posOffset>-114300</wp:posOffset>
                </wp:positionH>
                <wp:positionV relativeFrom="paragraph">
                  <wp:posOffset>224790</wp:posOffset>
                </wp:positionV>
                <wp:extent cx="1028700" cy="466090"/>
                <wp:effectExtent l="0" t="0" r="0" b="0"/>
                <wp:wrapNone/>
                <wp:docPr id="43" name="文本框 43"/>
                <wp:cNvGraphicFramePr/>
                <a:graphic xmlns:a="http://schemas.openxmlformats.org/drawingml/2006/main">
                  <a:graphicData uri="http://schemas.microsoft.com/office/word/2010/wordprocessingShape">
                    <wps:wsp>
                      <wps:cNvSpPr txBox="1"/>
                      <wps:spPr>
                        <a:xfrm>
                          <a:off x="0" y="0"/>
                          <a:ext cx="1028700" cy="466090"/>
                        </a:xfrm>
                        <a:prstGeom prst="rect">
                          <a:avLst/>
                        </a:prstGeom>
                        <a:noFill/>
                        <a:ln>
                          <a:noFill/>
                        </a:ln>
                        <a:effectLst/>
                      </wps:spPr>
                      <wps:txbx>
                        <w:txbxContent>
                          <w:p w14:paraId="09BB1B27">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道路和桥梁的</w:t>
                            </w:r>
                          </w:p>
                          <w:p w14:paraId="116A451C">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损坏责任</w:t>
                            </w:r>
                          </w:p>
                        </w:txbxContent>
                      </wps:txbx>
                      <wps:bodyPr wrap="square" upright="1"/>
                    </wps:wsp>
                  </a:graphicData>
                </a:graphic>
              </wp:anchor>
            </w:drawing>
          </mc:Choice>
          <mc:Fallback>
            <w:pict>
              <v:shape id="_x0000_s1026" o:spid="_x0000_s1026" o:spt="202" type="#_x0000_t202" style="position:absolute;left:0pt;margin-left:-9pt;margin-top:17.7pt;height:36.7pt;width:81pt;z-index:251696128;mso-width-relative:page;mso-height-relative:page;" filled="f" stroked="f" coordsize="21600,21600" o:gfxdata="UEsDBAoAAAAAAIdO4kAAAAAAAAAAAAAAAAAEAAAAZHJzL1BLAwQUAAAACACHTuJAG9Iqt9cAAAAK&#10;AQAADwAAAGRycy9kb3ducmV2LnhtbE2PQU/DMAyF70j7D5EncduSQoe60nQHEFfQNkDaLWu8tqJx&#10;qiZby7/HO42b7ff0/L1iM7lOXHAIrScNyVKBQKq8banW8Ll/W2QgQjRkTecJNfxigE05uytMbv1I&#10;W7zsYi04hEJuNDQx9rmUoWrQmbD0PRJrJz84E3kdamkHM3K46+SDUk/SmZb4Q2N6fGmw+tmdnYav&#10;99PhO1Uf9atb9aOflCS3llrfzxP1DCLiFG9muOIzOpTMdPRnskF0GhZJxl2ihsdVCuJqSFM+HHlQ&#10;WQayLOT/CuUfUEsDBBQAAAAIAIdO4kArXXlivQEAAGwDAAAOAAAAZHJzL2Uyb0RvYy54bWytU0tu&#10;2zAQ3RfIHQjuYylO4KaC5QCFkWyKtkDaA9DU0CIgfsqhLfkC7Q266qb7nsvn6JBS3DTZZJENNZzP&#10;47w3o+XNYDq2h4Da2ZpfzErOwErXaLut+dcvt+fXnGEUthGds1DzAyC/WZ29Wfa+grlrXddAYARi&#10;sep9zdsYfVUUKFswAmfOg6WgcsGISNewLZogekI3XTEvy0XRu9D44CQgknc9BvmEGF4C6JTSEtZO&#10;7gzYOKIG6EQkSthqj3yVu1UKZPykFEJkXc2JacwnPUL2Jp3FaimqbRC+1XJqQbykhSecjNCWHj1B&#10;rUUUbBf0MyijZXDoVJxJZ4qRSFaEWFyUT7S5b4WHzIWkRn8SHV8PVn7cfw5MNzW/uuTMCkMTP/78&#10;cfz15/j7OyMfCdR7rCjv3lNmHN67gdbmwY/kTLwHFUz6EiNGcZL3cJIXhshkKirn129LCkmKXS0W&#10;5busf/Gv2geMd+AMS0bNA40vqyr2HzBSJ5T6kJIes+5Wd10eYWf/c1Di6IG8A1N1IjI2nKw4bIaJ&#10;3cY1ByLX0x7UHL/tRADOdj7obUttZLJFKqEh5CamhUlTfnwn+/FPsvoL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G9Iqt9cAAAAKAQAADwAAAAAAAAABACAAAAAiAAAAZHJzL2Rvd25yZXYueG1sUEsB&#10;AhQAFAAAAAgAh07iQCtdeWK9AQAAbAMAAA4AAAAAAAAAAQAgAAAAJgEAAGRycy9lMm9Eb2MueG1s&#10;UEsFBgAAAAAGAAYAWQEAAFUFAAAAAA==&#10;">
                <v:fill on="f" focussize="0,0"/>
                <v:stroke on="f"/>
                <v:imagedata o:title=""/>
                <o:lock v:ext="edit" aspectratio="f"/>
                <v:textbox>
                  <w:txbxContent>
                    <w:p w14:paraId="09BB1B27">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道路和桥梁的</w:t>
                      </w:r>
                    </w:p>
                    <w:p w14:paraId="116A451C">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损坏责任</w:t>
                      </w:r>
                    </w:p>
                  </w:txbxContent>
                </v:textbox>
              </v:shape>
            </w:pict>
          </mc:Fallback>
        </mc:AlternateContent>
      </w:r>
      <w:r>
        <w:rPr>
          <w:rFonts w:hint="default" w:ascii="Times New Roman" w:hAnsi="Times New Roman" w:cs="Times New Roman"/>
          <w:b/>
          <w:bCs/>
          <w:color w:val="auto"/>
          <w:sz w:val="22"/>
          <w:szCs w:val="22"/>
          <w:highlight w:val="none"/>
        </w:rPr>
        <w:t xml:space="preserve">13.5  </w:t>
      </w:r>
      <w:r>
        <w:rPr>
          <w:rFonts w:hint="default" w:ascii="Times New Roman" w:hAnsi="Times New Roman" w:cs="Times New Roman"/>
          <w:b/>
          <w:bCs/>
          <w:color w:val="auto"/>
          <w:sz w:val="22"/>
          <w:szCs w:val="22"/>
          <w:highlight w:val="none"/>
          <w:u w:val="dotted"/>
        </w:rPr>
        <w:t xml:space="preserve">                                                                                                        </w:t>
      </w:r>
    </w:p>
    <w:p w14:paraId="093EF44B">
      <w:pPr>
        <w:pStyle w:val="15"/>
        <w:tabs>
          <w:tab w:val="left" w:pos="1202"/>
        </w:tabs>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因承包人运输造成施工场地内外公共道路和桥梁损坏的，由承包人承担修复损坏的全部费用和可能引起的赔偿。</w:t>
      </w:r>
    </w:p>
    <w:p w14:paraId="4C749D47">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697152" behindDoc="0" locked="0" layoutInCell="1" allowOverlap="1">
                <wp:simplePos x="0" y="0"/>
                <wp:positionH relativeFrom="column">
                  <wp:posOffset>-114300</wp:posOffset>
                </wp:positionH>
                <wp:positionV relativeFrom="paragraph">
                  <wp:posOffset>224790</wp:posOffset>
                </wp:positionV>
                <wp:extent cx="1028700" cy="608330"/>
                <wp:effectExtent l="0" t="0" r="0" b="0"/>
                <wp:wrapNone/>
                <wp:docPr id="44" name="文本框 44"/>
                <wp:cNvGraphicFramePr/>
                <a:graphic xmlns:a="http://schemas.openxmlformats.org/drawingml/2006/main">
                  <a:graphicData uri="http://schemas.microsoft.com/office/word/2010/wordprocessingShape">
                    <wps:wsp>
                      <wps:cNvSpPr txBox="1"/>
                      <wps:spPr>
                        <a:xfrm>
                          <a:off x="0" y="0"/>
                          <a:ext cx="1028700" cy="608330"/>
                        </a:xfrm>
                        <a:prstGeom prst="rect">
                          <a:avLst/>
                        </a:prstGeom>
                        <a:noFill/>
                        <a:ln>
                          <a:noFill/>
                        </a:ln>
                        <a:effectLst/>
                      </wps:spPr>
                      <wps:txbx>
                        <w:txbxContent>
                          <w:p w14:paraId="6CAFB0DC">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水路和航空运</w:t>
                            </w:r>
                          </w:p>
                          <w:p w14:paraId="5797B218">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输</w:t>
                            </w:r>
                          </w:p>
                        </w:txbxContent>
                      </wps:txbx>
                      <wps:bodyPr wrap="square" upright="1"/>
                    </wps:wsp>
                  </a:graphicData>
                </a:graphic>
              </wp:anchor>
            </w:drawing>
          </mc:Choice>
          <mc:Fallback>
            <w:pict>
              <v:shape id="_x0000_s1026" o:spid="_x0000_s1026" o:spt="202" type="#_x0000_t202" style="position:absolute;left:0pt;margin-left:-9pt;margin-top:17.7pt;height:47.9pt;width:81pt;z-index:251697152;mso-width-relative:page;mso-height-relative:page;" filled="f" stroked="f" coordsize="21600,21600" o:gfxdata="UEsDBAoAAAAAAIdO4kAAAAAAAAAAAAAAAAAEAAAAZHJzL1BLAwQUAAAACACHTuJAeKadSdcAAAAK&#10;AQAADwAAAGRycy9kb3ducmV2LnhtbE2PQW/CMAyF75P4D5GRdoOkUCbomnIA7bppsE3iFhrTVmuc&#10;qgm0+/czp+1m+z09fy/fjq4VN+xD40lDMlcgkEpvG6o0fBxfZmsQIRqypvWEGn4wwLaYPOQms36g&#10;d7wdYiU4hEJmNNQxdpmUoazRmTD3HRJrF987E3ntK2l7M3C4a+VCqSfpTEP8oTYd7mosvw9Xp+Hz&#10;9XL6StVbtXerbvCjkuQ2UuvHaaKeQUQc458Z7viMDgUznf2VbBCthlmy5i5Rw3KVgrgb0pQPZx6W&#10;yQJkkcv/FYpfUEsDBBQAAAAIAIdO4kD+tLvSvQEAAGwDAAAOAAAAZHJzL2Uyb0RvYy54bWytU0tu&#10;2zAQ3RfIHQjuYypOkBqC5QCFkW6KpkDaA9DUyCIgfsqhLfkCzQ266qb7nsvn6JBS3DTZZJENNZzP&#10;47w3o+XNYDq2h4Da2YpfzArOwCpXa7ut+Levt+cLzjBKW8vOWaj4AZDfrM7eLXtfwty1rqshMAKx&#10;WPa+4m2MvhQCVQtG4sx5sBRsXDAy0jVsRR1kT+imE/OiuBa9C7UPTgEieddjkE+I4TWArmm0grVT&#10;OwM2jqgBOhmJErbaI1/lbpsGVLxrGoTIuooT05hPeoTsTTrFainLbZC+1WpqQb6mhWecjNSWHj1B&#10;rWWUbBf0CyijVXDomjhTzoiRSFaEWFwUz7S5b6WHzIWkRn8SHd8OVn3efwlM1xW/uuLMSkMTP/58&#10;OP76c/z9g5GPBOo9lpR37ykzDh/cQGvz6EdyJt5DE0z6EiNGcZL3cJIXhshUKirmi/cFhRTFrovF&#10;5WXWX/yr9gHjR3CGJaPigcaXVZX7TxipE0p9TEmPWXeruy6PsLP/OShx9EDegak6ERkbTlYcNsPE&#10;buPqA5HraQ8qjt93MgBnOx/0tqU2MlmRSmgIuYlpYdKUn97JfvqTrP4C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eKadSdcAAAAKAQAADwAAAAAAAAABACAAAAAiAAAAZHJzL2Rvd25yZXYueG1sUEsB&#10;AhQAFAAAAAgAh07iQP60u9K9AQAAbAMAAA4AAAAAAAAAAQAgAAAAJgEAAGRycy9lMm9Eb2MueG1s&#10;UEsFBgAAAAAGAAYAWQEAAFUFAAAAAA==&#10;">
                <v:fill on="f" focussize="0,0"/>
                <v:stroke on="f"/>
                <v:imagedata o:title=""/>
                <o:lock v:ext="edit" aspectratio="f"/>
                <v:textbox>
                  <w:txbxContent>
                    <w:p w14:paraId="6CAFB0DC">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水路和航空运</w:t>
                      </w:r>
                    </w:p>
                    <w:p w14:paraId="5797B218">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输</w:t>
                      </w:r>
                    </w:p>
                  </w:txbxContent>
                </v:textbox>
              </v:shape>
            </w:pict>
          </mc:Fallback>
        </mc:AlternateContent>
      </w:r>
      <w:r>
        <w:rPr>
          <w:rFonts w:hint="default" w:ascii="Times New Roman" w:hAnsi="Times New Roman" w:cs="Times New Roman"/>
          <w:b/>
          <w:bCs/>
          <w:color w:val="auto"/>
          <w:sz w:val="22"/>
          <w:szCs w:val="22"/>
          <w:highlight w:val="none"/>
        </w:rPr>
        <w:t xml:space="preserve">13.6 </w:t>
      </w:r>
      <w:r>
        <w:rPr>
          <w:rFonts w:hint="default" w:ascii="Times New Roman" w:hAnsi="Times New Roman" w:cs="Times New Roman"/>
          <w:b/>
          <w:bCs/>
          <w:color w:val="auto"/>
          <w:sz w:val="22"/>
          <w:szCs w:val="22"/>
          <w:highlight w:val="none"/>
          <w:u w:val="dotted"/>
        </w:rPr>
        <w:t xml:space="preserve">                                                                                                        </w:t>
      </w:r>
    </w:p>
    <w:p w14:paraId="5AC95613">
      <w:pPr>
        <w:pStyle w:val="15"/>
        <w:tabs>
          <w:tab w:val="left" w:pos="1202"/>
        </w:tabs>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本条内容适用于水路运输和航空运输，其中“道路”包括河道、航线、船闸、机场、码头、堤防以及水路或航空运输中其他相似结构物；“车辆”包括船舶和飞机等。</w:t>
      </w:r>
    </w:p>
    <w:p w14:paraId="4E7CAC76">
      <w:pPr>
        <w:pStyle w:val="15"/>
        <w:tabs>
          <w:tab w:val="left" w:pos="1202"/>
        </w:tabs>
        <w:adjustRightInd w:val="0"/>
        <w:snapToGrid w:val="0"/>
        <w:spacing w:line="420" w:lineRule="exact"/>
        <w:jc w:val="lef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u w:val="single"/>
        </w:rPr>
        <w:t xml:space="preserve">                                                                              </w:t>
      </w:r>
      <w:r>
        <w:rPr>
          <w:rFonts w:hint="default" w:ascii="Times New Roman" w:hAnsi="Times New Roman" w:cs="Times New Roman"/>
          <w:b/>
          <w:bCs/>
          <w:color w:val="auto"/>
          <w:sz w:val="22"/>
          <w:szCs w:val="22"/>
          <w:highlight w:val="none"/>
        </w:rPr>
        <w:t xml:space="preserve">  </w:t>
      </w:r>
    </w:p>
    <w:p w14:paraId="13955661">
      <w:pPr>
        <w:pStyle w:val="15"/>
        <w:tabs>
          <w:tab w:val="left" w:pos="3818"/>
        </w:tabs>
        <w:adjustRightInd w:val="0"/>
        <w:snapToGrid w:val="0"/>
        <w:spacing w:before="240" w:beforeLines="100" w:line="420" w:lineRule="exact"/>
        <w:outlineLvl w:val="2"/>
        <w:rPr>
          <w:rFonts w:hint="default" w:ascii="Times New Roman" w:hAnsi="Times New Roman" w:cs="Times New Roman"/>
          <w:b/>
          <w:bCs/>
          <w:color w:val="auto"/>
          <w:sz w:val="22"/>
          <w:szCs w:val="22"/>
          <w:highlight w:val="none"/>
        </w:rPr>
      </w:pPr>
      <w:bookmarkStart w:id="112" w:name="_Toc469383993"/>
      <w:bookmarkStart w:id="113" w:name="_Toc17029"/>
      <w:r>
        <w:rPr>
          <w:rFonts w:hint="default" w:ascii="Times New Roman" w:hAnsi="Times New Roman" w:cs="Times New Roman"/>
          <w:b/>
          <w:bCs/>
          <w:color w:val="auto"/>
          <w:sz w:val="22"/>
          <w:szCs w:val="22"/>
          <w:highlight w:val="none"/>
        </w:rPr>
        <w:t>14  专项批准事件的签认</w:t>
      </w:r>
      <w:bookmarkEnd w:id="112"/>
      <w:bookmarkEnd w:id="113"/>
      <w:r>
        <w:rPr>
          <w:rFonts w:hint="default" w:ascii="Times New Roman" w:hAnsi="Times New Roman" w:cs="Times New Roman"/>
          <w:b/>
          <w:bCs/>
          <w:color w:val="auto"/>
          <w:sz w:val="22"/>
          <w:szCs w:val="22"/>
          <w:highlight w:val="none"/>
        </w:rPr>
        <w:tab/>
      </w:r>
    </w:p>
    <w:p w14:paraId="0A669E05">
      <w:pPr>
        <w:pStyle w:val="15"/>
        <w:tabs>
          <w:tab w:val="left" w:pos="1202"/>
        </w:tabs>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698176" behindDoc="0" locked="0" layoutInCell="1" allowOverlap="1">
                <wp:simplePos x="0" y="0"/>
                <wp:positionH relativeFrom="column">
                  <wp:posOffset>-114300</wp:posOffset>
                </wp:positionH>
                <wp:positionV relativeFrom="paragraph">
                  <wp:posOffset>246380</wp:posOffset>
                </wp:positionV>
                <wp:extent cx="914400" cy="875665"/>
                <wp:effectExtent l="0" t="0" r="0" b="0"/>
                <wp:wrapNone/>
                <wp:docPr id="45" name="文本框 45"/>
                <wp:cNvGraphicFramePr/>
                <a:graphic xmlns:a="http://schemas.openxmlformats.org/drawingml/2006/main">
                  <a:graphicData uri="http://schemas.microsoft.com/office/word/2010/wordprocessingShape">
                    <wps:wsp>
                      <wps:cNvSpPr txBox="1"/>
                      <wps:spPr>
                        <a:xfrm>
                          <a:off x="0" y="0"/>
                          <a:ext cx="914400" cy="875665"/>
                        </a:xfrm>
                        <a:prstGeom prst="rect">
                          <a:avLst/>
                        </a:prstGeom>
                        <a:noFill/>
                        <a:ln>
                          <a:noFill/>
                        </a:ln>
                        <a:effectLst/>
                      </wps:spPr>
                      <wps:txbx>
                        <w:txbxContent>
                          <w:p w14:paraId="3BE029B5">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专项批准事件的签认</w:t>
                            </w:r>
                          </w:p>
                        </w:txbxContent>
                      </wps:txbx>
                      <wps:bodyPr wrap="square" upright="1"/>
                    </wps:wsp>
                  </a:graphicData>
                </a:graphic>
              </wp:anchor>
            </w:drawing>
          </mc:Choice>
          <mc:Fallback>
            <w:pict>
              <v:shape id="_x0000_s1026" o:spid="_x0000_s1026" o:spt="202" type="#_x0000_t202" style="position:absolute;left:0pt;margin-left:-9pt;margin-top:19.4pt;height:68.95pt;width:72pt;z-index:251698176;mso-width-relative:page;mso-height-relative:page;" filled="f" stroked="f" coordsize="21600,21600" o:gfxdata="UEsDBAoAAAAAAIdO4kAAAAAAAAAAAAAAAAAEAAAAZHJzL1BLAwQUAAAACACHTuJAbHBLGNgAAAAK&#10;AQAADwAAAGRycy9kb3ducmV2LnhtbE2PzU7DMBCE70h9B2srcWvtFEhDiNNDK64gyo/EzY23SUS8&#10;jmK3CW/P9kRvuzuj2W+KzeQ6ccYhtJ40JEsFAqnytqVaw8f78yIDEaIhazpPqOEXA2zK2U1hcutH&#10;esPzPtaCQyjkRkMTY59LGaoGnQlL3yOxdvSDM5HXoZZ2MCOHu06ulEqlMy3xh8b0uG2w+tmfnIbP&#10;l+P31716rXfuoR/9pCS5R6n17TxRTyAiTvHfDBd8RoeSmQ7+RDaITsMiybhL1HCXcYWLYZXy4cDD&#10;Ol2DLAt5XaH8A1BLAwQUAAAACACHTuJA+GxLcLwBAABrAwAADgAAAGRycy9lMm9Eb2MueG1srVNL&#10;btswEN0X6B0I7mvKgeOmguUAgZFuirZAmgPQ1MgiwF85tCVfoL1BV91033P5HB1RipummyyyoYbz&#10;eZz3ZrS67q1hB4iovav4fFZwBk75Wrtdxe+/3L654gyTdLU03kHFj4D8ev361aoLJVz41psaIiMQ&#10;h2UXKt6mFEohULVgJc58AEfBxkcrE13jTtRRdoRujbgoiqXofKxD9AoQybsZg3xCjM8B9E2jFWy8&#10;2ltwaUSNYGQiStjqgHydu20aUOlT0yAkZipOTFM+6RGyt8Mp1itZ7qIMrVZTC/I5LTzhZKV29OgZ&#10;aiOTZPuo/4OyWkWPvkkz5a0YiWRFiMW8eKLNXSsDZC4kNYaz6PhysOrj4XNkuq744pIzJy1N/PTj&#10;++nn79Ovb4x8JFAXsKS8u0CZqb/xPa3Ngx/JOfDum2iHLzFiFCd5j2d5oU9MkfPdfLEoKKIodPX2&#10;crnM6OJvcYiY3oO3bDAqHml6WVR5+ICJGqHUh5ThLedvtTF5gsb946DE0QN5BabqgcfY72ClfttP&#10;5La+PhK3jtag4vh1LyNwtg9R71pqI3MVQwnNIDcx7csw5Md3sh//I+s/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bHBLGNgAAAAKAQAADwAAAAAAAAABACAAAAAiAAAAZHJzL2Rvd25yZXYueG1sUEsB&#10;AhQAFAAAAAgAh07iQPhsS3C8AQAAawMAAA4AAAAAAAAAAQAgAAAAJwEAAGRycy9lMm9Eb2MueG1s&#10;UEsFBgAAAAAGAAYAWQEAAFUFAAAAAA==&#10;">
                <v:fill on="f" focussize="0,0"/>
                <v:stroke on="f"/>
                <v:imagedata o:title=""/>
                <o:lock v:ext="edit" aspectratio="f"/>
                <v:textbox>
                  <w:txbxContent>
                    <w:p w14:paraId="3BE029B5">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专项批准事件的签认</w:t>
                      </w:r>
                    </w:p>
                  </w:txbxContent>
                </v:textbox>
              </v:shape>
            </w:pict>
          </mc:Fallback>
        </mc:AlternateContent>
      </w:r>
      <w:r>
        <w:rPr>
          <w:rFonts w:hint="default" w:ascii="Times New Roman" w:hAnsi="Times New Roman" w:cs="Times New Roman"/>
          <w:b/>
          <w:bCs/>
          <w:color w:val="auto"/>
          <w:sz w:val="22"/>
          <w:szCs w:val="22"/>
          <w:highlight w:val="none"/>
        </w:rPr>
        <w:t xml:space="preserve">14.1      </w:t>
      </w:r>
    </w:p>
    <w:p w14:paraId="1434D090">
      <w:pPr>
        <w:pStyle w:val="15"/>
        <w:tabs>
          <w:tab w:val="left" w:pos="1202"/>
        </w:tabs>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合同履行期间，合同工程发生第23.3款、第24.3款专项批准事件的，发包人批准后应通知监理工程师和（或）造价工程师按照合同约定以书面形式向承包人发出工作指令，提供所需的相关资料。承包人在收到监理工程师和（或）造价工程师发出的工作指令后，应按照合同约定实施发生事件的相关工作。</w:t>
      </w:r>
    </w:p>
    <w:p w14:paraId="0422E5C5">
      <w:pPr>
        <w:pStyle w:val="15"/>
        <w:tabs>
          <w:tab w:val="left" w:pos="1202"/>
        </w:tabs>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合同双方当事人应按照第14.2款规定对发生的专项批准事件予以签认，并及时将发生事件的相关资料整理、归档，同时按第23.2款、第24.2款规定职权将其中一份送监理工程师和（或）造价工程师留存。</w:t>
      </w:r>
    </w:p>
    <w:p w14:paraId="7EB3145D">
      <w:pPr>
        <w:pStyle w:val="15"/>
        <w:tabs>
          <w:tab w:val="left" w:pos="2160"/>
        </w:tabs>
        <w:spacing w:before="192" w:beforeLines="80"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14.2  </w:t>
      </w:r>
      <w:r>
        <w:rPr>
          <w:rFonts w:hint="default" w:ascii="Times New Roman" w:hAnsi="Times New Roman" w:cs="Times New Roman"/>
          <w:b/>
          <w:bCs/>
          <w:color w:val="auto"/>
          <w:sz w:val="22"/>
          <w:szCs w:val="22"/>
          <w:highlight w:val="none"/>
          <w:u w:val="dotted"/>
        </w:rPr>
        <w:t xml:space="preserve">                                                                                 </w:t>
      </w:r>
    </w:p>
    <w:p w14:paraId="57729E8F">
      <w:pPr>
        <w:pStyle w:val="15"/>
        <w:tabs>
          <w:tab w:val="left" w:pos="1620"/>
        </w:tabs>
        <w:spacing w:line="420" w:lineRule="exact"/>
        <w:ind w:left="1618" w:leftChars="770" w:hanging="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699200" behindDoc="0" locked="0" layoutInCell="1" allowOverlap="1">
                <wp:simplePos x="0" y="0"/>
                <wp:positionH relativeFrom="column">
                  <wp:posOffset>0</wp:posOffset>
                </wp:positionH>
                <wp:positionV relativeFrom="paragraph">
                  <wp:posOffset>10795</wp:posOffset>
                </wp:positionV>
                <wp:extent cx="914400" cy="875665"/>
                <wp:effectExtent l="0" t="0" r="0" b="0"/>
                <wp:wrapNone/>
                <wp:docPr id="53" name="文本框 53"/>
                <wp:cNvGraphicFramePr/>
                <a:graphic xmlns:a="http://schemas.openxmlformats.org/drawingml/2006/main">
                  <a:graphicData uri="http://schemas.microsoft.com/office/word/2010/wordprocessingShape">
                    <wps:wsp>
                      <wps:cNvSpPr txBox="1"/>
                      <wps:spPr>
                        <a:xfrm>
                          <a:off x="0" y="0"/>
                          <a:ext cx="914400" cy="875665"/>
                        </a:xfrm>
                        <a:prstGeom prst="rect">
                          <a:avLst/>
                        </a:prstGeom>
                        <a:noFill/>
                        <a:ln>
                          <a:noFill/>
                        </a:ln>
                        <a:effectLst/>
                      </wps:spPr>
                      <wps:txbx>
                        <w:txbxContent>
                          <w:p w14:paraId="1BC64055">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专项批准事件签认人的要求</w:t>
                            </w:r>
                          </w:p>
                        </w:txbxContent>
                      </wps:txbx>
                      <wps:bodyPr wrap="square" upright="1"/>
                    </wps:wsp>
                  </a:graphicData>
                </a:graphic>
              </wp:anchor>
            </w:drawing>
          </mc:Choice>
          <mc:Fallback>
            <w:pict>
              <v:shape id="_x0000_s1026" o:spid="_x0000_s1026" o:spt="202" type="#_x0000_t202" style="position:absolute;left:0pt;margin-left:0pt;margin-top:0.85pt;height:68.95pt;width:72pt;z-index:251699200;mso-width-relative:page;mso-height-relative:page;" filled="f" stroked="f" coordsize="21600,21600" o:gfxdata="UEsDBAoAAAAAAIdO4kAAAAAAAAAAAAAAAAAEAAAAZHJzL1BLAwQUAAAACACHTuJA5qRuYtMAAAAG&#10;AQAADwAAAGRycy9kb3ducmV2LnhtbE2PQU/DMAyF70j8h8hI3FgyKIOVpjuAuIIYMGk3r/Haisap&#10;mmwt/x7vxG5+ftbz94rV5Dt1pCG2gS3MZwYUcRVcy7WFr8/Xm0dQMSE77AKThV+KsCovLwrMXRj5&#10;g47rVCsJ4ZijhSalPtc6Vg15jLPQE4u3D4PHJHKotRtwlHDf6VtjFtpjy/KhwZ6eG6p+1gdv4ftt&#10;v91k5r1+8ff9GCaj2S+1tddXc/MEKtGU/o/hhC/oUArTLhzYRdVZkCJJtg+gTmaWid7JcLdcgC4L&#10;fY5f/gFQSwMEFAAAAAgAh07iQIXmFiy8AQAAawMAAA4AAABkcnMvZTJvRG9jLnhtbK1TzY7TMBC+&#10;I/EOlu806bItS9R0JVQtFwRICw/gOpPGkv/wuE36AvAGnLhw57n6HIydbFl2L3vYizOen8/zfTNZ&#10;XQ9GswMEVM7WfD4rOQMrXaPsruZfv9y8uuIMo7CN0M5CzY+A/Hr98sWq9xVcuM7pBgIjEItV72ve&#10;xeirokDZgRE4cx4sBVsXjIh0DbuiCaIndKOLi7JcFr0LjQ9OAiJ5N2OQT4jhKYCubZWEjZN7AzaO&#10;qAG0iEQJO+WRr3O3bQsyfmpbhMh0zYlpzCc9QvY2ncV6JapdEL5TcmpBPKWFB5yMUJYePUNtRBRs&#10;H9QjKKNkcOjaOJPOFCORrAixmJcPtLnthIfMhaRGfxYdnw9Wfjx8Dkw1NV+85swKQxM//fxx+vXn&#10;9Ps7Ix8J1HusKO/WU2Yc3rmB1ubOj+RMvIc2mPQlRoziJO/xLC8MkUlyvp1fXpYUkRS6erNYLhcJ&#10;pfhX7APG9+AMS0bNA00viyoOHzCOqXcp6S3rbpTWeYLa/ucgzNEDeQWm6sRj7DdZcdgOE7mta47E&#10;rac1qDl+24sAnO19ULuO2shci1RCM8j9TvuShnz/Tvb9f2T9F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OakbmLTAAAABgEAAA8AAAAAAAAAAQAgAAAAIgAAAGRycy9kb3ducmV2LnhtbFBLAQIUABQA&#10;AAAIAIdO4kCF5hYsvAEAAGsDAAAOAAAAAAAAAAEAIAAAACIBAABkcnMvZTJvRG9jLnhtbFBLBQYA&#10;AAAABgAGAFkBAABQBQAAAAA=&#10;">
                <v:fill on="f" focussize="0,0"/>
                <v:stroke on="f"/>
                <v:imagedata o:title=""/>
                <o:lock v:ext="edit" aspectratio="f"/>
                <v:textbox>
                  <w:txbxContent>
                    <w:p w14:paraId="1BC64055">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专项批准事件签认人的要求</w:t>
                      </w:r>
                    </w:p>
                  </w:txbxContent>
                </v:textbox>
              </v:shape>
            </w:pict>
          </mc:Fallback>
        </mc:AlternateContent>
      </w:r>
      <w:r>
        <w:rPr>
          <w:rFonts w:hint="default" w:ascii="Times New Roman" w:hAnsi="Times New Roman" w:cs="Times New Roman"/>
          <w:color w:val="auto"/>
          <w:sz w:val="22"/>
          <w:szCs w:val="22"/>
          <w:highlight w:val="none"/>
        </w:rPr>
        <w:t>合同双方当事人应按照第23.1款、第24.1款和第25.1款规定，分别在专用条款中写明负责专项批准事件签认的监理工程师、造价工程师和建造师具体人选，授予其负责专项批准事件签认的权力，并提供该人选的印章、签字式样，作为本合同的附件。当专项批准事件发生时，该人选应在其职权范围内，按照本合同约定的程序、时限、生效条件等要求，对发生事件的内容、数量和单价等办理签认手续，并加盖所在单位的法人公章或其授权的施工现场管理机构章。</w:t>
      </w:r>
    </w:p>
    <w:p w14:paraId="44511F3D">
      <w:pPr>
        <w:pStyle w:val="15"/>
        <w:adjustRightInd w:val="0"/>
        <w:snapToGrid w:val="0"/>
        <w:spacing w:line="420" w:lineRule="exact"/>
        <w:ind w:right="-238"/>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42FD9469">
      <w:pPr>
        <w:pStyle w:val="15"/>
        <w:adjustRightInd w:val="0"/>
        <w:snapToGrid w:val="0"/>
        <w:spacing w:before="240" w:beforeLines="100" w:line="420" w:lineRule="exact"/>
        <w:outlineLvl w:val="2"/>
        <w:rPr>
          <w:rFonts w:hint="default" w:ascii="Times New Roman" w:hAnsi="Times New Roman" w:cs="Times New Roman"/>
          <w:b/>
          <w:bCs/>
          <w:color w:val="auto"/>
          <w:sz w:val="22"/>
          <w:szCs w:val="22"/>
          <w:highlight w:val="none"/>
        </w:rPr>
      </w:pPr>
      <w:bookmarkStart w:id="114" w:name="_Toc25565"/>
      <w:bookmarkStart w:id="115" w:name="_Toc469383994"/>
      <w:r>
        <w:rPr>
          <w:rFonts w:hint="default" w:ascii="Times New Roman" w:hAnsi="Times New Roman" w:cs="Times New Roman"/>
          <w:b/>
          <w:bCs/>
          <w:color w:val="auto"/>
          <w:sz w:val="22"/>
          <w:szCs w:val="22"/>
          <w:highlight w:val="none"/>
        </w:rPr>
        <w:t>15  专利技术</w:t>
      </w:r>
      <w:bookmarkEnd w:id="114"/>
      <w:bookmarkEnd w:id="115"/>
    </w:p>
    <w:p w14:paraId="573EAC5A">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15.1                                                                                   </w:t>
      </w:r>
      <w:r>
        <w:rPr>
          <w:rFonts w:hint="default" w:ascii="Times New Roman" w:hAnsi="Times New Roman" w:cs="Times New Roman"/>
          <w:b/>
          <w:bCs/>
          <w:color w:val="auto"/>
          <w:sz w:val="22"/>
          <w:szCs w:val="22"/>
          <w:highlight w:val="none"/>
          <w:u w:val="dotted"/>
        </w:rPr>
        <w:t xml:space="preserve">                                                                                                </w:t>
      </w:r>
    </w:p>
    <w:p w14:paraId="24F4AE44">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00224" behindDoc="0" locked="0" layoutInCell="1" allowOverlap="1">
                <wp:simplePos x="0" y="0"/>
                <wp:positionH relativeFrom="column">
                  <wp:posOffset>-114300</wp:posOffset>
                </wp:positionH>
                <wp:positionV relativeFrom="paragraph">
                  <wp:posOffset>22860</wp:posOffset>
                </wp:positionV>
                <wp:extent cx="914400" cy="471805"/>
                <wp:effectExtent l="0" t="0" r="0" b="0"/>
                <wp:wrapNone/>
                <wp:docPr id="46" name="文本框 46"/>
                <wp:cNvGraphicFramePr/>
                <a:graphic xmlns:a="http://schemas.openxmlformats.org/drawingml/2006/main">
                  <a:graphicData uri="http://schemas.microsoft.com/office/word/2010/wordprocessingShape">
                    <wps:wsp>
                      <wps:cNvSpPr txBox="1"/>
                      <wps:spPr>
                        <a:xfrm>
                          <a:off x="0" y="0"/>
                          <a:ext cx="914400" cy="471805"/>
                        </a:xfrm>
                        <a:prstGeom prst="rect">
                          <a:avLst/>
                        </a:prstGeom>
                        <a:noFill/>
                        <a:ln>
                          <a:noFill/>
                        </a:ln>
                        <a:effectLst/>
                      </wps:spPr>
                      <wps:txbx>
                        <w:txbxContent>
                          <w:p w14:paraId="3458B643">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侵犯专利技术责任</w:t>
                            </w:r>
                          </w:p>
                        </w:txbxContent>
                      </wps:txbx>
                      <wps:bodyPr wrap="square" upright="1"/>
                    </wps:wsp>
                  </a:graphicData>
                </a:graphic>
              </wp:anchor>
            </w:drawing>
          </mc:Choice>
          <mc:Fallback>
            <w:pict>
              <v:shape id="_x0000_s1026" o:spid="_x0000_s1026" o:spt="202" type="#_x0000_t202" style="position:absolute;left:0pt;margin-left:-9pt;margin-top:1.8pt;height:37.15pt;width:72pt;z-index:251700224;mso-width-relative:page;mso-height-relative:page;" filled="f" stroked="f" coordsize="21600,21600" o:gfxdata="UEsDBAoAAAAAAIdO4kAAAAAAAAAAAAAAAAAEAAAAZHJzL1BLAwQUAAAACACHTuJAum2TpNYAAAAI&#10;AQAADwAAAGRycy9kb3ducmV2LnhtbE2PQU/CQBSE7yb8h80j8Qa7RS1Q+8pB41UjAgm3pftoG7tv&#10;m+5C6793OelxMpOZb/LNaFtxpd43jhGSuQJBXDrTcIWw+3qbrUD4oNno1jEh/JCHTTG5y3Vm3MCf&#10;dN2GSsQS9plGqEPoMil9WZPVfu464uidXW91iLKvpOn1EMttKxdKpdLqhuNCrTt6qan83l4swv79&#10;fDw8qo/q1T51gxuVZLuWiPfTRD2DCDSGvzDc8CM6FJHp5C5svGgRZskqfgkIDymIm79Ioz4hLJdr&#10;kEUu/x8ofgFQSwMEFAAAAAgAh07iQA/T4Rm8AQAAawMAAA4AAABkcnMvZTJvRG9jLnhtbK1TS27b&#10;MBDdF8gdCO5jyoGTpoLlAIWRbIq2QNoD0NTIIsBfObQlX6C9QVfddN9z+RwdSoqbJpsssqGG83mc&#10;92a0vOmtYXuIqL2r+HxWcAZO+Vq7bcW/frk9v+YMk3S1NN5BxQ+A/GZ19mbZhRIufOtNDZERiMOy&#10;CxVvUwqlEKhasBJnPoCjYOOjlYmucSvqKDtCt0ZcFMWV6HysQ/QKEMm7HoN8QowvAfRNoxWsvdpZ&#10;cGlEjWBkIkrY6oB8NXTbNKDSp6ZBSMxUnJim4aRHyN7kU6yWstxGGVqtphbkS1p4wslK7ejRE9Ra&#10;Jsl2UT+DslpFj75JM+WtGIkMihCLefFEm/tWBhi4kNQYTqLj68Gqj/vPkem64osrzpy0NPHjzx/H&#10;X3+Ov78z8pFAXcCS8u4DZab+ve9pbR78SM7Mu2+izV9ixChO8h5O8kKfmCLnu/liUVBEUWjxdn5d&#10;XGYU8a84REx34C3LRsUjTW8QVe4/YBpTH1LyW87famOGCRr3n4MwRw8MKzBVZx5jv9lK/aafyG18&#10;fSBuHa1BxfHbTkbgbBei3rbUxsBV5BKawdDvtC95yI/vZD/+R1Z/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Lptk6TWAAAACAEAAA8AAAAAAAAAAQAgAAAAIgAAAGRycy9kb3ducmV2LnhtbFBLAQIU&#10;ABQAAAAIAIdO4kAP0+EZvAEAAGsDAAAOAAAAAAAAAAEAIAAAACUBAABkcnMvZTJvRG9jLnhtbFBL&#10;BQYAAAAABgAGAFkBAABTBQAAAAA=&#10;">
                <v:fill on="f" focussize="0,0"/>
                <v:stroke on="f"/>
                <v:imagedata o:title=""/>
                <o:lock v:ext="edit" aspectratio="f"/>
                <v:textbox>
                  <w:txbxContent>
                    <w:p w14:paraId="3458B643">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侵犯专利技术责任</w:t>
                      </w:r>
                    </w:p>
                  </w:txbxContent>
                </v:textbox>
              </v:shape>
            </w:pict>
          </mc:Fallback>
        </mc:AlternateContent>
      </w:r>
      <w:r>
        <w:rPr>
          <w:rFonts w:hint="default" w:ascii="Times New Roman" w:hAnsi="Times New Roman" w:cs="Times New Roman"/>
          <w:color w:val="auto"/>
          <w:sz w:val="22"/>
          <w:szCs w:val="22"/>
          <w:highlight w:val="none"/>
        </w:rPr>
        <w:t>承包人在实施、完成并保修合同工程过程中，如因采用施工工艺或使用施工设备及自身供应的材料和工程设备，而发生侵犯他人商标、图案、工艺、材料、设备专利权或知识产权的行为，并引起索赔或诉讼，则一切与此有关的损失、赔偿、诉讼等责任，均由承包人承担。但由于遵守发包人提供的施工设计图纸、标准与规范、技术说明和要求而造成的侵权，则属例外。</w:t>
      </w:r>
    </w:p>
    <w:p w14:paraId="09DD7A27">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15.2</w:t>
      </w:r>
      <w:r>
        <w:rPr>
          <w:rFonts w:hint="default" w:ascii="Times New Roman" w:hAnsi="Times New Roman" w:cs="Times New Roman"/>
          <w:b/>
          <w:bCs/>
          <w:color w:val="auto"/>
          <w:sz w:val="22"/>
          <w:szCs w:val="22"/>
          <w:highlight w:val="none"/>
          <w:u w:val="dotted"/>
        </w:rPr>
        <w:t xml:space="preserve">                                                                             </w:t>
      </w:r>
      <w:r>
        <w:rPr>
          <w:rFonts w:hint="default" w:ascii="Times New Roman" w:hAnsi="Times New Roman" w:cs="Times New Roman"/>
          <w:b/>
          <w:bCs/>
          <w:color w:val="auto"/>
          <w:sz w:val="22"/>
          <w:szCs w:val="22"/>
          <w:highlight w:val="none"/>
        </w:rPr>
        <w:t xml:space="preserve">    </w:t>
      </w:r>
      <w:r>
        <w:rPr>
          <w:rFonts w:hint="default" w:ascii="Times New Roman" w:hAnsi="Times New Roman" w:cs="Times New Roman"/>
          <w:b/>
          <w:bCs/>
          <w:color w:val="auto"/>
          <w:sz w:val="22"/>
          <w:szCs w:val="22"/>
          <w:highlight w:val="none"/>
          <w:u w:val="dotted"/>
        </w:rPr>
        <w:t xml:space="preserve">                                                                                                </w:t>
      </w:r>
    </w:p>
    <w:p w14:paraId="2054D3F5">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01248" behindDoc="0" locked="0" layoutInCell="1" allowOverlap="1">
                <wp:simplePos x="0" y="0"/>
                <wp:positionH relativeFrom="column">
                  <wp:posOffset>-114300</wp:posOffset>
                </wp:positionH>
                <wp:positionV relativeFrom="paragraph">
                  <wp:posOffset>22860</wp:posOffset>
                </wp:positionV>
                <wp:extent cx="914400" cy="471805"/>
                <wp:effectExtent l="0" t="0" r="0" b="0"/>
                <wp:wrapNone/>
                <wp:docPr id="47" name="文本框 47"/>
                <wp:cNvGraphicFramePr/>
                <a:graphic xmlns:a="http://schemas.openxmlformats.org/drawingml/2006/main">
                  <a:graphicData uri="http://schemas.microsoft.com/office/word/2010/wordprocessingShape">
                    <wps:wsp>
                      <wps:cNvSpPr txBox="1"/>
                      <wps:spPr>
                        <a:xfrm>
                          <a:off x="0" y="0"/>
                          <a:ext cx="914400" cy="471805"/>
                        </a:xfrm>
                        <a:prstGeom prst="rect">
                          <a:avLst/>
                        </a:prstGeom>
                        <a:noFill/>
                        <a:ln>
                          <a:noFill/>
                        </a:ln>
                        <a:effectLst/>
                      </wps:spPr>
                      <wps:txbx>
                        <w:txbxContent>
                          <w:p w14:paraId="712830CC">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专利技术的使用</w:t>
                            </w:r>
                          </w:p>
                        </w:txbxContent>
                      </wps:txbx>
                      <wps:bodyPr wrap="square" upright="1"/>
                    </wps:wsp>
                  </a:graphicData>
                </a:graphic>
              </wp:anchor>
            </w:drawing>
          </mc:Choice>
          <mc:Fallback>
            <w:pict>
              <v:shape id="_x0000_s1026" o:spid="_x0000_s1026" o:spt="202" type="#_x0000_t202" style="position:absolute;left:0pt;margin-left:-9pt;margin-top:1.8pt;height:37.15pt;width:72pt;z-index:251701248;mso-width-relative:page;mso-height-relative:page;" filled="f" stroked="f" coordsize="21600,21600" o:gfxdata="UEsDBAoAAAAAAIdO4kAAAAAAAAAAAAAAAAAEAAAAZHJzL1BLAwQUAAAACACHTuJAum2TpNYAAAAI&#10;AQAADwAAAGRycy9kb3ducmV2LnhtbE2PQU/CQBSE7yb8h80j8Qa7RS1Q+8pB41UjAgm3pftoG7tv&#10;m+5C6793OelxMpOZb/LNaFtxpd43jhGSuQJBXDrTcIWw+3qbrUD4oNno1jEh/JCHTTG5y3Vm3MCf&#10;dN2GSsQS9plGqEPoMil9WZPVfu464uidXW91iLKvpOn1EMttKxdKpdLqhuNCrTt6qan83l4swv79&#10;fDw8qo/q1T51gxuVZLuWiPfTRD2DCDSGvzDc8CM6FJHp5C5svGgRZskqfgkIDymIm79Ioz4hLJdr&#10;kEUu/x8ofgFQSwMEFAAAAAgAh07iQBha3me8AQAAawMAAA4AAABkcnMvZTJvRG9jLnhtbK1TS27b&#10;MBDdF8gdCO5jyYHTpILlAIWRbIq2QNoD0NTQIiB+yqEt+QLtDbrqpvuey+fokFLcNNlkkQ01nM/j&#10;vDej5c1gOraHgNrZms9nJWdgpWu03db865fb82vOMArbiM5ZqPkBkN+szt4se1/BhWtd10BgBGKx&#10;6n3N2xh9VRQoWzACZ86DpaBywYhI17AtmiB6QjddcVGWb4vehcYHJwGRvOsxyCfE8BJAp5SWsHZy&#10;Z8DGETVAJyJRwlZ75KvcrVIg4yelECLrak5MYz7pEbI36SxWS1Ftg/CtllML4iUtPOFkhLb06Alq&#10;LaJgu6CfQRktg0On4kw6U4xEsiLEYl4+0ea+FR4yF5Ia/Ul0fD1Y+XH/OTDd1HxxxZkVhiZ+/Pnj&#10;+OvP8fd3Rj4SqPdYUd69p8w4vHcDrc2DH8mZeA8qmPQlRoziJO/hJC8MkUlyvpsvFiVFJIUWV/Pr&#10;8jKhFP+KfcB4B86wZNQ80PSyqGL/AeOY+pCS3rLuVnddnmBn/3MQ5uiBvAJTdeIx9pusOGyGidzG&#10;NQfi1tMa1By/7UQAznY+6G1LbWSuRSqhGeR+p31JQ358J/vxP7L6C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Lptk6TWAAAACAEAAA8AAAAAAAAAAQAgAAAAIgAAAGRycy9kb3ducmV2LnhtbFBLAQIU&#10;ABQAAAAIAIdO4kAYWt5nvAEAAGsDAAAOAAAAAAAAAAEAIAAAACUBAABkcnMvZTJvRG9jLnhtbFBL&#10;BQYAAAAABgAGAFkBAABTBQAAAAA=&#10;">
                <v:fill on="f" focussize="0,0"/>
                <v:stroke on="f"/>
                <v:imagedata o:title=""/>
                <o:lock v:ext="edit" aspectratio="f"/>
                <v:textbox>
                  <w:txbxContent>
                    <w:p w14:paraId="712830CC">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专利技术的使用</w:t>
                      </w:r>
                    </w:p>
                  </w:txbxContent>
                </v:textbox>
              </v:shape>
            </w:pict>
          </mc:Fallback>
        </mc:AlternateContent>
      </w:r>
      <w:r>
        <w:rPr>
          <w:rFonts w:hint="default" w:ascii="Times New Roman" w:hAnsi="Times New Roman" w:cs="Times New Roman"/>
          <w:color w:val="auto"/>
          <w:sz w:val="22"/>
          <w:szCs w:val="22"/>
          <w:highlight w:val="none"/>
        </w:rPr>
        <w:t>承包人在投标文件中采用专利技术的，其发生的费用已包含在投标报价内。承包人的技术秘密和第91条规定的保密信息、资料等，发包人应严格按照第91条规定不得为合同以外的目的泄露给第三方。</w:t>
      </w:r>
    </w:p>
    <w:p w14:paraId="1B3ABE7E">
      <w:pPr>
        <w:pStyle w:val="15"/>
        <w:tabs>
          <w:tab w:val="left" w:pos="1680"/>
        </w:tabs>
        <w:adjustRightInd w:val="0"/>
        <w:snapToGrid w:val="0"/>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02272" behindDoc="0" locked="0" layoutInCell="1" allowOverlap="1">
                <wp:simplePos x="0" y="0"/>
                <wp:positionH relativeFrom="column">
                  <wp:posOffset>-114300</wp:posOffset>
                </wp:positionH>
                <wp:positionV relativeFrom="paragraph">
                  <wp:posOffset>241300</wp:posOffset>
                </wp:positionV>
                <wp:extent cx="914400" cy="497840"/>
                <wp:effectExtent l="0" t="0" r="0" b="0"/>
                <wp:wrapNone/>
                <wp:docPr id="48" name="文本框 48"/>
                <wp:cNvGraphicFramePr/>
                <a:graphic xmlns:a="http://schemas.openxmlformats.org/drawingml/2006/main">
                  <a:graphicData uri="http://schemas.microsoft.com/office/word/2010/wordprocessingShape">
                    <wps:wsp>
                      <wps:cNvSpPr txBox="1"/>
                      <wps:spPr>
                        <a:xfrm>
                          <a:off x="0" y="0"/>
                          <a:ext cx="914400" cy="497840"/>
                        </a:xfrm>
                        <a:prstGeom prst="rect">
                          <a:avLst/>
                        </a:prstGeom>
                        <a:noFill/>
                        <a:ln>
                          <a:noFill/>
                        </a:ln>
                        <a:effectLst/>
                      </wps:spPr>
                      <wps:txbx>
                        <w:txbxContent>
                          <w:p w14:paraId="2679B714">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版权和知识产权</w:t>
                            </w:r>
                          </w:p>
                        </w:txbxContent>
                      </wps:txbx>
                      <wps:bodyPr wrap="square" upright="1"/>
                    </wps:wsp>
                  </a:graphicData>
                </a:graphic>
              </wp:anchor>
            </w:drawing>
          </mc:Choice>
          <mc:Fallback>
            <w:pict>
              <v:shape id="_x0000_s1026" o:spid="_x0000_s1026" o:spt="202" type="#_x0000_t202" style="position:absolute;left:0pt;margin-left:-9pt;margin-top:19pt;height:39.2pt;width:72pt;z-index:251702272;mso-width-relative:page;mso-height-relative:page;" filled="f" stroked="f" coordsize="21600,21600" o:gfxdata="UEsDBAoAAAAAAIdO4kAAAAAAAAAAAAAAAAAEAAAAZHJzL1BLAwQUAAAACACHTuJAfV6GkdcAAAAK&#10;AQAADwAAAGRycy9kb3ducmV2LnhtbE2PzW7CMBCE75X6DtZW6g3sUIhoGocDqNei0h+pNxMvSdR4&#10;HcWGhLfv5kRPO6sdzX6Tb0bXigv2ofGkIZkrEEiltw1VGj4/XmdrECEasqb1hBquGGBT3N/lJrN+&#10;oHe8HGIlOIRCZjTUMXaZlKGs0Zkw9x0S306+dyby2lfS9mbgcNfKhVKpdKYh/lCbDrc1lr+Hs9Pw&#10;9Xb6+V6qfbVzq27wo5LknqXWjw+JegERcYw3M0z4jA4FMx39mWwQrYZZsuYuUcPTNCfDImVxZJGk&#10;S5BFLv9XKP4AUEsDBBQAAAAIAIdO4kCW5zOXvAEAAGsDAAAOAAAAZHJzL2Uyb0RvYy54bWytU0tu&#10;2zAQ3RfoHQjua8qB0CaC5QCBkW6KtkDaA9DUyCIgfsqhLfkC7Q266qb7nsvn6JBSnDTdZJENNZzP&#10;47w3o9X1aHp2gIDa2ZovFwVnYJVrtN3V/OuX2zeXnGGUtpG9s1DzIyC/Xr9+tRp8BReuc30DgRGI&#10;xWrwNe9i9JUQqDowEhfOg6Vg64KRka5hJ5ogB0I3vbgoirdicKHxwSlAJO9mCvIZMTwH0LWtVrBx&#10;am/Axgk1QC8jUcJOe+Tr3G3bgoqf2hYhsr7mxDTmkx4he5tOsV7Jahek77SaW5DPaeEJJyO1pUfP&#10;UBsZJdsH/R+U0So4dG1cKGfERCQrQiyWxRNt7jrpIXMhqdGfRceXg1UfD58D003NS5q7lYYmfvr5&#10;4/Trz+n3d0Y+EmjwWFHenafMON64kdbm3o/kTLzHNpj0JUaM4iTv8SwvjJEpcl4ty7KgiKJQefXu&#10;sszyi4diHzC+B2dYMmoeaHpZVHn4gJEaodT7lPSWdbe67/MEe/uPgxInD+QVmKsTj6nfZMVxO87k&#10;tq45EreB1qDm+G0vA3C290HvOmojcxWphGaQm5j3JQ358Z3sx//I+i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9XoaR1wAAAAoBAAAPAAAAAAAAAAEAIAAAACIAAABkcnMvZG93bnJldi54bWxQSwEC&#10;FAAUAAAACACHTuJAluczl7wBAABrAwAADgAAAAAAAAABACAAAAAmAQAAZHJzL2Uyb0RvYy54bWxQ&#10;SwUGAAAAAAYABgBZAQAAVAUAAAAA&#10;">
                <v:fill on="f" focussize="0,0"/>
                <v:stroke on="f"/>
                <v:imagedata o:title=""/>
                <o:lock v:ext="edit" aspectratio="f"/>
                <v:textbox>
                  <w:txbxContent>
                    <w:p w14:paraId="2679B714">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版权和知识产权</w:t>
                      </w:r>
                    </w:p>
                  </w:txbxContent>
                </v:textbox>
              </v:shape>
            </w:pict>
          </mc:Fallback>
        </mc:AlternateContent>
      </w:r>
      <w:r>
        <w:rPr>
          <w:rFonts w:hint="default" w:ascii="Times New Roman" w:hAnsi="Times New Roman" w:cs="Times New Roman"/>
          <w:color w:val="auto"/>
          <w:sz w:val="22"/>
          <w:szCs w:val="22"/>
          <w:highlight w:val="none"/>
        </w:rPr>
        <w:t xml:space="preserve">15.3  </w:t>
      </w:r>
      <w:r>
        <w:rPr>
          <w:rFonts w:hint="default" w:ascii="Times New Roman" w:hAnsi="Times New Roman" w:cs="Times New Roman"/>
          <w:color w:val="auto"/>
          <w:sz w:val="22"/>
          <w:szCs w:val="22"/>
          <w:highlight w:val="none"/>
          <w:u w:val="dotted"/>
        </w:rPr>
        <w:t xml:space="preserve">                                                                                                       </w:t>
      </w:r>
    </w:p>
    <w:p w14:paraId="0576C3F3">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合同双方当事人各自对属于自己的施工设计图纸及其他文件保留版权和知识产权。双方签订本合同后，应视为分别授权对方当事人为实施合同工程而复制、使用、传送上述施工设计图纸和文件。但未经对方当事人同意，另一方当事人不得将其另作他用或转给第三方。</w:t>
      </w:r>
    </w:p>
    <w:p w14:paraId="2F0D3893">
      <w:pPr>
        <w:pStyle w:val="15"/>
        <w:adjustRightInd w:val="0"/>
        <w:snapToGrid w:val="0"/>
        <w:spacing w:line="420" w:lineRule="exact"/>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5FE2B3E6">
      <w:pPr>
        <w:pStyle w:val="15"/>
        <w:adjustRightInd w:val="0"/>
        <w:snapToGrid w:val="0"/>
        <w:spacing w:line="420" w:lineRule="exact"/>
        <w:outlineLvl w:val="2"/>
        <w:rPr>
          <w:rFonts w:hint="default" w:ascii="Times New Roman" w:hAnsi="Times New Roman" w:cs="Times New Roman"/>
          <w:b/>
          <w:bCs/>
          <w:color w:val="auto"/>
          <w:sz w:val="22"/>
          <w:szCs w:val="22"/>
          <w:highlight w:val="none"/>
        </w:rPr>
      </w:pPr>
      <w:bookmarkStart w:id="116" w:name="_Toc469383995"/>
      <w:bookmarkStart w:id="117" w:name="_Toc26460"/>
      <w:r>
        <w:rPr>
          <w:rFonts w:hint="default" w:ascii="Times New Roman" w:hAnsi="Times New Roman" w:cs="Times New Roman"/>
          <w:b/>
          <w:bCs/>
          <w:color w:val="auto"/>
          <w:sz w:val="22"/>
          <w:szCs w:val="22"/>
          <w:highlight w:val="none"/>
        </w:rPr>
        <w:t>16  联合的责任</w:t>
      </w:r>
      <w:bookmarkEnd w:id="116"/>
      <w:bookmarkEnd w:id="117"/>
    </w:p>
    <w:p w14:paraId="057BC23F">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03296" behindDoc="0" locked="0" layoutInCell="1" allowOverlap="1">
                <wp:simplePos x="0" y="0"/>
                <wp:positionH relativeFrom="column">
                  <wp:posOffset>-114300</wp:posOffset>
                </wp:positionH>
                <wp:positionV relativeFrom="paragraph">
                  <wp:posOffset>234950</wp:posOffset>
                </wp:positionV>
                <wp:extent cx="914400" cy="461010"/>
                <wp:effectExtent l="0" t="0" r="0" b="0"/>
                <wp:wrapNone/>
                <wp:docPr id="49" name="文本框 49"/>
                <wp:cNvGraphicFramePr/>
                <a:graphic xmlns:a="http://schemas.openxmlformats.org/drawingml/2006/main">
                  <a:graphicData uri="http://schemas.microsoft.com/office/word/2010/wordprocessingShape">
                    <wps:wsp>
                      <wps:cNvSpPr txBox="1"/>
                      <wps:spPr>
                        <a:xfrm>
                          <a:off x="0" y="0"/>
                          <a:ext cx="914400" cy="461010"/>
                        </a:xfrm>
                        <a:prstGeom prst="rect">
                          <a:avLst/>
                        </a:prstGeom>
                        <a:noFill/>
                        <a:ln>
                          <a:noFill/>
                        </a:ln>
                        <a:effectLst/>
                      </wps:spPr>
                      <wps:txbx>
                        <w:txbxContent>
                          <w:p w14:paraId="74179FFB">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共同的和各自的责任</w:t>
                            </w:r>
                          </w:p>
                        </w:txbxContent>
                      </wps:txbx>
                      <wps:bodyPr wrap="square" upright="1"/>
                    </wps:wsp>
                  </a:graphicData>
                </a:graphic>
              </wp:anchor>
            </w:drawing>
          </mc:Choice>
          <mc:Fallback>
            <w:pict>
              <v:shape id="_x0000_s1026" o:spid="_x0000_s1026" o:spt="202" type="#_x0000_t202" style="position:absolute;left:0pt;margin-left:-9pt;margin-top:18.5pt;height:36.3pt;width:72pt;z-index:251703296;mso-width-relative:page;mso-height-relative:page;" filled="f" stroked="f" coordsize="21600,21600" o:gfxdata="UEsDBAoAAAAAAIdO4kAAAAAAAAAAAAAAAAAEAAAAZHJzL1BLAwQUAAAACACHTuJAiaxOp9cAAAAK&#10;AQAADwAAAGRycy9kb3ducmV2LnhtbE2PQW/CMAyF75P4D5GRdoOkbOuga8ph065DYxsSt9CYtlrj&#10;VE2g3b/HnMbJz/LT8/fy9ehaccY+NJ40JHMFAqn0tqFKw/fX+2wJIkRD1rSeUMMfBlgXk7vcZNYP&#10;9InnbawEh1DIjIY6xi6TMpQ1OhPmvkPi29H3zkRe+0ra3gwc7lq5UCqVzjTEH2rT4WuN5e/25DT8&#10;fBz3u0e1qd7cUzf4UUlyK6n1/TRRLyAijvHfDFd8RoeCmQ7+RDaIVsMsWXKXqOHhmefVsEhZHFio&#10;VQqyyOVtheICUEsDBBQAAAAIAIdO4kBEAr0vuQEAAGsDAAAOAAAAZHJzL2Uyb0RvYy54bWytU82O&#10;0zAQviPxDpbv1OmqWrFR05VQtVwQIC08gOtMGkv+w+M26QvAG3Diwp3n6nMwdrJlWS574OKM5+fz&#10;fN9M1rejNewIEbV3DV8uKs7AKd9qt2/45093r15zhkm6VhrvoOEnQH67efliPYQarnzvTQuREYjD&#10;eggN71MKtRCoerASFz6Ao2Dno5WJrnEv2igHQrdGXFXVtRh8bEP0ChDJu52CfEaMzwH0XacVbL06&#10;WHBpQo1gZCJK2OuAfFO67TpQ6UPXISRmGk5MUznpEbJ3+RSbtaz3UYZeq7kF+ZwWnnCyUjt69AK1&#10;lUmyQ9T/QFmtokffpYXyVkxEiiLEYlk90ea+lwEKF5Iaw0V0/H+w6v3xY2S6bfjqhjMnLU38/P3b&#10;+cev88+vjHwk0BCwprz7QJlpfONHWpsHP5Iz8x67aPOXGDGKk7yni7wwJqbIebNcrSqKKAqtrpfE&#10;N6OIP8UhYnoL3rJsNDzS9Iqo8vgO05T6kJLfcv5OG1MmaNxfDsKcPFBWYK7OPKZ+s5XG3TiT2/n2&#10;RNwGWoOG45eDjMDZIUS976mNwlXkEppB6Xfelzzkx3eyH/8jm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CJrE6n1wAAAAoBAAAPAAAAAAAAAAEAIAAAACIAAABkcnMvZG93bnJldi54bWxQSwECFAAU&#10;AAAACACHTuJARAK9L7kBAABrAwAADgAAAAAAAAABACAAAAAmAQAAZHJzL2Uyb0RvYy54bWxQSwUG&#10;AAAAAAYABgBZAQAAUQUAAAAA&#10;">
                <v:fill on="f" focussize="0,0"/>
                <v:stroke on="f"/>
                <v:imagedata o:title=""/>
                <o:lock v:ext="edit" aspectratio="f"/>
                <v:textbox>
                  <w:txbxContent>
                    <w:p w14:paraId="74179FFB">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共同的和各自的责任</w:t>
                      </w:r>
                    </w:p>
                  </w:txbxContent>
                </v:textbox>
              </v:shape>
            </w:pict>
          </mc:Fallback>
        </mc:AlternateContent>
      </w:r>
      <w:r>
        <w:rPr>
          <w:rFonts w:hint="default" w:ascii="Times New Roman" w:hAnsi="Times New Roman" w:cs="Times New Roman"/>
          <w:b/>
          <w:bCs/>
          <w:color w:val="auto"/>
          <w:sz w:val="22"/>
          <w:szCs w:val="22"/>
          <w:highlight w:val="none"/>
        </w:rPr>
        <w:t xml:space="preserve">16.1                     </w:t>
      </w:r>
    </w:p>
    <w:p w14:paraId="36B322CE">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如果承包人是联合体经营，则联合体各方应共同与发包人签订合同协议书，并在工程开工前签订联合体施工协议书，作为本合同的附件。该联合体各方都应在合同履行期间对发包人负有共同的和各自的责任。</w:t>
      </w:r>
    </w:p>
    <w:p w14:paraId="0A511775">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04320" behindDoc="0" locked="0" layoutInCell="1" allowOverlap="1">
                <wp:simplePos x="0" y="0"/>
                <wp:positionH relativeFrom="column">
                  <wp:posOffset>-114300</wp:posOffset>
                </wp:positionH>
                <wp:positionV relativeFrom="paragraph">
                  <wp:posOffset>245745</wp:posOffset>
                </wp:positionV>
                <wp:extent cx="914400" cy="495300"/>
                <wp:effectExtent l="0" t="0" r="0" b="0"/>
                <wp:wrapNone/>
                <wp:docPr id="50" name="文本框 50"/>
                <wp:cNvGraphicFramePr/>
                <a:graphic xmlns:a="http://schemas.openxmlformats.org/drawingml/2006/main">
                  <a:graphicData uri="http://schemas.microsoft.com/office/word/2010/wordprocessingShape">
                    <wps:wsp>
                      <wps:cNvSpPr txBox="1"/>
                      <wps:spPr>
                        <a:xfrm>
                          <a:off x="0" y="0"/>
                          <a:ext cx="914400" cy="495300"/>
                        </a:xfrm>
                        <a:prstGeom prst="rect">
                          <a:avLst/>
                        </a:prstGeom>
                        <a:noFill/>
                        <a:ln>
                          <a:noFill/>
                        </a:ln>
                        <a:effectLst/>
                      </wps:spPr>
                      <wps:txbx>
                        <w:txbxContent>
                          <w:p w14:paraId="3A595E1F">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联合体文件签暑</w:t>
                            </w:r>
                          </w:p>
                        </w:txbxContent>
                      </wps:txbx>
                      <wps:bodyPr wrap="square" upright="1"/>
                    </wps:wsp>
                  </a:graphicData>
                </a:graphic>
              </wp:anchor>
            </w:drawing>
          </mc:Choice>
          <mc:Fallback>
            <w:pict>
              <v:shape id="_x0000_s1026" o:spid="_x0000_s1026" o:spt="202" type="#_x0000_t202" style="position:absolute;left:0pt;margin-left:-9pt;margin-top:19.35pt;height:39pt;width:72pt;z-index:251704320;mso-width-relative:page;mso-height-relative:page;" filled="f" stroked="f" coordsize="21600,21600" o:gfxdata="UEsDBAoAAAAAAIdO4kAAAAAAAAAAAAAAAAAEAAAAZHJzL1BLAwQUAAAACACHTuJAC7HiBtgAAAAK&#10;AQAADwAAAGRycy9kb3ducmV2LnhtbE2PzU7DMBCE70h9B2srcWvtFEhDiNNDK64gyo/EzY23SUS8&#10;jmK3CW/P9kRvuzuj2W+KzeQ6ccYhtJ40JEsFAqnytqVaw8f78yIDEaIhazpPqOEXA2zK2U1hcutH&#10;esPzPtaCQyjkRkMTY59LGaoGnQlL3yOxdvSDM5HXoZZ2MCOHu06ulEqlMy3xh8b0uG2w+tmfnIbP&#10;l+P31716rXfuoR/9pCS5R6n17TxRTyAiTvHfDBd8RoeSmQ7+RDaITsMiybhL1HCXrUFcDKuUDwce&#10;knQNsizkdYXyD1BLAwQUAAAACACHTuJAVUu3h7oBAABrAwAADgAAAGRycy9lMm9Eb2MueG1srVNL&#10;btswEN0XyB0I7mPKqVM0guUAgZFsgrZA2gPQ1NAiwF85tCVfoL1BV91033P5HB194qbpJotsqOF8&#10;Hue9GS2vO2fZHhKa4Cs+nxWcgVehNn5b8S+fb8/fc4ZZ+lra4KHiB0B+vTp7s2xjCRehCbaGxAjE&#10;Y9nGijc5x1IIVA04ibMQwVNQh+RkpmvaijrJltCdFRdF8U60IdUxBQWI5F2PQT4hppcABq2NgnVQ&#10;Owc+j6gJrMxECRsTka+GbrUGlT9qjZCZrTgxzcNJj5C96U+xWspym2RsjJpakC9p4RknJ42nR09Q&#10;a5kl2yXzH5QzKgUMOs9UcGIkMihCLObFM20eGhlh4EJSYzyJjq8Hqz7sPyVm6opfkiReOpr48cf3&#10;48/fx1/fGPlIoDZiSXkPkTJzdxM6WptHP5Kz593p5PovMWIUJ6zDSV7oMlPkvJovFgVFFIUWV5dv&#10;ySZ08bc4Jsx3EBzrjYonmt4gqtzfYx5TH1P6t3y4NdYOE7T+Hwdhjh4YVmCq7nmM/fZW7jbdRG4T&#10;6gNxa2kNKo5fdzIBZ7uYzLahNgauoi+hGQz9TvvSD/npneyn/8jqD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Aux4gbYAAAACgEAAA8AAAAAAAAAAQAgAAAAIgAAAGRycy9kb3ducmV2LnhtbFBLAQIU&#10;ABQAAAAIAIdO4kBVS7eHugEAAGsDAAAOAAAAAAAAAAEAIAAAACcBAABkcnMvZTJvRG9jLnhtbFBL&#10;BQYAAAAABgAGAFkBAABTBQAAAAA=&#10;">
                <v:fill on="f" focussize="0,0"/>
                <v:stroke on="f"/>
                <v:imagedata o:title=""/>
                <o:lock v:ext="edit" aspectratio="f"/>
                <v:textbox>
                  <w:txbxContent>
                    <w:p w14:paraId="3A595E1F">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联合体文件签暑</w:t>
                      </w:r>
                    </w:p>
                  </w:txbxContent>
                </v:textbox>
              </v:shape>
            </w:pict>
          </mc:Fallback>
        </mc:AlternateContent>
      </w:r>
      <w:r>
        <w:rPr>
          <w:rFonts w:hint="default" w:ascii="Times New Roman" w:hAnsi="Times New Roman" w:cs="Times New Roman"/>
          <w:b/>
          <w:bCs/>
          <w:color w:val="auto"/>
          <w:sz w:val="22"/>
          <w:szCs w:val="22"/>
          <w:highlight w:val="none"/>
        </w:rPr>
        <w:t xml:space="preserve">16.2  </w:t>
      </w:r>
      <w:r>
        <w:rPr>
          <w:rFonts w:hint="default" w:ascii="Times New Roman" w:hAnsi="Times New Roman" w:cs="Times New Roman"/>
          <w:b/>
          <w:bCs/>
          <w:color w:val="auto"/>
          <w:sz w:val="22"/>
          <w:szCs w:val="22"/>
          <w:highlight w:val="none"/>
          <w:u w:val="dotted"/>
        </w:rPr>
        <w:t xml:space="preserve">                                                                                                       </w:t>
      </w:r>
    </w:p>
    <w:p w14:paraId="361859C7">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联合体应有一个被授权的、对联合体各方有约束力的牵头人，由其负责与发包人、监理人和工程造价咨询人（如有）联系，组织联合体各方全面履行合同。该牵头人应指派专职代表负责，履行合同的有关文件由该专职代表签署。未经发包人事先书面同意，联合体的组成、结构和施工协议书不得随意变动。</w:t>
      </w:r>
    </w:p>
    <w:p w14:paraId="2444E363">
      <w:pPr>
        <w:tabs>
          <w:tab w:val="left" w:pos="1620"/>
        </w:tabs>
        <w:spacing w:line="420" w:lineRule="exact"/>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00E65B8B">
      <w:pPr>
        <w:pStyle w:val="15"/>
        <w:tabs>
          <w:tab w:val="left" w:pos="105"/>
        </w:tabs>
        <w:adjustRightInd w:val="0"/>
        <w:snapToGrid w:val="0"/>
        <w:spacing w:before="240" w:beforeLines="100" w:line="420" w:lineRule="exact"/>
        <w:outlineLvl w:val="2"/>
        <w:rPr>
          <w:rFonts w:hint="default" w:ascii="Times New Roman" w:hAnsi="Times New Roman" w:cs="Times New Roman"/>
          <w:b/>
          <w:bCs/>
          <w:color w:val="auto"/>
          <w:sz w:val="22"/>
          <w:szCs w:val="22"/>
          <w:highlight w:val="none"/>
        </w:rPr>
      </w:pPr>
      <w:bookmarkStart w:id="118" w:name="_Toc30654"/>
      <w:bookmarkStart w:id="119" w:name="_Toc469383996"/>
      <w:r>
        <w:rPr>
          <w:rFonts w:hint="default" w:ascii="Times New Roman" w:hAnsi="Times New Roman" w:cs="Times New Roman"/>
          <w:b/>
          <w:bCs/>
          <w:color w:val="auto"/>
          <w:sz w:val="22"/>
          <w:szCs w:val="22"/>
          <w:highlight w:val="none"/>
        </w:rPr>
        <w:t>17  保障</w:t>
      </w:r>
      <w:bookmarkEnd w:id="118"/>
      <w:bookmarkEnd w:id="119"/>
    </w:p>
    <w:p w14:paraId="542DF3C7">
      <w:pPr>
        <w:pStyle w:val="15"/>
        <w:tabs>
          <w:tab w:val="left" w:pos="1202"/>
        </w:tabs>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05344" behindDoc="0" locked="0" layoutInCell="1" allowOverlap="1">
                <wp:simplePos x="0" y="0"/>
                <wp:positionH relativeFrom="column">
                  <wp:posOffset>0</wp:posOffset>
                </wp:positionH>
                <wp:positionV relativeFrom="paragraph">
                  <wp:posOffset>181610</wp:posOffset>
                </wp:positionV>
                <wp:extent cx="914400" cy="594360"/>
                <wp:effectExtent l="0" t="0" r="0" b="0"/>
                <wp:wrapNone/>
                <wp:docPr id="51" name="文本框 51"/>
                <wp:cNvGraphicFramePr/>
                <a:graphic xmlns:a="http://schemas.openxmlformats.org/drawingml/2006/main">
                  <a:graphicData uri="http://schemas.microsoft.com/office/word/2010/wordprocessingShape">
                    <wps:wsp>
                      <wps:cNvSpPr txBox="1"/>
                      <wps:spPr>
                        <a:xfrm>
                          <a:off x="0" y="0"/>
                          <a:ext cx="914400" cy="594360"/>
                        </a:xfrm>
                        <a:prstGeom prst="rect">
                          <a:avLst/>
                        </a:prstGeom>
                        <a:noFill/>
                        <a:ln>
                          <a:noFill/>
                        </a:ln>
                        <a:effectLst/>
                      </wps:spPr>
                      <wps:txbx>
                        <w:txbxContent>
                          <w:p w14:paraId="763B014D">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合同双方相互保障</w:t>
                            </w:r>
                          </w:p>
                        </w:txbxContent>
                      </wps:txbx>
                      <wps:bodyPr wrap="square" upright="1"/>
                    </wps:wsp>
                  </a:graphicData>
                </a:graphic>
              </wp:anchor>
            </w:drawing>
          </mc:Choice>
          <mc:Fallback>
            <w:pict>
              <v:shape id="_x0000_s1026" o:spid="_x0000_s1026" o:spt="202" type="#_x0000_t202" style="position:absolute;left:0pt;margin-left:0pt;margin-top:14.3pt;height:46.8pt;width:72pt;z-index:251705344;mso-width-relative:page;mso-height-relative:page;" filled="f" stroked="f" coordsize="21600,21600" o:gfxdata="UEsDBAoAAAAAAIdO4kAAAAAAAAAAAAAAAAAEAAAAZHJzL1BLAwQUAAAACACHTuJAf/hgkNUAAAAH&#10;AQAADwAAAGRycy9kb3ducmV2LnhtbE2PzW7CMBCE75V4B2srcSs2VoogxOFA1StV6Y/Um4mXJGq8&#10;jmJD0rfvcmpvOzurmW+L3eQ7ccUhtoEMLBcKBFIVXEu1gfe354c1iJgsOdsFQgM/GGFXzu4Km7sw&#10;0itej6kWHEIxtwaalPpcylg16G1chB6JvXMYvE0sh1q6wY4c7juplVpJb1vihsb2uG+w+j5evIGP&#10;w/nrM1Mv9ZN/7McwKUl+I42Z3y/VFkTCKf0dww2f0aFkplO4kIuiM8CPJAN6vQJxc7OMFycetNYg&#10;y0L+5y9/AVBLAwQUAAAACACHTuJA4k79f7wBAABrAwAADgAAAGRycy9lMm9Eb2MueG1srVNLbtsw&#10;EN0X6B0I7mPJiRM0guUAhZFuirZAmgPQ1NAiwF85tCVfoL1BV91033P5HB1RivPpJotuqOF8Hue9&#10;GS1vemvYHiJq72o+n5WcgZO+0W5b8/uvt2fvOMMkXCOMd1DzAyC/Wb19s+xCBee+9aaByAjEYdWF&#10;mrcphaooULZgBc58AEdB5aMVia5xWzRRdIRuTXFelldF52MTopeASN71GOQTYnwNoFdKS1h7ubPg&#10;0ogawYhElLDVAfkqd6sUyPRZKYTETM2JaconPUL2ZjiL1VJU2yhCq+XUgnhNCy84WaEdPXqCWosk&#10;2C7qf6CsltGjV2kmvS1GIlkRYjEvX2hz14oAmQtJjeEkOv4/WPlp/yUy3dT8cs6ZE5Ymfvz54/jr&#10;z/H3d0Y+EqgLWFHeXaDM1L/3Pa3Ngx/JOfDuVbTDlxgxipO8h5O80CcmyXk9XyxKikgKXV4vLq6y&#10;/MVjcYiYPoC3bDBqHml6WVSx/4iJGqHUh5ThLedvtTF5gsY9c1Di6IG8AlP1wGPsd7BSv+knchvf&#10;HIhbR2tQc/y2ExE424Woty21kbkWQwnNIDcx7csw5Kd3sp/+I6u/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f/hgkNUAAAAHAQAADwAAAAAAAAABACAAAAAiAAAAZHJzL2Rvd25yZXYueG1sUEsBAhQA&#10;FAAAAAgAh07iQOJO/X+8AQAAawMAAA4AAAAAAAAAAQAgAAAAJAEAAGRycy9lMm9Eb2MueG1sUEsF&#10;BgAAAAAGAAYAWQEAAFIFAAAAAA==&#10;">
                <v:fill on="f" focussize="0,0"/>
                <v:stroke on="f"/>
                <v:imagedata o:title=""/>
                <o:lock v:ext="edit" aspectratio="f"/>
                <v:textbox>
                  <w:txbxContent>
                    <w:p w14:paraId="763B014D">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合同双方相互保障</w:t>
                      </w:r>
                    </w:p>
                  </w:txbxContent>
                </v:textbox>
              </v:shape>
            </w:pict>
          </mc:Fallback>
        </mc:AlternateContent>
      </w:r>
      <w:r>
        <w:rPr>
          <w:rFonts w:hint="default" w:ascii="Times New Roman" w:hAnsi="Times New Roman" w:cs="Times New Roman"/>
          <w:b/>
          <w:bCs/>
          <w:color w:val="auto"/>
          <w:sz w:val="22"/>
          <w:szCs w:val="22"/>
          <w:highlight w:val="none"/>
        </w:rPr>
        <w:t xml:space="preserve">17.1      </w:t>
      </w:r>
    </w:p>
    <w:p w14:paraId="56CE87B8">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合同一方当事人应负责和保障另一方当事人不因其自身的行为或疏忽而引起的一切损害、损失和赔偿。但受保障的一方当事人应积极采取合理措施减少可能发生的损失或损害。因受保障的一方当事人未采取合理措施而导致损失扩大，则损失扩大部分由其自身承担。</w:t>
      </w:r>
    </w:p>
    <w:p w14:paraId="43E41957">
      <w:pPr>
        <w:pStyle w:val="15"/>
        <w:tabs>
          <w:tab w:val="left" w:pos="1202"/>
        </w:tabs>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06368" behindDoc="0" locked="0" layoutInCell="1" allowOverlap="1">
                <wp:simplePos x="0" y="0"/>
                <wp:positionH relativeFrom="column">
                  <wp:posOffset>-114300</wp:posOffset>
                </wp:positionH>
                <wp:positionV relativeFrom="paragraph">
                  <wp:posOffset>240665</wp:posOffset>
                </wp:positionV>
                <wp:extent cx="914400" cy="534670"/>
                <wp:effectExtent l="0" t="0" r="0" b="0"/>
                <wp:wrapNone/>
                <wp:docPr id="54" name="文本框 54"/>
                <wp:cNvGraphicFramePr/>
                <a:graphic xmlns:a="http://schemas.openxmlformats.org/drawingml/2006/main">
                  <a:graphicData uri="http://schemas.microsoft.com/office/word/2010/wordprocessingShape">
                    <wps:wsp>
                      <wps:cNvSpPr txBox="1"/>
                      <wps:spPr>
                        <a:xfrm>
                          <a:off x="0" y="0"/>
                          <a:ext cx="914400" cy="534670"/>
                        </a:xfrm>
                        <a:prstGeom prst="rect">
                          <a:avLst/>
                        </a:prstGeom>
                        <a:noFill/>
                        <a:ln>
                          <a:noFill/>
                        </a:ln>
                        <a:effectLst/>
                      </wps:spPr>
                      <wps:txbx>
                        <w:txbxContent>
                          <w:p w14:paraId="57638752">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承包人对发包人的保障</w:t>
                            </w:r>
                          </w:p>
                        </w:txbxContent>
                      </wps:txbx>
                      <wps:bodyPr wrap="square" upright="1"/>
                    </wps:wsp>
                  </a:graphicData>
                </a:graphic>
              </wp:anchor>
            </w:drawing>
          </mc:Choice>
          <mc:Fallback>
            <w:pict>
              <v:shape id="_x0000_s1026" o:spid="_x0000_s1026" o:spt="202" type="#_x0000_t202" style="position:absolute;left:0pt;margin-left:-9pt;margin-top:18.95pt;height:42.1pt;width:72pt;z-index:251706368;mso-width-relative:page;mso-height-relative:page;" filled="f" stroked="f" coordsize="21600,21600" o:gfxdata="UEsDBAoAAAAAAIdO4kAAAAAAAAAAAAAAAAAEAAAAZHJzL1BLAwQUAAAACACHTuJApgeQZ9gAAAAK&#10;AQAADwAAAGRycy9kb3ducmV2LnhtbE2PzU7DMBCE70h9B2srcWvtBChtiNNDK64gyo/EzY23SUS8&#10;jmK3CW/P5kRvuzuj2W/y7ehaccE+NJ40JEsFAqn0tqFKw8f782INIkRD1rSeUMMvBtgWs5vcZNYP&#10;9IaXQ6wEh1DIjIY6xi6TMpQ1OhOWvkNi7eR7ZyKvfSVtbwYOd61MlVpJZxriD7XpcFdj+XM4Ow2f&#10;L6fvr3v1Wu3dQzf4UUlyG6n17TxRTyAijvHfDBM+o0PBTEd/JhtEq2GRrLlL1HD3uAExGdIVH47T&#10;kCYgi1xeVyj+AFBLAwQUAAAACACHTuJAukdyE70BAABrAwAADgAAAGRycy9lMm9Eb2MueG1srVNL&#10;btswEN0X6B0I7mvKqZO2guUAhZFsirZAkgPQ1MgiwF84tCVfoL1BV91033P5HBlRipummyy6oYbz&#10;eZz3ZrS87K1he4iovav4fFZwBk75Wrttxe9ur9685wyTdLU03kHFD4D8cvX61bILJZz51psaIiMQ&#10;h2UXKt6mFEohULVgJc58AEfBxkcrE13jVtRRdoRujTgrigvR+ViH6BUgknc9BvmEGF8C6JtGK1h7&#10;tbPg0ogawchElLDVAfkqd9s0oNKXpkFIzFScmKZ80iNkb4ZTrJay3EYZWq2mFuRLWnjGyUrt6NET&#10;1FomyXZR/wNltYoefZNmylsxEsmKEIt58Uybm1YGyFxIagwn0fH/warP+6+R6bri5wvOnLQ08eOP&#10;78efv4+/vjHykUBdwJLybgJlpv6j72ltHv1IzoF330Q7fIkRozjJezjJC31iipwf5otFQRFFofO3&#10;i4t3WX7xpzhETNfgLRuMikeaXhZV7j9hokYo9TFleMv5K21MnqBxfzkocfRAXoGpeuAx9jtYqd/0&#10;E7mNrw/EraM1qDje72QEznYh6m1LbWSuYiihGeQmpn0Zhvz0TvbTf2T1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KYHkGfYAAAACgEAAA8AAAAAAAAAAQAgAAAAIgAAAGRycy9kb3ducmV2LnhtbFBL&#10;AQIUABQAAAAIAIdO4kC6R3ITvQEAAGsDAAAOAAAAAAAAAAEAIAAAACcBAABkcnMvZTJvRG9jLnht&#10;bFBLBQYAAAAABgAGAFkBAABWBQAAAAA=&#10;">
                <v:fill on="f" focussize="0,0"/>
                <v:stroke on="f"/>
                <v:imagedata o:title=""/>
                <o:lock v:ext="edit" aspectratio="f"/>
                <v:textbox>
                  <w:txbxContent>
                    <w:p w14:paraId="57638752">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承包人对发包人的保障</w:t>
                      </w:r>
                    </w:p>
                  </w:txbxContent>
                </v:textbox>
              </v:shape>
            </w:pict>
          </mc:Fallback>
        </mc:AlternateContent>
      </w:r>
      <w:r>
        <w:rPr>
          <w:rFonts w:hint="default" w:ascii="Times New Roman" w:hAnsi="Times New Roman" w:cs="Times New Roman"/>
          <w:b/>
          <w:bCs/>
          <w:color w:val="auto"/>
          <w:sz w:val="22"/>
          <w:szCs w:val="22"/>
          <w:highlight w:val="none"/>
        </w:rPr>
        <w:t xml:space="preserve">17.2  </w:t>
      </w:r>
      <w:r>
        <w:rPr>
          <w:rFonts w:hint="default" w:ascii="Times New Roman" w:hAnsi="Times New Roman" w:cs="Times New Roman"/>
          <w:b/>
          <w:bCs/>
          <w:color w:val="auto"/>
          <w:sz w:val="22"/>
          <w:szCs w:val="22"/>
          <w:highlight w:val="none"/>
          <w:u w:val="dotted"/>
        </w:rPr>
        <w:t xml:space="preserve">                                                                                                       </w:t>
      </w:r>
    </w:p>
    <w:p w14:paraId="5DDF50E7">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承包人应保障发包人不承担因承包人移动或使用施工场地外的施工设备和临时设施所造成的损害而引起的赔偿。</w:t>
      </w:r>
    </w:p>
    <w:p w14:paraId="0F41D4B3">
      <w:pPr>
        <w:pStyle w:val="15"/>
        <w:adjustRightInd w:val="0"/>
        <w:snapToGrid w:val="0"/>
        <w:spacing w:line="420" w:lineRule="exact"/>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6955318B">
      <w:pPr>
        <w:pStyle w:val="15"/>
        <w:adjustRightInd w:val="0"/>
        <w:snapToGrid w:val="0"/>
        <w:spacing w:before="240" w:beforeLines="100" w:line="420" w:lineRule="exact"/>
        <w:outlineLvl w:val="2"/>
        <w:rPr>
          <w:rFonts w:hint="default" w:ascii="Times New Roman" w:hAnsi="Times New Roman" w:cs="Times New Roman"/>
          <w:b/>
          <w:bCs/>
          <w:color w:val="auto"/>
          <w:sz w:val="22"/>
          <w:szCs w:val="22"/>
          <w:highlight w:val="none"/>
        </w:rPr>
      </w:pPr>
      <w:bookmarkStart w:id="120" w:name="_Toc469383997"/>
      <w:bookmarkStart w:id="121" w:name="_Toc16810"/>
      <w:r>
        <w:rPr>
          <w:rFonts w:hint="default" w:ascii="Times New Roman" w:hAnsi="Times New Roman" w:cs="Times New Roman"/>
          <w:b/>
          <w:bCs/>
          <w:color w:val="auto"/>
          <w:sz w:val="22"/>
          <w:szCs w:val="22"/>
          <w:highlight w:val="none"/>
        </w:rPr>
        <w:t>18  财产</w:t>
      </w:r>
      <w:bookmarkEnd w:id="120"/>
      <w:bookmarkEnd w:id="121"/>
    </w:p>
    <w:p w14:paraId="561BF4C7">
      <w:pPr>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18.1                       </w:t>
      </w:r>
    </w:p>
    <w:p w14:paraId="567F2796">
      <w:pPr>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07392" behindDoc="0" locked="0" layoutInCell="1" allowOverlap="1">
                <wp:simplePos x="0" y="0"/>
                <wp:positionH relativeFrom="column">
                  <wp:posOffset>-114300</wp:posOffset>
                </wp:positionH>
                <wp:positionV relativeFrom="paragraph">
                  <wp:posOffset>0</wp:posOffset>
                </wp:positionV>
                <wp:extent cx="914400" cy="724535"/>
                <wp:effectExtent l="0" t="0" r="0" b="0"/>
                <wp:wrapNone/>
                <wp:docPr id="55" name="文本框 55"/>
                <wp:cNvGraphicFramePr/>
                <a:graphic xmlns:a="http://schemas.openxmlformats.org/drawingml/2006/main">
                  <a:graphicData uri="http://schemas.microsoft.com/office/word/2010/wordprocessingShape">
                    <wps:wsp>
                      <wps:cNvSpPr txBox="1"/>
                      <wps:spPr>
                        <a:xfrm>
                          <a:off x="0" y="0"/>
                          <a:ext cx="914400" cy="724535"/>
                        </a:xfrm>
                        <a:prstGeom prst="rect">
                          <a:avLst/>
                        </a:prstGeom>
                        <a:noFill/>
                        <a:ln>
                          <a:noFill/>
                        </a:ln>
                        <a:effectLst/>
                      </wps:spPr>
                      <wps:txbx>
                        <w:txbxContent>
                          <w:p w14:paraId="5EF9C68F">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用于工程材料、工程设备和施工设备的</w:t>
                            </w:r>
                          </w:p>
                        </w:txbxContent>
                      </wps:txbx>
                      <wps:bodyPr wrap="square" upright="1"/>
                    </wps:wsp>
                  </a:graphicData>
                </a:graphic>
              </wp:anchor>
            </w:drawing>
          </mc:Choice>
          <mc:Fallback>
            <w:pict>
              <v:shape id="_x0000_s1026" o:spid="_x0000_s1026" o:spt="202" type="#_x0000_t202" style="position:absolute;left:0pt;margin-left:-9pt;margin-top:0pt;height:57.05pt;width:72pt;z-index:251707392;mso-width-relative:page;mso-height-relative:page;" filled="f" stroked="f" coordsize="21600,21600" o:gfxdata="UEsDBAoAAAAAAIdO4kAAAAAAAAAAAAAAAAAEAAAAZHJzL1BLAwQUAAAACACHTuJAFFLIudUAAAAI&#10;AQAADwAAAGRycy9kb3ducmV2LnhtbE2PQW/CMAyF75P2HyJP2g2SIIZYacoBtOumMUDaLTSmrWic&#10;qgm0+/czp+1iPetZz9/L16NvxQ372AQyoKcKBFIZXEOVgf3X22QJIiZLzraB0MAPRlgXjw+5zVwY&#10;6BNvu1QJDqGYWQN1Sl0mZSxr9DZOQ4fE3jn03iZe+0q63g4c7ls5U2ohvW2IP9S2w02N5WV39QYO&#10;7+fv41x9VFv/0g1hVJL8qzTm+UmrFYiEY/o7hjs+o0PBTKdwJRdFa2Cil9wlGeB5t2cLFicWeq5B&#10;Frn8X6D4BVBLAwQUAAAACACHTuJAmwFAO7sBAABrAwAADgAAAGRycy9lMm9Eb2MueG1srVPLrtMw&#10;EN0j8Q+W99RpaXlETa+EqssGAdKFD3CdSWPJLzxuk/4A/AErNuz5rn4HEye33MfmLtg443kczzkz&#10;WV/11rAjRNTeVXw+KzgDp3yt3b7iX79cv3jDGSbpamm8g4qfAPnV5vmzdRdKWPjWmxoiIxCHZRcq&#10;3qYUSiFQtWAlznwAR8HGRysTXeNe1FF2hG6NWBTFK9H5WIfoFSCSdzsG+YQYnwLom0Yr2Hp1sODS&#10;iBrByESUsNUB+SZ32zSg0qemQUjMVJyYpnzSI2TvhlNs1rLcRxlaraYW5FNaeMDJSu3o0QvUVibJ&#10;DlE/grJaRY++STPlrRiJZEWIxbx4oM1NKwNkLiQ1hovo+P9g1cfj58h0XfHVijMnLU38/PPH+def&#10;8+/vjHwkUBewpLybQJmpf+d7WptbP5Jz4N030Q5fYsQoTvKeLvJCn5gi59v5cllQRFHo9WK5epnR&#10;xb/iEDG9B2/ZYFQ80vSyqPL4ARM1Qqm3KcNbzl9rY/IEjbvnoMTRA3kFpuqBx9jvYKV+10/kdr4+&#10;EbeO1qDi+O0gI3B2CFHvW2ojcxVDCc0gNzHtyzDku3ey7/4jm7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UUsi51QAAAAgBAAAPAAAAAAAAAAEAIAAAACIAAABkcnMvZG93bnJldi54bWxQSwECFAAU&#10;AAAACACHTuJAmwFAO7sBAABrAwAADgAAAAAAAAABACAAAAAkAQAAZHJzL2Uyb0RvYy54bWxQSwUG&#10;AAAAAAYABgBZAQAAUQUAAAAA&#10;">
                <v:fill on="f" focussize="0,0"/>
                <v:stroke on="f"/>
                <v:imagedata o:title=""/>
                <o:lock v:ext="edit" aspectratio="f"/>
                <v:textbox>
                  <w:txbxContent>
                    <w:p w14:paraId="5EF9C68F">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用于工程材料、工程设备和施工设备的</w:t>
                      </w:r>
                    </w:p>
                  </w:txbxContent>
                </v:textbox>
              </v:shape>
            </w:pict>
          </mc:Fallback>
        </mc:AlternateContent>
      </w:r>
      <w:r>
        <w:rPr>
          <w:rFonts w:hint="default" w:ascii="Times New Roman" w:hAnsi="Times New Roman" w:cs="Times New Roman"/>
          <w:color w:val="auto"/>
          <w:sz w:val="22"/>
          <w:szCs w:val="22"/>
          <w:highlight w:val="none"/>
        </w:rPr>
        <w:t>合同工程所需的材料、工程设备（包括备品备件、安装专用工器具与随机资料）和承包人的施工设备一经运至施工现场，即成为实施合同工程的财产。没有经监理工程师同意并由其报发包人批准，承包人不得使用合同工程的财产，也不得将实施合同工程的财产运出施工现场，但用于运送材料和工程设备、施工设备和雇员的运输工具除外。</w:t>
      </w:r>
    </w:p>
    <w:p w14:paraId="29CAE9B0">
      <w:pPr>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08416" behindDoc="0" locked="0" layoutInCell="1" allowOverlap="1">
                <wp:simplePos x="0" y="0"/>
                <wp:positionH relativeFrom="column">
                  <wp:posOffset>-114300</wp:posOffset>
                </wp:positionH>
                <wp:positionV relativeFrom="paragraph">
                  <wp:posOffset>282575</wp:posOffset>
                </wp:positionV>
                <wp:extent cx="914400" cy="460375"/>
                <wp:effectExtent l="0" t="0" r="0" b="0"/>
                <wp:wrapNone/>
                <wp:docPr id="56" name="文本框 56"/>
                <wp:cNvGraphicFramePr/>
                <a:graphic xmlns:a="http://schemas.openxmlformats.org/drawingml/2006/main">
                  <a:graphicData uri="http://schemas.microsoft.com/office/word/2010/wordprocessingShape">
                    <wps:wsp>
                      <wps:cNvSpPr txBox="1"/>
                      <wps:spPr>
                        <a:xfrm>
                          <a:off x="0" y="0"/>
                          <a:ext cx="914400" cy="460375"/>
                        </a:xfrm>
                        <a:prstGeom prst="rect">
                          <a:avLst/>
                        </a:prstGeom>
                        <a:noFill/>
                        <a:ln>
                          <a:noFill/>
                        </a:ln>
                        <a:effectLst/>
                      </wps:spPr>
                      <wps:txbx>
                        <w:txbxContent>
                          <w:p w14:paraId="3064C03B">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发包人财产及其使用</w:t>
                            </w:r>
                          </w:p>
                        </w:txbxContent>
                      </wps:txbx>
                      <wps:bodyPr wrap="square" upright="1"/>
                    </wps:wsp>
                  </a:graphicData>
                </a:graphic>
              </wp:anchor>
            </w:drawing>
          </mc:Choice>
          <mc:Fallback>
            <w:pict>
              <v:shape id="_x0000_s1026" o:spid="_x0000_s1026" o:spt="202" type="#_x0000_t202" style="position:absolute;left:0pt;margin-left:-9pt;margin-top:22.25pt;height:36.25pt;width:72pt;z-index:251708416;mso-width-relative:page;mso-height-relative:page;" filled="f" stroked="f" coordsize="21600,21600" o:gfxdata="UEsDBAoAAAAAAIdO4kAAAAAAAAAAAAAAAAAEAAAAZHJzL1BLAwQUAAAACACHTuJAuho1LdcAAAAK&#10;AQAADwAAAGRycy9kb3ducmV2LnhtbE2PzU7DMBCE70i8g7VI3Fo7VfoX4vTQiiuItiD15sbbJCJe&#10;R7HbhLdne4Lb7s5o9pt8M7pW3LAPjScNyVSBQCq9bajScDy8TlYgQjRkTesJNfxggE3x+JCbzPqB&#10;PvC2j5XgEAqZ0VDH2GVShrJGZ8LUd0isXXzvTOS1r6TtzcDhrpUzpRbSmYb4Q2063NZYfu+vTsPn&#10;2+X0lar3aufm3eBHJcmtpdbPT4l6ARFxjH9muOMzOhTMdPZXskG0GibJirtEDWk6B3E3zBZ8OPOQ&#10;LBXIIpf/KxS/UEsDBBQAAAAIAIdO4kCOHY01vAEAAGsDAAAOAAAAZHJzL2Uyb0RvYy54bWytU82O&#10;0zAQviPxDpbv1OnSLRA1XQlVywUB0sIDuM6ksRT/4HGb9AXgDThx4c5z9Tl27GS7P1z2wMUZz8/n&#10;+b6ZrK4G07EDBNTOVnw+KzgDq1yt7a7i375ev3rLGUZpa9k5CxU/AvKr9csXq96XcOFa19UQGIFY&#10;LHtf8TZGXwqBqgUjceY8WAo2LhgZ6Rp2og6yJ3TTiYuiWIrehdoHpwCRvJsxyCfE8BxA1zRawcap&#10;vQEbR9QAnYxECVvtka9zt00DKn5uGoTIuooT05hPeoTsbTrFeiXLXZC+1WpqQT6nhSecjNSWHj1D&#10;bWSUbB/0P1BGq+DQNXGmnBEjkawIsZgXT7S5aaWHzIWkRn8WHf8frPp0+BKYrit+ueTMSkMTP/36&#10;efr99/TnByMfCdR7LCnvxlNmHN67gdbmzo/kTLyHJpj0JUaM4iTv8SwvDJEpcr6bLxYFRRSFFsvi&#10;9ZvLhCLui33A+AGcYcmoeKDpZVHl4SPGMfUuJb1l3bXuujzBzj5yEObogbwCU3XiMfabrDhsh4nc&#10;1tVH4tbTGlQcv+9lAM72PuhdS21kriKV0Axyv9O+pCE/vJP98B9Z3wJ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6GjUt1wAAAAoBAAAPAAAAAAAAAAEAIAAAACIAAABkcnMvZG93bnJldi54bWxQSwEC&#10;FAAUAAAACACHTuJAjh2NNbwBAABrAwAADgAAAAAAAAABACAAAAAmAQAAZHJzL2Uyb0RvYy54bWxQ&#10;SwUGAAAAAAYABgBZAQAAVAUAAAAA&#10;">
                <v:fill on="f" focussize="0,0"/>
                <v:stroke on="f"/>
                <v:imagedata o:title=""/>
                <o:lock v:ext="edit" aspectratio="f"/>
                <v:textbox>
                  <w:txbxContent>
                    <w:p w14:paraId="3064C03B">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发包人财产及其使用</w:t>
                      </w:r>
                    </w:p>
                  </w:txbxContent>
                </v:textbox>
              </v:shape>
            </w:pict>
          </mc:Fallback>
        </mc:AlternateContent>
      </w:r>
      <w:r>
        <w:rPr>
          <w:rFonts w:hint="default" w:ascii="Times New Roman" w:hAnsi="Times New Roman" w:cs="Times New Roman"/>
          <w:b/>
          <w:bCs/>
          <w:color w:val="auto"/>
          <w:sz w:val="22"/>
          <w:szCs w:val="22"/>
          <w:highlight w:val="none"/>
        </w:rPr>
        <w:t xml:space="preserve">18.2  </w:t>
      </w:r>
      <w:r>
        <w:rPr>
          <w:rFonts w:hint="default" w:ascii="Times New Roman" w:hAnsi="Times New Roman" w:cs="Times New Roman"/>
          <w:b/>
          <w:bCs/>
          <w:color w:val="auto"/>
          <w:sz w:val="22"/>
          <w:szCs w:val="22"/>
          <w:highlight w:val="none"/>
          <w:u w:val="dotted"/>
        </w:rPr>
        <w:t xml:space="preserve">                                                                                                       </w:t>
      </w:r>
    </w:p>
    <w:p w14:paraId="08A91C7E">
      <w:pPr>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如果发包人依据第87.3款规定的情形解除合同，则合同工程和临时工程，应认为是发包人的财产。</w:t>
      </w:r>
    </w:p>
    <w:p w14:paraId="7233E661">
      <w:pPr>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09440" behindDoc="0" locked="0" layoutInCell="1" allowOverlap="1">
                <wp:simplePos x="0" y="0"/>
                <wp:positionH relativeFrom="column">
                  <wp:posOffset>-114300</wp:posOffset>
                </wp:positionH>
                <wp:positionV relativeFrom="paragraph">
                  <wp:posOffset>282575</wp:posOffset>
                </wp:positionV>
                <wp:extent cx="914400" cy="544195"/>
                <wp:effectExtent l="0" t="0" r="0" b="0"/>
                <wp:wrapNone/>
                <wp:docPr id="57" name="文本框 57"/>
                <wp:cNvGraphicFramePr/>
                <a:graphic xmlns:a="http://schemas.openxmlformats.org/drawingml/2006/main">
                  <a:graphicData uri="http://schemas.microsoft.com/office/word/2010/wordprocessingShape">
                    <wps:wsp>
                      <wps:cNvSpPr txBox="1"/>
                      <wps:spPr>
                        <a:xfrm>
                          <a:off x="0" y="0"/>
                          <a:ext cx="914400" cy="544195"/>
                        </a:xfrm>
                        <a:prstGeom prst="rect">
                          <a:avLst/>
                        </a:prstGeom>
                        <a:noFill/>
                        <a:ln>
                          <a:noFill/>
                        </a:ln>
                        <a:effectLst/>
                      </wps:spPr>
                      <wps:txbx>
                        <w:txbxContent>
                          <w:p w14:paraId="69D7521A">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承包人财产及其使用</w:t>
                            </w:r>
                          </w:p>
                        </w:txbxContent>
                      </wps:txbx>
                      <wps:bodyPr wrap="square" upright="1"/>
                    </wps:wsp>
                  </a:graphicData>
                </a:graphic>
              </wp:anchor>
            </w:drawing>
          </mc:Choice>
          <mc:Fallback>
            <w:pict>
              <v:shape id="_x0000_s1026" o:spid="_x0000_s1026" o:spt="202" type="#_x0000_t202" style="position:absolute;left:0pt;margin-left:-9pt;margin-top:22.25pt;height:42.85pt;width:72pt;z-index:251709440;mso-width-relative:page;mso-height-relative:page;" filled="f" stroked="f" coordsize="21600,21600" o:gfxdata="UEsDBAoAAAAAAIdO4kAAAAAAAAAAAAAAAAAEAAAAZHJzL1BLAwQUAAAACACHTuJApbsBXNgAAAAK&#10;AQAADwAAAGRycy9kb3ducmV2LnhtbE2PzU7DMBCE70h9B2uRuLV2QlqVEKeHIq4g+oPEzY23SUS8&#10;jmK3CW/P9gS33Z3R7DfFZnKduOIQWk8akoUCgVR521Kt4bB/na9BhGjIms4TavjBAJtydleY3PqR&#10;PvC6i7XgEAq50dDE2OdShqpBZ8LC90isnf3gTOR1qKUdzMjhrpOpUivpTEv8oTE9bhusvncXp+H4&#10;dv76zNR7/eKW/egnJck9Sa0f7hP1DCLiFP/McMNndCiZ6eQvZIPoNMyTNXeJGrJsCeJmSFd8OPHw&#10;qFKQZSH/Vyh/AVBLAwQUAAAACACHTuJA1+C91rwBAABrAwAADgAAAGRycy9lMm9Eb2MueG1srVNL&#10;btswEN0X6B0I7mvJgd02guUAhZFuirZA0gPQ1MgiwF85tCVfoL1BV91kn3P5HBlSipummyy6oYbz&#10;eZz3ZrS6GoxmBwionK35fFZyBla6Rtldzb/dXr95zxlGYRuhnYWaHwH51fr1q1XvK7hwndMNBEYg&#10;Fqve17yL0VdFgbIDI3DmPFgKti4YEekadkUTRE/oRhcXZfm26F1ofHASEMm7GYN8QgwvAXRtqyRs&#10;nNwbsHFEDaBFJErYKY98nbttW5DxS9siRKZrTkxjPukRsrfpLNYrUe2C8J2SUwviJS0842SEsvTo&#10;GWojomD7oP6BMkoGh66NM+lMMRLJihCLeflMm5tOeMhcSGr0Z9Hx/8HKz4evgamm5st3nFlhaOKn&#10;Xz9Pv+9Pdz8Y+Uig3mNFeTeeMuPwwQ20No9+JGfiPbTBpC8xYhQneY9neWGITJLzcr5YlBSRFFou&#10;FvPLZUIp/hT7gPEjOMOSUfNA08uiisMnjGPqY0p6y7prpXWeoLZ/OQhz9EBegak68Rj7TVYctsNE&#10;buuaI3HraQ1qjt/3IgBnex/UrqM2MtcildAMcr/TvqQhP72T/fQfWT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pbsBXNgAAAAKAQAADwAAAAAAAAABACAAAAAiAAAAZHJzL2Rvd25yZXYueG1sUEsB&#10;AhQAFAAAAAgAh07iQNfgvda8AQAAawMAAA4AAAAAAAAAAQAgAAAAJwEAAGRycy9lMm9Eb2MueG1s&#10;UEsFBgAAAAAGAAYAWQEAAFUFAAAAAA==&#10;">
                <v:fill on="f" focussize="0,0"/>
                <v:stroke on="f"/>
                <v:imagedata o:title=""/>
                <o:lock v:ext="edit" aspectratio="f"/>
                <v:textbox>
                  <w:txbxContent>
                    <w:p w14:paraId="69D7521A">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承包人财产及其使用</w:t>
                      </w:r>
                    </w:p>
                  </w:txbxContent>
                </v:textbox>
              </v:shape>
            </w:pict>
          </mc:Fallback>
        </mc:AlternateContent>
      </w:r>
      <w:r>
        <w:rPr>
          <w:rFonts w:hint="default" w:ascii="Times New Roman" w:hAnsi="Times New Roman" w:cs="Times New Roman"/>
          <w:b/>
          <w:bCs/>
          <w:color w:val="auto"/>
          <w:sz w:val="22"/>
          <w:szCs w:val="22"/>
          <w:highlight w:val="none"/>
        </w:rPr>
        <w:t xml:space="preserve">18.3  </w:t>
      </w:r>
      <w:r>
        <w:rPr>
          <w:rFonts w:hint="default" w:ascii="Times New Roman" w:hAnsi="Times New Roman" w:cs="Times New Roman"/>
          <w:b/>
          <w:bCs/>
          <w:color w:val="auto"/>
          <w:sz w:val="22"/>
          <w:szCs w:val="22"/>
          <w:highlight w:val="none"/>
          <w:u w:val="dotted"/>
        </w:rPr>
        <w:t xml:space="preserve">                                                                                                       </w:t>
      </w:r>
    </w:p>
    <w:p w14:paraId="5A1F147B">
      <w:pPr>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如果承包人依据第87.4款规定的情形解除合同，则承包人有权要求发包人支付已完工程款，并赔偿因此造成的损失。发包人应为承包人撤出现场提供便利和协助。如发包人未付完相关款项，承包人有权留置施工现场，直到发包人付完款项为止。</w:t>
      </w:r>
    </w:p>
    <w:p w14:paraId="3BC2004F">
      <w:pPr>
        <w:spacing w:line="420" w:lineRule="exact"/>
        <w:ind w:left="1623" w:leftChars="0" w:hanging="1623" w:hangingChars="735"/>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u w:val="single"/>
        </w:rPr>
        <w:t xml:space="preserve">                                                                                                            </w:t>
      </w:r>
    </w:p>
    <w:p w14:paraId="44121E51">
      <w:pPr>
        <w:spacing w:line="420" w:lineRule="exact"/>
        <w:ind w:firstLine="4305" w:firstLineChars="1793"/>
        <w:outlineLvl w:val="1"/>
        <w:rPr>
          <w:rFonts w:hint="default" w:ascii="Times New Roman" w:hAnsi="Times New Roman" w:eastAsia="方正黑体_GBK" w:cs="Times New Roman"/>
          <w:b/>
          <w:bCs/>
          <w:color w:val="auto"/>
          <w:sz w:val="24"/>
          <w:szCs w:val="24"/>
          <w:highlight w:val="none"/>
        </w:rPr>
      </w:pPr>
      <w:bookmarkStart w:id="122" w:name="_Toc20383"/>
      <w:bookmarkStart w:id="123" w:name="_Toc1528325466"/>
      <w:bookmarkStart w:id="124" w:name="_Toc469383998"/>
      <w:r>
        <w:rPr>
          <w:rFonts w:hint="default" w:ascii="Times New Roman" w:hAnsi="Times New Roman" w:eastAsia="方正小标宋_GBK" w:cs="Times New Roman"/>
          <w:b/>
          <w:bCs/>
          <w:color w:val="auto"/>
          <w:sz w:val="24"/>
          <w:szCs w:val="24"/>
          <w:highlight w:val="none"/>
        </w:rPr>
        <w:t>二、合同主体</w:t>
      </w:r>
      <w:bookmarkEnd w:id="122"/>
      <w:bookmarkEnd w:id="123"/>
      <w:bookmarkEnd w:id="124"/>
    </w:p>
    <w:p w14:paraId="2611472E">
      <w:pPr>
        <w:pStyle w:val="5"/>
        <w:numPr>
          <w:ilvl w:val="0"/>
          <w:numId w:val="0"/>
        </w:numPr>
        <w:tabs>
          <w:tab w:val="left" w:pos="360"/>
          <w:tab w:val="left" w:pos="420"/>
          <w:tab w:val="left" w:pos="1287"/>
        </w:tabs>
        <w:spacing w:line="420" w:lineRule="exact"/>
        <w:rPr>
          <w:rFonts w:hint="default" w:ascii="Times New Roman" w:hAnsi="Times New Roman" w:cs="Times New Roman"/>
          <w:color w:val="auto"/>
          <w:sz w:val="22"/>
          <w:szCs w:val="22"/>
          <w:highlight w:val="none"/>
        </w:rPr>
      </w:pPr>
      <w:bookmarkStart w:id="125" w:name="_Toc469383999"/>
      <w:bookmarkStart w:id="126" w:name="_Toc3013"/>
      <w:r>
        <w:rPr>
          <w:rFonts w:hint="default" w:ascii="Times New Roman" w:hAnsi="Times New Roman" w:cs="Times New Roman"/>
          <w:color w:val="auto"/>
          <w:sz w:val="22"/>
          <w:szCs w:val="22"/>
          <w:highlight w:val="none"/>
        </w:rPr>
        <w:t>19  发包人</w:t>
      </w:r>
      <w:bookmarkEnd w:id="125"/>
      <w:bookmarkEnd w:id="126"/>
    </w:p>
    <w:p w14:paraId="73623C47">
      <w:pPr>
        <w:tabs>
          <w:tab w:val="left" w:pos="1620"/>
        </w:tabs>
        <w:spacing w:line="420" w:lineRule="exact"/>
        <w:ind w:left="-2" w:leftChars="-1" w:firstLine="1"/>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19.1                                                        </w:t>
      </w:r>
    </w:p>
    <w:p w14:paraId="5B8301BB">
      <w:pPr>
        <w:tabs>
          <w:tab w:val="left" w:pos="1620"/>
        </w:tabs>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10464" behindDoc="0" locked="0" layoutInCell="1" allowOverlap="1">
                <wp:simplePos x="0" y="0"/>
                <wp:positionH relativeFrom="column">
                  <wp:posOffset>-114300</wp:posOffset>
                </wp:positionH>
                <wp:positionV relativeFrom="paragraph">
                  <wp:posOffset>4445</wp:posOffset>
                </wp:positionV>
                <wp:extent cx="914400" cy="429895"/>
                <wp:effectExtent l="0" t="0" r="0" b="0"/>
                <wp:wrapNone/>
                <wp:docPr id="58" name="文本框 58"/>
                <wp:cNvGraphicFramePr/>
                <a:graphic xmlns:a="http://schemas.openxmlformats.org/drawingml/2006/main">
                  <a:graphicData uri="http://schemas.microsoft.com/office/word/2010/wordprocessingShape">
                    <wps:wsp>
                      <wps:cNvSpPr txBox="1"/>
                      <wps:spPr>
                        <a:xfrm>
                          <a:off x="0" y="0"/>
                          <a:ext cx="914400" cy="429895"/>
                        </a:xfrm>
                        <a:prstGeom prst="rect">
                          <a:avLst/>
                        </a:prstGeom>
                        <a:noFill/>
                        <a:ln>
                          <a:noFill/>
                        </a:ln>
                        <a:effectLst/>
                      </wps:spPr>
                      <wps:txbx>
                        <w:txbxContent>
                          <w:p w14:paraId="22CF84A0">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遵守法律</w:t>
                            </w:r>
                          </w:p>
                        </w:txbxContent>
                      </wps:txbx>
                      <wps:bodyPr wrap="square" upright="1"/>
                    </wps:wsp>
                  </a:graphicData>
                </a:graphic>
              </wp:anchor>
            </w:drawing>
          </mc:Choice>
          <mc:Fallback>
            <w:pict>
              <v:shape id="_x0000_s1026" o:spid="_x0000_s1026" o:spt="202" type="#_x0000_t202" style="position:absolute;left:0pt;margin-left:-9pt;margin-top:0.35pt;height:33.85pt;width:72pt;z-index:251710464;mso-width-relative:page;mso-height-relative:page;" filled="f" stroked="f" coordsize="21600,21600" o:gfxdata="UEsDBAoAAAAAAIdO4kAAAAAAAAAAAAAAAAAEAAAAZHJzL1BLAwQUAAAACACHTuJAhRaKZNUAAAAH&#10;AQAADwAAAGRycy9kb3ducmV2LnhtbE2PzW7CMBCE75V4B2srcQM7iKYhZMOBqleq0h+pNxMvSdR4&#10;HcWGpG9fc2qPoxnNfFPsJtuJKw2+dYyQLBUI4sqZlmuE97fnRQbCB81Gd44J4Yc87MrZXaFz40Z+&#10;pesx1CKWsM81QhNCn0vpq4as9kvXE0fv7AarQ5RDLc2gx1huO7lSKpVWtxwXGt3TvqHq+3ixCB+H&#10;89fnWr3UT/ahH92kJNuNRJzfJ2oLItAU/sJww4/oUEamk7uw8aJDWCRZ/BIQHkHc7FUa5QkhzdYg&#10;y0L+5y9/AVBLAwQUAAAACACHTuJABuaR+LsBAABrAwAADgAAAGRycy9lMm9Eb2MueG1srVNLbtsw&#10;EN0X6B0I7mvJhlPEguUAgZFuirZA2gPQ1NAiwF84tCVfoL1BV91033P5HB1Kipummyy6oYbzeZz3&#10;ZrS+6a1hR4iovav5fFZyBk76Rrt9zb98vntzzRkm4RphvIOanwD5zeb1q3UXKlj41psGIiMQh1UX&#10;at6mFKqiQNmCFTjzARwFlY9WJLrGfdFE0RG6NcWiLN8WnY9NiF4CInm3Y5BPiPElgF4pLWHr5cGC&#10;SyNqBCMSUcJWB+SboVulQKaPSiEkZmpOTNNw0iNk7/JZbNai2kcRWi2nFsRLWnjGyQrt6NEL1FYk&#10;wQ5R/wNltYwevUoz6W0xEhkUIRbz8pk2960IMHAhqTFcRMf/Bys/HD9FppuaX9HcnbA08fP3b+cf&#10;v84/vzLykUBdwIry7gNlpv7W97Q2j34kZ+bdq2jzlxgxipO8p4u80CcmybmaL5clRSSFlovV9eoq&#10;oxR/ikPE9A68ZdmoeaTpDaKK43tMY+pjSn7L+TttzDBB4/5yEObogWEFpurMY+w3W6nf9RO5nW9O&#10;xK2jNag5PhxEBM4OIep9S20MXItcQjMY+p32JQ/56Z3sp//I5j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CFFopk1QAAAAcBAAAPAAAAAAAAAAEAIAAAACIAAABkcnMvZG93bnJldi54bWxQSwECFAAU&#10;AAAACACHTuJABuaR+LsBAABrAwAADgAAAAAAAAABACAAAAAkAQAAZHJzL2Uyb0RvYy54bWxQSwUG&#10;AAAAAAYABgBZAQAAUQUAAAAA&#10;">
                <v:fill on="f" focussize="0,0"/>
                <v:stroke on="f"/>
                <v:imagedata o:title=""/>
                <o:lock v:ext="edit" aspectratio="f"/>
                <v:textbox>
                  <w:txbxContent>
                    <w:p w14:paraId="22CF84A0">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遵守法律</w:t>
                      </w:r>
                    </w:p>
                  </w:txbxContent>
                </v:textbox>
              </v:shape>
            </w:pict>
          </mc:Fallback>
        </mc:AlternateContent>
      </w:r>
      <w:r>
        <w:rPr>
          <w:rFonts w:hint="default" w:ascii="Times New Roman" w:hAnsi="Times New Roman" w:cs="Times New Roman"/>
          <w:color w:val="auto"/>
          <w:sz w:val="22"/>
          <w:szCs w:val="22"/>
          <w:highlight w:val="none"/>
        </w:rPr>
        <w:t>发包人在履行合同期间应遵守法律，并保证承包人免于承担因发包人违反法律而引起的任何责任；遵守国家、省、市有关社会信用体系建设工作的法律、行政法规、规章、规范性文件，严格执行信用承诺制度，违背信用承诺约定时，承担违约责任，并依法承担相应法律责任。</w:t>
      </w:r>
    </w:p>
    <w:p w14:paraId="0F4C3413">
      <w:pPr>
        <w:tabs>
          <w:tab w:val="left" w:pos="1620"/>
        </w:tabs>
        <w:spacing w:line="420" w:lineRule="exact"/>
        <w:ind w:left="-2" w:leftChars="-1" w:firstLine="1"/>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19.2 </w:t>
      </w:r>
      <w:r>
        <w:rPr>
          <w:rFonts w:hint="default" w:ascii="Times New Roman" w:hAnsi="Times New Roman" w:cs="Times New Roman"/>
          <w:b/>
          <w:bCs/>
          <w:color w:val="auto"/>
          <w:sz w:val="22"/>
          <w:szCs w:val="22"/>
          <w:highlight w:val="none"/>
          <w:u w:val="dotted"/>
        </w:rPr>
        <w:t xml:space="preserve">                                                                             </w:t>
      </w:r>
      <w:r>
        <w:rPr>
          <w:rFonts w:hint="default" w:ascii="Times New Roman" w:hAnsi="Times New Roman" w:cs="Times New Roman"/>
          <w:b/>
          <w:bCs/>
          <w:color w:val="auto"/>
          <w:sz w:val="22"/>
          <w:szCs w:val="22"/>
          <w:highlight w:val="none"/>
        </w:rPr>
        <w:t xml:space="preserve">                                                       </w:t>
      </w:r>
    </w:p>
    <w:p w14:paraId="353FE8E6">
      <w:pPr>
        <w:spacing w:line="420" w:lineRule="exact"/>
        <w:ind w:left="162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11488" behindDoc="0" locked="0" layoutInCell="1" allowOverlap="1">
                <wp:simplePos x="0" y="0"/>
                <wp:positionH relativeFrom="column">
                  <wp:posOffset>-114300</wp:posOffset>
                </wp:positionH>
                <wp:positionV relativeFrom="paragraph">
                  <wp:posOffset>4445</wp:posOffset>
                </wp:positionV>
                <wp:extent cx="914400" cy="429895"/>
                <wp:effectExtent l="0" t="0" r="0" b="0"/>
                <wp:wrapNone/>
                <wp:docPr id="59" name="文本框 59"/>
                <wp:cNvGraphicFramePr/>
                <a:graphic xmlns:a="http://schemas.openxmlformats.org/drawingml/2006/main">
                  <a:graphicData uri="http://schemas.microsoft.com/office/word/2010/wordprocessingShape">
                    <wps:wsp>
                      <wps:cNvSpPr txBox="1"/>
                      <wps:spPr>
                        <a:xfrm>
                          <a:off x="0" y="0"/>
                          <a:ext cx="914400" cy="429895"/>
                        </a:xfrm>
                        <a:prstGeom prst="rect">
                          <a:avLst/>
                        </a:prstGeom>
                        <a:noFill/>
                        <a:ln>
                          <a:noFill/>
                        </a:ln>
                        <a:effectLst/>
                      </wps:spPr>
                      <wps:txbx>
                        <w:txbxContent>
                          <w:p w14:paraId="42172B12">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发包人工作</w:t>
                            </w:r>
                          </w:p>
                        </w:txbxContent>
                      </wps:txbx>
                      <wps:bodyPr wrap="square" upright="1"/>
                    </wps:wsp>
                  </a:graphicData>
                </a:graphic>
              </wp:anchor>
            </w:drawing>
          </mc:Choice>
          <mc:Fallback>
            <w:pict>
              <v:shape id="_x0000_s1026" o:spid="_x0000_s1026" o:spt="202" type="#_x0000_t202" style="position:absolute;left:0pt;margin-left:-9pt;margin-top:0.35pt;height:33.85pt;width:72pt;z-index:251711488;mso-width-relative:page;mso-height-relative:page;" filled="f" stroked="f" coordsize="21600,21600" o:gfxdata="UEsDBAoAAAAAAIdO4kAAAAAAAAAAAAAAAAAEAAAAZHJzL1BLAwQUAAAACACHTuJAhRaKZNUAAAAH&#10;AQAADwAAAGRycy9kb3ducmV2LnhtbE2PzW7CMBCE75V4B2srcQM7iKYhZMOBqleq0h+pNxMvSdR4&#10;HcWGpG9fc2qPoxnNfFPsJtuJKw2+dYyQLBUI4sqZlmuE97fnRQbCB81Gd44J4Yc87MrZXaFz40Z+&#10;pesx1CKWsM81QhNCn0vpq4as9kvXE0fv7AarQ5RDLc2gx1huO7lSKpVWtxwXGt3TvqHq+3ixCB+H&#10;89fnWr3UT/ahH92kJNuNRJzfJ2oLItAU/sJww4/oUEamk7uw8aJDWCRZ/BIQHkHc7FUa5QkhzdYg&#10;y0L+5y9/AVBLAwQUAAAACACHTuJAEW+uhrsBAABrAwAADgAAAGRycy9lMm9Eb2MueG1srVNLbtsw&#10;EN0X6B0I7mvJhlPEguUAgZFuirZA2gPQ1NAiwF84tCVfoL1BV91033P5HB1Kipummyy6oYbzeZz3&#10;ZrS+6a1hR4iovav5fFZyBk76Rrt9zb98vntzzRkm4RphvIOanwD5zeb1q3UXKlj41psGIiMQh1UX&#10;at6mFKqiQNmCFTjzARwFlY9WJLrGfdFE0RG6NcWiLN8WnY9NiF4CInm3Y5BPiPElgF4pLWHr5cGC&#10;SyNqBCMSUcJWB+SboVulQKaPSiEkZmpOTNNw0iNk7/JZbNai2kcRWi2nFsRLWnjGyQrt6NEL1FYk&#10;wQ5R/wNltYwevUoz6W0xEhkUIRbz8pk2960IMHAhqTFcRMf/Bys/HD9FppuaX604c8LSxM/fv51/&#10;/Dr//MrIRwJ1ASvKuw+Umfpb39PaPPqRnJl3r6LNX2LEKE7yni7yQp+YJOdqvlyWFJEUWi5W16ur&#10;jFL8KQ4R0zvwlmWj5pGmN4gqju8xjamPKfkt5++0McMEjfvLQZijB4YVmKozj7HfbKV+10/kdr45&#10;EbeO1qDm+HAQETg7hKj3LbUxcC1yCc1g6Hfalzzkp3eyn/4jm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CFFopk1QAAAAcBAAAPAAAAAAAAAAEAIAAAACIAAABkcnMvZG93bnJldi54bWxQSwECFAAU&#10;AAAACACHTuJAEW+uhrsBAABrAwAADgAAAAAAAAABACAAAAAkAQAAZHJzL2Uyb0RvYy54bWxQSwUG&#10;AAAAAAYABgBZAQAAUQUAAAAA&#10;">
                <v:fill on="f" focussize="0,0"/>
                <v:stroke on="f"/>
                <v:imagedata o:title=""/>
                <o:lock v:ext="edit" aspectratio="f"/>
                <v:textbox>
                  <w:txbxContent>
                    <w:p w14:paraId="42172B12">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发包人工作</w:t>
                      </w:r>
                    </w:p>
                  </w:txbxContent>
                </v:textbox>
              </v:shape>
            </w:pict>
          </mc:Fallback>
        </mc:AlternateContent>
      </w:r>
      <w:r>
        <w:rPr>
          <w:rFonts w:hint="default" w:ascii="Times New Roman" w:hAnsi="Times New Roman" w:cs="Times New Roman"/>
          <w:color w:val="auto"/>
          <w:sz w:val="22"/>
          <w:szCs w:val="22"/>
          <w:highlight w:val="none"/>
        </w:rPr>
        <w:t>发包人应按照合同约定完成下列工作，包括但不限于：</w:t>
      </w:r>
    </w:p>
    <w:p w14:paraId="683612E9">
      <w:pPr>
        <w:numPr>
          <w:ilvl w:val="0"/>
          <w:numId w:val="7"/>
        </w:numPr>
        <w:tabs>
          <w:tab w:val="left" w:pos="1080"/>
          <w:tab w:val="left" w:pos="1470"/>
          <w:tab w:val="left" w:pos="1980"/>
        </w:tabs>
        <w:spacing w:line="420" w:lineRule="exact"/>
        <w:ind w:left="1612" w:leftChars="749" w:hanging="39" w:hangingChars="18"/>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办理土地征用、拆迁、平整施工场地等工作，使施工场地具备施工条件，并在开工后继续负责解决上述工作遗留的问题；</w:t>
      </w:r>
    </w:p>
    <w:p w14:paraId="415D44BC">
      <w:pPr>
        <w:numPr>
          <w:ilvl w:val="0"/>
          <w:numId w:val="7"/>
        </w:numPr>
        <w:tabs>
          <w:tab w:val="left" w:pos="1080"/>
          <w:tab w:val="left" w:pos="1470"/>
          <w:tab w:val="left" w:pos="1980"/>
        </w:tabs>
        <w:spacing w:line="420" w:lineRule="exact"/>
        <w:ind w:left="1630" w:leftChars="750" w:hanging="55" w:hangingChars="25"/>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将施工所需水、电、通讯线路从施工场地外部接驳至专用条款约定的地点，</w:t>
      </w:r>
    </w:p>
    <w:p w14:paraId="01147A91">
      <w:pPr>
        <w:tabs>
          <w:tab w:val="left" w:pos="1980"/>
        </w:tabs>
        <w:spacing w:line="420" w:lineRule="exact"/>
        <w:ind w:left="1575" w:leftChars="750" w:firstLine="39" w:firstLineChars="18"/>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保证施工期间的需要；</w:t>
      </w:r>
    </w:p>
    <w:p w14:paraId="2EDE8014">
      <w:pPr>
        <w:numPr>
          <w:ilvl w:val="0"/>
          <w:numId w:val="7"/>
        </w:numPr>
        <w:tabs>
          <w:tab w:val="left" w:pos="1080"/>
          <w:tab w:val="left" w:pos="1470"/>
          <w:tab w:val="left" w:pos="1980"/>
        </w:tabs>
        <w:spacing w:line="420" w:lineRule="exact"/>
        <w:ind w:left="1630" w:leftChars="750" w:hanging="55" w:hangingChars="25"/>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开通施工场地与城乡公共道路间的通道，满足第13条交通运输的需要；</w:t>
      </w:r>
    </w:p>
    <w:p w14:paraId="7DF6D791">
      <w:pPr>
        <w:numPr>
          <w:ilvl w:val="0"/>
          <w:numId w:val="7"/>
        </w:numPr>
        <w:tabs>
          <w:tab w:val="left" w:pos="1080"/>
          <w:tab w:val="left" w:pos="1470"/>
          <w:tab w:val="left" w:pos="1980"/>
        </w:tabs>
        <w:spacing w:line="420" w:lineRule="exact"/>
        <w:ind w:left="1612" w:leftChars="749" w:hanging="39" w:hangingChars="18"/>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向承包人提供施工场地的工程地质勘察资料，以及施工现场及毗邻区域内供水、排水、供电、供气、供热、通信、广播电视等地下管线资料，气象和水文观测资料，邻近建筑物和构筑物、地下工程的有关资料，并保证资料的真实、准确、完整；</w:t>
      </w:r>
    </w:p>
    <w:p w14:paraId="31E4EEC8">
      <w:pPr>
        <w:numPr>
          <w:ilvl w:val="0"/>
          <w:numId w:val="7"/>
        </w:numPr>
        <w:tabs>
          <w:tab w:val="left" w:pos="1080"/>
          <w:tab w:val="left" w:pos="1470"/>
          <w:tab w:val="left" w:pos="1980"/>
        </w:tabs>
        <w:spacing w:line="420" w:lineRule="exact"/>
        <w:ind w:left="1612" w:leftChars="748" w:hanging="41" w:hangingChars="19"/>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办理施工许可及其他所需证件、批准文件和办理临时用地、停水、停电、中断道路交通、爆破作业等的申请批准手续（承包人自身施工资质的证件除外）；</w:t>
      </w:r>
    </w:p>
    <w:p w14:paraId="42EE4EC5">
      <w:pPr>
        <w:numPr>
          <w:ilvl w:val="0"/>
          <w:numId w:val="7"/>
        </w:numPr>
        <w:tabs>
          <w:tab w:val="left" w:pos="1080"/>
          <w:tab w:val="left" w:pos="1470"/>
          <w:tab w:val="left" w:pos="1980"/>
        </w:tabs>
        <w:spacing w:line="420" w:lineRule="exact"/>
        <w:ind w:left="1630" w:leftChars="750" w:hanging="55" w:hangingChars="25"/>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确定水准点与坐标控制点，组织现场交验并以书面形式移交给承包人；</w:t>
      </w:r>
    </w:p>
    <w:p w14:paraId="1151B373">
      <w:pPr>
        <w:tabs>
          <w:tab w:val="left" w:pos="1080"/>
          <w:tab w:val="left" w:pos="1980"/>
        </w:tabs>
        <w:spacing w:line="420" w:lineRule="exact"/>
        <w:ind w:left="1575"/>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(7) 按照专用条款约定的时间向承包人提供一式两份约定的标准与规范；</w:t>
      </w:r>
    </w:p>
    <w:p w14:paraId="5A449515">
      <w:pPr>
        <w:tabs>
          <w:tab w:val="left" w:pos="1080"/>
          <w:tab w:val="left" w:pos="1980"/>
        </w:tabs>
        <w:spacing w:line="420" w:lineRule="exact"/>
        <w:ind w:left="1575"/>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(8) 组织承包人和设计人进行图纸会审和设计交底；</w:t>
      </w:r>
    </w:p>
    <w:p w14:paraId="6193CC81">
      <w:pPr>
        <w:tabs>
          <w:tab w:val="left" w:pos="1980"/>
        </w:tabs>
        <w:spacing w:line="420" w:lineRule="exact"/>
        <w:ind w:left="1575"/>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(9)协调处理施工场地周围地形关系问题和做好邻近建筑物、构筑物（包括文物</w:t>
      </w:r>
    </w:p>
    <w:p w14:paraId="26D82B44">
      <w:pPr>
        <w:tabs>
          <w:tab w:val="left" w:pos="1980"/>
        </w:tabs>
        <w:spacing w:line="420" w:lineRule="exact"/>
        <w:ind w:left="1575" w:leftChars="750" w:firstLine="39" w:firstLineChars="18"/>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保护建筑）、古树名木等的保护工作；</w:t>
      </w:r>
    </w:p>
    <w:p w14:paraId="40D81EE1">
      <w:pPr>
        <w:tabs>
          <w:tab w:val="left" w:pos="1980"/>
        </w:tabs>
        <w:spacing w:line="420" w:lineRule="exact"/>
        <w:ind w:left="480" w:firstLine="1045" w:firstLineChars="475"/>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(10)及时接收已完工程，并按照合同约定及时支付工程款及其他各种款项。</w:t>
      </w:r>
    </w:p>
    <w:p w14:paraId="7563D8B5">
      <w:pPr>
        <w:pStyle w:val="17"/>
        <w:tabs>
          <w:tab w:val="left" w:pos="1980"/>
        </w:tabs>
        <w:spacing w:line="420" w:lineRule="exact"/>
        <w:ind w:left="1619" w:leftChars="771" w:firstLine="1" w:firstLineChars="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发包人可将其中部分工作委托给承包人办理，具体由合同双方当事人在专用条款中约定。除合同价款已包括外，由发包人承担所需费用，并向承包人支付合理利润。</w:t>
      </w:r>
    </w:p>
    <w:p w14:paraId="459F402A">
      <w:pPr>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 xml:space="preserve">19.3 </w:t>
      </w:r>
      <w:r>
        <w:rPr>
          <w:rFonts w:hint="default" w:ascii="Times New Roman" w:hAnsi="Times New Roman" w:cs="Times New Roman"/>
          <w:color w:val="auto"/>
          <w:sz w:val="22"/>
          <w:szCs w:val="22"/>
          <w:highlight w:val="none"/>
        </w:rPr>
        <w:t xml:space="preserve"> </w:t>
      </w:r>
      <w:r>
        <w:rPr>
          <w:rFonts w:hint="default" w:ascii="Times New Roman" w:hAnsi="Times New Roman" w:cs="Times New Roman"/>
          <w:color w:val="auto"/>
          <w:sz w:val="22"/>
          <w:szCs w:val="22"/>
          <w:highlight w:val="none"/>
          <w:u w:val="dotted"/>
        </w:rPr>
        <w:t xml:space="preserve">                                                                                                       </w:t>
      </w:r>
    </w:p>
    <w:p w14:paraId="454E80AD">
      <w:pPr>
        <w:spacing w:line="420" w:lineRule="exact"/>
        <w:ind w:left="1619" w:leftChars="771" w:firstLine="2"/>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12512" behindDoc="0" locked="0" layoutInCell="1" allowOverlap="1">
                <wp:simplePos x="0" y="0"/>
                <wp:positionH relativeFrom="column">
                  <wp:posOffset>-114300</wp:posOffset>
                </wp:positionH>
                <wp:positionV relativeFrom="paragraph">
                  <wp:posOffset>0</wp:posOffset>
                </wp:positionV>
                <wp:extent cx="914400" cy="495300"/>
                <wp:effectExtent l="0" t="0" r="0" b="0"/>
                <wp:wrapNone/>
                <wp:docPr id="60" name="文本框 60"/>
                <wp:cNvGraphicFramePr/>
                <a:graphic xmlns:a="http://schemas.openxmlformats.org/drawingml/2006/main">
                  <a:graphicData uri="http://schemas.microsoft.com/office/word/2010/wordprocessingShape">
                    <wps:wsp>
                      <wps:cNvSpPr txBox="1"/>
                      <wps:spPr>
                        <a:xfrm>
                          <a:off x="0" y="0"/>
                          <a:ext cx="914400" cy="495300"/>
                        </a:xfrm>
                        <a:prstGeom prst="rect">
                          <a:avLst/>
                        </a:prstGeom>
                        <a:noFill/>
                        <a:ln>
                          <a:noFill/>
                        </a:ln>
                        <a:effectLst/>
                      </wps:spPr>
                      <wps:txbx>
                        <w:txbxContent>
                          <w:p w14:paraId="6B5993B6">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发包人提供施工场地</w:t>
                            </w:r>
                          </w:p>
                        </w:txbxContent>
                      </wps:txbx>
                      <wps:bodyPr wrap="square" upright="1"/>
                    </wps:wsp>
                  </a:graphicData>
                </a:graphic>
              </wp:anchor>
            </w:drawing>
          </mc:Choice>
          <mc:Fallback>
            <w:pict>
              <v:shape id="_x0000_s1026" o:spid="_x0000_s1026" o:spt="202" type="#_x0000_t202" style="position:absolute;left:0pt;margin-left:-9pt;margin-top:0pt;height:39pt;width:72pt;z-index:251712512;mso-width-relative:page;mso-height-relative:page;" filled="f" stroked="f" coordsize="21600,21600" o:gfxdata="UEsDBAoAAAAAAIdO4kAAAAAAAAAAAAAAAAAEAAAAZHJzL1BLAwQUAAAACACHTuJAkLuITtQAAAAH&#10;AQAADwAAAGRycy9kb3ducmV2LnhtbE2PQU/DMAyF70j8h8hI3LakE4yt1N0BxBXEBki7ZY3XVjRO&#10;1WRr+fd4J7hYtp/13udiM/lOnWmIbWCEbG5AEVfBtVwjfOxeZitQMVl2tgtMCD8UYVNeXxU2d2Hk&#10;dzpvU63EhGNuEZqU+lzrWDXkbZyHnli0Yxi8TTIOtXaDHcXcd3phzFJ727IkNLanp4aq7+3JI3y+&#10;Hvdfd+atfvb3/Rgmo9mvNeLtTWYeQSWa0t8xXPAFHUphOoQTu6g6hFm2kl8SgtSLvFhKc0B4kLUu&#10;C/2fv/wFUEsDBBQAAAAIAIdO4kDGgzDYugEAAGsDAAAOAAAAZHJzL2Uyb0RvYy54bWytU0tu2zAQ&#10;3RfIHQjuY8mpGzSC5QCBkWyCtkDaA9DU0CLAXzm0JV+gvUFX3XTfc/kcHUqKm6abLLKhhvN5nPdm&#10;tLzurWF7iKi9q/l8VnIGTvpGu23Nv3y+PX/PGSbhGmG8g5ofAPn16uzNsgsVXPjWmwYiIxCHVRdq&#10;3qYUqqJA2YIVOPMBHAWVj1YkusZt0UTREbo1xUVZXhadj02IXgIieddjkE+I8SWAXiktYe3lzoJL&#10;I2oEIxJRwlYH5KuhW6VApo9KISRmak5M03DSI2Rv8lmslqLaRhFaLacWxEtaeMbJCu3o0RPUWiTB&#10;dlH/B2W1jB69SjPpbTESGRQhFvPymTYPrQgwcCGpMZxEx9eDlR/2nyLTTc0vSRInLE38+OP78efv&#10;469vjHwkUBeworyHQJmpv/E9rc2jH8mZefcq2vwlRozihHU4yQt9YpKcV/PFoqSIpNDi6t1bsgm9&#10;+FscIqY78JZlo+aRpjeIKvb3mMbUx5T8lvO32phhgsb94yDM0QPDCkzVmcfYb7ZSv+knchvfHIhb&#10;R2tQc/y6ExE424Woty21MXAtcgnNYOh32pc85Kd3sp/+I6s/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kLuITtQAAAAHAQAADwAAAAAAAAABACAAAAAiAAAAZHJzL2Rvd25yZXYueG1sUEsBAhQAFAAA&#10;AAgAh07iQMaDMNi6AQAAawMAAA4AAAAAAAAAAQAgAAAAIwEAAGRycy9lMm9Eb2MueG1sUEsFBgAA&#10;AAAGAAYAWQEAAE8FAAAAAA==&#10;">
                <v:fill on="f" focussize="0,0"/>
                <v:stroke on="f"/>
                <v:imagedata o:title=""/>
                <o:lock v:ext="edit" aspectratio="f"/>
                <v:textbox>
                  <w:txbxContent>
                    <w:p w14:paraId="6B5993B6">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发包人提供施工场地</w:t>
                      </w:r>
                    </w:p>
                  </w:txbxContent>
                </v:textbox>
              </v:shape>
            </w:pict>
          </mc:Fallback>
        </mc:AlternateContent>
      </w:r>
      <w:r>
        <w:rPr>
          <w:rFonts w:hint="default" w:ascii="Times New Roman" w:hAnsi="Times New Roman" w:cs="Times New Roman"/>
          <w:color w:val="auto"/>
          <w:sz w:val="22"/>
          <w:szCs w:val="22"/>
          <w:highlight w:val="none"/>
        </w:rPr>
        <w:t>发包人应按照专用条款约定的时间提供施工场地，并在确保承包人按照计划进度顺利开工的时间内给予承包人进入和使用施工场地的权利。</w:t>
      </w:r>
    </w:p>
    <w:p w14:paraId="55A74748">
      <w:pPr>
        <w:spacing w:line="420" w:lineRule="exact"/>
        <w:ind w:left="1619" w:leftChars="771" w:firstLine="2"/>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发包人保留其工作人员、雇员和相关执法人员进入和使用施工场地的权利。</w:t>
      </w:r>
    </w:p>
    <w:p w14:paraId="0367C688">
      <w:pPr>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19.4  </w:t>
      </w:r>
      <w:r>
        <w:rPr>
          <w:rFonts w:hint="default" w:ascii="Times New Roman" w:hAnsi="Times New Roman" w:cs="Times New Roman"/>
          <w:b/>
          <w:bCs/>
          <w:color w:val="auto"/>
          <w:sz w:val="22"/>
          <w:szCs w:val="22"/>
          <w:highlight w:val="none"/>
          <w:u w:val="dotted"/>
        </w:rPr>
        <w:t xml:space="preserve">                                                                                                       </w:t>
      </w:r>
    </w:p>
    <w:p w14:paraId="25286CE8">
      <w:pPr>
        <w:spacing w:line="420" w:lineRule="exact"/>
        <w:ind w:left="1619" w:leftChars="771"/>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13536" behindDoc="0" locked="0" layoutInCell="1" allowOverlap="1">
                <wp:simplePos x="0" y="0"/>
                <wp:positionH relativeFrom="column">
                  <wp:posOffset>-114300</wp:posOffset>
                </wp:positionH>
                <wp:positionV relativeFrom="paragraph">
                  <wp:posOffset>15240</wp:posOffset>
                </wp:positionV>
                <wp:extent cx="914400" cy="715645"/>
                <wp:effectExtent l="0" t="0" r="0" b="0"/>
                <wp:wrapNone/>
                <wp:docPr id="61" name="文本框 61"/>
                <wp:cNvGraphicFramePr/>
                <a:graphic xmlns:a="http://schemas.openxmlformats.org/drawingml/2006/main">
                  <a:graphicData uri="http://schemas.microsoft.com/office/word/2010/wordprocessingShape">
                    <wps:wsp>
                      <wps:cNvSpPr txBox="1"/>
                      <wps:spPr>
                        <a:xfrm>
                          <a:off x="0" y="0"/>
                          <a:ext cx="914400" cy="715645"/>
                        </a:xfrm>
                        <a:prstGeom prst="rect">
                          <a:avLst/>
                        </a:prstGeom>
                        <a:noFill/>
                        <a:ln>
                          <a:noFill/>
                        </a:ln>
                        <a:effectLst/>
                      </wps:spPr>
                      <wps:txbx>
                        <w:txbxContent>
                          <w:p w14:paraId="08E51D60">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发包人支付款项</w:t>
                            </w:r>
                          </w:p>
                        </w:txbxContent>
                      </wps:txbx>
                      <wps:bodyPr wrap="square" upright="1"/>
                    </wps:wsp>
                  </a:graphicData>
                </a:graphic>
              </wp:anchor>
            </w:drawing>
          </mc:Choice>
          <mc:Fallback>
            <w:pict>
              <v:shape id="_x0000_s1026" o:spid="_x0000_s1026" o:spt="202" type="#_x0000_t202" style="position:absolute;left:0pt;margin-left:-9pt;margin-top:1.2pt;height:56.35pt;width:72pt;z-index:251713536;mso-width-relative:page;mso-height-relative:page;" filled="f" stroked="f" coordsize="21600,21600" o:gfxdata="UEsDBAoAAAAAAIdO4kAAAAAAAAAAAAAAAAAEAAAAZHJzL1BLAwQUAAAACACHTuJAFQxO5NYAAAAJ&#10;AQAADwAAAGRycy9kb3ducmV2LnhtbE2PwU7DMBBE70j9B2uRuLW2o7YqIU4PRVxBFKjUmxtvk4h4&#10;HcVuE/6e7QluO5rR7JtiO/lOXHGIbSADeqFAIFXBtVQb+Px4mW9AxGTJ2S4QGvjBCNtydlfY3IWR&#10;3vG6T7XgEoq5NdCk1OdSxqpBb+Mi9EjsncPgbWI51NINduRy38lMqbX0tiX+0Ngedw1W3/uLN/D1&#10;ej4eluqtfvarfgyTkuQfpTEP91o9gUg4pb8w3PAZHUpmOoULuSg6A3O94S3JQLYEcfOzNesTH3ql&#10;QZaF/L+g/AVQSwMEFAAAAAgAh07iQN7VsNW7AQAAawMAAA4AAABkcnMvZTJvRG9jLnhtbK1TzY7T&#10;MBC+I/EOlu/UyapbIGq6EqqWCwKkhQdwnXFjKf7B4zbpC8AbcOLCnefqczBOsmVZLnvg4ozn5/N8&#10;30zWN4Pt2BEiGu9qXi4KzsAp3xi3r/nnT7cvXnGGSbpGdt5BzU+A/Gbz/Nm6DxVc+dZ3DURGIA6r&#10;PtS8TSlUQqBqwUpc+ACOgtpHKxNd4140UfaEbjtxVRQr0fvYhOgVIJJ3OwX5jBifAui1Ngq2Xh0s&#10;uDShRuhkIkrYmoB8M3arNaj0QWuExLqaE9M0nvQI2bt8is1aVvsoQ2vU3IJ8SguPOFlpHD16gdrK&#10;JNkhmn+grFHRo9dpobwVE5FREWJRFo+0uWtlgJELSY3hIjr+P1j1/vgxMtPUfFVy5qSliZ+/fzv/&#10;+HX++ZWRjwTqA1aUdxcoMw1v/EBrc+9Hcmbeg442f4kRozjJe7rIC0Niipyvy+WyoIii0MvyerW8&#10;zijiT3GImN6CtywbNY80vVFUeXyHaUq9T8lvOX9rum6cYOf+chDm5IFxBebqzGPqN1tp2A0zuZ1v&#10;TsStpzWoOX45yAicHUI0+5baGLmKXEIzGPud9yUP+eGd7If/yOY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FQxO5NYAAAAJAQAADwAAAAAAAAABACAAAAAiAAAAZHJzL2Rvd25yZXYueG1sUEsBAhQA&#10;FAAAAAgAh07iQN7VsNW7AQAAawMAAA4AAAAAAAAAAQAgAAAAJQEAAGRycy9lMm9Eb2MueG1sUEsF&#10;BgAAAAAGAAYAWQEAAFIFAAAAAA==&#10;">
                <v:fill on="f" focussize="0,0"/>
                <v:stroke on="f"/>
                <v:imagedata o:title=""/>
                <o:lock v:ext="edit" aspectratio="f"/>
                <v:textbox>
                  <w:txbxContent>
                    <w:p w14:paraId="08E51D60">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发包人支付款项</w:t>
                      </w:r>
                    </w:p>
                  </w:txbxContent>
                </v:textbox>
              </v:shape>
            </w:pict>
          </mc:Fallback>
        </mc:AlternateContent>
      </w:r>
      <w:r>
        <w:rPr>
          <w:rFonts w:hint="default" w:ascii="Times New Roman" w:hAnsi="Times New Roman" w:cs="Times New Roman"/>
          <w:color w:val="auto"/>
          <w:sz w:val="22"/>
          <w:szCs w:val="22"/>
          <w:highlight w:val="none"/>
        </w:rPr>
        <w:t>发包人应按照合同约定的期限和方式向承包人支付工程款及其他应支付的款项。</w:t>
      </w:r>
    </w:p>
    <w:p w14:paraId="7028E8B5">
      <w:pPr>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19.5  </w:t>
      </w:r>
      <w:r>
        <w:rPr>
          <w:rFonts w:hint="default" w:ascii="Times New Roman" w:hAnsi="Times New Roman" w:cs="Times New Roman"/>
          <w:b/>
          <w:bCs/>
          <w:color w:val="auto"/>
          <w:sz w:val="22"/>
          <w:szCs w:val="22"/>
          <w:highlight w:val="none"/>
          <w:u w:val="dotted"/>
        </w:rPr>
        <w:t xml:space="preserve">                                                                                                       </w:t>
      </w:r>
    </w:p>
    <w:p w14:paraId="163A69CF">
      <w:pPr>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14560" behindDoc="0" locked="0" layoutInCell="1" allowOverlap="1">
                <wp:simplePos x="0" y="0"/>
                <wp:positionH relativeFrom="column">
                  <wp:posOffset>-114300</wp:posOffset>
                </wp:positionH>
                <wp:positionV relativeFrom="paragraph">
                  <wp:posOffset>15240</wp:posOffset>
                </wp:positionV>
                <wp:extent cx="914400" cy="852170"/>
                <wp:effectExtent l="0" t="0" r="0" b="0"/>
                <wp:wrapNone/>
                <wp:docPr id="62" name="文本框 62"/>
                <wp:cNvGraphicFramePr/>
                <a:graphic xmlns:a="http://schemas.openxmlformats.org/drawingml/2006/main">
                  <a:graphicData uri="http://schemas.microsoft.com/office/word/2010/wordprocessingShape">
                    <wps:wsp>
                      <wps:cNvSpPr txBox="1"/>
                      <wps:spPr>
                        <a:xfrm>
                          <a:off x="0" y="0"/>
                          <a:ext cx="914400" cy="852170"/>
                        </a:xfrm>
                        <a:prstGeom prst="rect">
                          <a:avLst/>
                        </a:prstGeom>
                        <a:noFill/>
                        <a:ln>
                          <a:noFill/>
                        </a:ln>
                        <a:effectLst/>
                      </wps:spPr>
                      <wps:txbx>
                        <w:txbxContent>
                          <w:p w14:paraId="22A61689">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发包人组织竣工验收</w:t>
                            </w:r>
                          </w:p>
                        </w:txbxContent>
                      </wps:txbx>
                      <wps:bodyPr wrap="square" upright="1"/>
                    </wps:wsp>
                  </a:graphicData>
                </a:graphic>
              </wp:anchor>
            </w:drawing>
          </mc:Choice>
          <mc:Fallback>
            <w:pict>
              <v:shape id="_x0000_s1026" o:spid="_x0000_s1026" o:spt="202" type="#_x0000_t202" style="position:absolute;left:0pt;margin-left:-9pt;margin-top:1.2pt;height:67.1pt;width:72pt;z-index:251714560;mso-width-relative:page;mso-height-relative:page;" filled="f" stroked="f" coordsize="21600,21600" o:gfxdata="UEsDBAoAAAAAAIdO4kAAAAAAAAAAAAAAAAAEAAAAZHJzL1BLAwQUAAAACACHTuJA6csd5dYAAAAJ&#10;AQAADwAAAGRycy9kb3ducmV2LnhtbE2PzW7CMBCE75X6DtZW6g3spBDRNA4HUK9FpT9SbyZekqjx&#10;OooNCW/f5URvO5rR7DfFenKdOOMQWk8akrkCgVR521Kt4fPjdbYCEaIhazpPqOGCAdbl/V1hcutH&#10;esfzPtaCSyjkRkMTY59LGaoGnQlz3yOxd/SDM5HlUEs7mJHLXSdTpTLpTEv8oTE9bhqsfvcnp+Hr&#10;7fjzvVC7euuW/egnJck9S60fHxL1AiLiFG9huOIzOpTMdPAnskF0GmbJirdEDekCxNVPM9YHPp6y&#10;DGRZyP8Lyj9QSwMEFAAAAAgAh07iQPbguMe9AQAAawMAAA4AAABkcnMvZTJvRG9jLnhtbK1TS27b&#10;MBDdF8gdCO5jykaSpoLlAIWRbIq2QNoD0NTIIsBfObQlX6C9QVfddN9z+RwdUYqbJpsssqGG83mc&#10;92a0vOmtYXuIqL2r+HxWcAZO+Vq7bcW/frk9v+YMk3S1NN5BxQ+A/GZ19mbZhRIWvvWmhsgIxGHZ&#10;hYq3KYVSCFQtWIkzH8BRsPHRykTXuBV1lB2hWyMWRXElOh/rEL0CRPKuxyCfEONLAH3TaAVrr3YW&#10;XBpRIxiZiBK2OiBf5W6bBlT61DQIiZmKE9OUT3qE7M1witVSltsoQ6vV1IJ8SQtPOFmpHT16glrL&#10;JNku6mdQVqvo0TdpprwVI5GsCLGYF0+0uW9lgMyFpMZwEh1fD1Z93H+OTNcVv1pw5qSliR9//jj+&#10;+nP8/Z2RjwTqApaUdx8oM/XvfU9r8+BHcg68+yba4UuMGMVJ3sNJXugTU+R8N7+4KCiiKHR9uZi/&#10;zfKLf8UhYroDb9lgVDzS9LKocv8BEzVCqQ8pw1vO32pj8gSN+89BiaMH8gpM1QOPsd/BSv2mn8ht&#10;fH0gbh2tQcXx205G4GwXot621EbmKoYSmkFuYtqXYciP72Q//kdWf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pyx3l1gAAAAkBAAAPAAAAAAAAAAEAIAAAACIAAABkcnMvZG93bnJldi54bWxQSwEC&#10;FAAUAAAACACHTuJA9uC4x70BAABrAwAADgAAAAAAAAABACAAAAAlAQAAZHJzL2Uyb0RvYy54bWxQ&#10;SwUGAAAAAAYABgBZAQAAVAUAAAAA&#10;">
                <v:fill on="f" focussize="0,0"/>
                <v:stroke on="f"/>
                <v:imagedata o:title=""/>
                <o:lock v:ext="edit" aspectratio="f"/>
                <v:textbox>
                  <w:txbxContent>
                    <w:p w14:paraId="22A61689">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发包人组织竣工验收</w:t>
                      </w:r>
                    </w:p>
                  </w:txbxContent>
                </v:textbox>
              </v:shape>
            </w:pict>
          </mc:Fallback>
        </mc:AlternateContent>
      </w:r>
      <w:r>
        <w:rPr>
          <w:rFonts w:hint="default" w:ascii="Times New Roman" w:hAnsi="Times New Roman" w:cs="Times New Roman"/>
          <w:color w:val="auto"/>
          <w:sz w:val="22"/>
          <w:szCs w:val="22"/>
          <w:highlight w:val="none"/>
        </w:rPr>
        <w:t>发包人应按照第58条规定组织承包人、设计人、监理人和工程造价咨询人（如有）等进行竣工验收。</w:t>
      </w:r>
    </w:p>
    <w:p w14:paraId="209C8033">
      <w:pPr>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15584" behindDoc="0" locked="0" layoutInCell="1" allowOverlap="1">
                <wp:simplePos x="0" y="0"/>
                <wp:positionH relativeFrom="column">
                  <wp:posOffset>-83820</wp:posOffset>
                </wp:positionH>
                <wp:positionV relativeFrom="paragraph">
                  <wp:posOffset>171450</wp:posOffset>
                </wp:positionV>
                <wp:extent cx="914400" cy="1162685"/>
                <wp:effectExtent l="0" t="0" r="0" b="0"/>
                <wp:wrapNone/>
                <wp:docPr id="63" name="文本框 63"/>
                <wp:cNvGraphicFramePr/>
                <a:graphic xmlns:a="http://schemas.openxmlformats.org/drawingml/2006/main">
                  <a:graphicData uri="http://schemas.microsoft.com/office/word/2010/wordprocessingShape">
                    <wps:wsp>
                      <wps:cNvSpPr txBox="1"/>
                      <wps:spPr>
                        <a:xfrm>
                          <a:off x="0" y="0"/>
                          <a:ext cx="914400" cy="1162685"/>
                        </a:xfrm>
                        <a:prstGeom prst="rect">
                          <a:avLst/>
                        </a:prstGeom>
                        <a:noFill/>
                        <a:ln>
                          <a:noFill/>
                        </a:ln>
                        <a:effectLst/>
                      </wps:spPr>
                      <wps:txbx>
                        <w:txbxContent>
                          <w:p w14:paraId="7CC0FD80">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发包人供应材料和工程设备要求</w:t>
                            </w:r>
                          </w:p>
                        </w:txbxContent>
                      </wps:txbx>
                      <wps:bodyPr wrap="square" upright="1"/>
                    </wps:wsp>
                  </a:graphicData>
                </a:graphic>
              </wp:anchor>
            </w:drawing>
          </mc:Choice>
          <mc:Fallback>
            <w:pict>
              <v:shape id="_x0000_s1026" o:spid="_x0000_s1026" o:spt="202" type="#_x0000_t202" style="position:absolute;left:0pt;margin-left:-6.6pt;margin-top:13.5pt;height:91.55pt;width:72pt;z-index:251715584;mso-width-relative:page;mso-height-relative:page;" filled="f" stroked="f" coordsize="21600,21600" o:gfxdata="UEsDBAoAAAAAAIdO4kAAAAAAAAAAAAAAAAAEAAAAZHJzL1BLAwQUAAAACACHTuJATh7gCdYAAAAK&#10;AQAADwAAAGRycy9kb3ducmV2LnhtbE2Pu27DMAxF9wL9B4EFuiWSnL7iWM7QomuDpg+gm2IxtlGL&#10;Miwldv8+zNSMJA8uzy3Wk+/EEYfYBjKg5woEUhVcS7WBz4/X2ROImCw52wVCA38YYV1eXxU2d2Gk&#10;dzxuUy04hGJuDTQp9bmUsWrQ2zgPPRLf9mHwNvE41NINduRw38lMqQfpbUv8obE9PjdY/W4P3sDX&#10;2/7n+05t6hd/349hUpL8Uhpze6PVCkTCKf3DcNZndSjZaRcO5KLoDMz0ImPUQPbInc7AQnGXHS+0&#10;0iDLQl5WKE9QSwMEFAAAAAgAh07iQFMAGOy8AQAAbAMAAA4AAABkcnMvZTJvRG9jLnhtbK1TzY7T&#10;MBC+I/EOlu/USVmqJWq6EqqWCwKkhQdwnUljyX943CZ9AXgDTly481x9DsZJtizLZQ9cnPH8fJ7v&#10;m8n6ZrCGHSGi9q7m5aLgDJzyjXb7mn/+dPvimjNM0jXSeAc1PwHym83zZ+s+VLD0nTcNREYgDqs+&#10;1LxLKVRCoOrASlz4AI6CrY9WJrrGvWii7AndGrEsipXofWxC9AoQybudgnxGjE8B9G2rFWy9Olhw&#10;aUKNYGQiStjpgHwzdtu2oNKHtkVIzNScmKbxpEfI3uVTbNay2kcZOq3mFuRTWnjEyUrt6NEL1FYm&#10;yQ5R/wNltYoefZsWylsxERkVIRZl8Uibu04GGLmQ1BguouP/g1Xvjx8j003NVy85c9LSxM/fv51/&#10;/Dr//MrIRwL1ASvKuwuUmYY3fqC1ufcjOTPvoY02f4kRozjJe7rIC0Niipyvy6urgiKKQmW5Wq6u&#10;X2UY8ac6RExvwVuWjZpHGt+oqjy+wzSl3qfkx5y/1caMIzTuLwdhTh4Yd2CuzkSmhrOVht0ws9v5&#10;5kTketqDmuOXg4zA2SFEve+ojZGsyCU0hLHfeWHylB/eyX74k2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E4e4AnWAAAACgEAAA8AAAAAAAAAAQAgAAAAIgAAAGRycy9kb3ducmV2LnhtbFBLAQIU&#10;ABQAAAAIAIdO4kBTABjsvAEAAGwDAAAOAAAAAAAAAAEAIAAAACUBAABkcnMvZTJvRG9jLnhtbFBL&#10;BQYAAAAABgAGAFkBAABTBQAAAAA=&#10;">
                <v:fill on="f" focussize="0,0"/>
                <v:stroke on="f"/>
                <v:imagedata o:title=""/>
                <o:lock v:ext="edit" aspectratio="f"/>
                <v:textbox>
                  <w:txbxContent>
                    <w:p w14:paraId="7CC0FD80">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发包人供应材料和工程设备要求</w:t>
                      </w:r>
                    </w:p>
                  </w:txbxContent>
                </v:textbox>
              </v:shape>
            </w:pict>
          </mc:Fallback>
        </mc:AlternateContent>
      </w:r>
      <w:r>
        <w:rPr>
          <w:rFonts w:hint="default" w:ascii="Times New Roman" w:hAnsi="Times New Roman" w:cs="Times New Roman"/>
          <w:b/>
          <w:bCs/>
          <w:color w:val="auto"/>
          <w:sz w:val="22"/>
          <w:szCs w:val="22"/>
          <w:highlight w:val="none"/>
        </w:rPr>
        <w:t xml:space="preserve">19.6  </w:t>
      </w:r>
      <w:r>
        <w:rPr>
          <w:rFonts w:hint="default" w:ascii="Times New Roman" w:hAnsi="Times New Roman" w:cs="Times New Roman"/>
          <w:b/>
          <w:bCs/>
          <w:color w:val="auto"/>
          <w:sz w:val="22"/>
          <w:szCs w:val="22"/>
          <w:highlight w:val="none"/>
          <w:u w:val="dotted"/>
        </w:rPr>
        <w:t xml:space="preserve">                                                                                                       </w:t>
      </w:r>
    </w:p>
    <w:p w14:paraId="7912E4CF">
      <w:pPr>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发包人供应材料和工程设备的，发包人应按照第48条规定向承包人提供材料和工程设备。</w:t>
      </w:r>
    </w:p>
    <w:p w14:paraId="4D519A59">
      <w:pPr>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19.7  </w:t>
      </w:r>
      <w:r>
        <w:rPr>
          <w:rFonts w:hint="default" w:ascii="Times New Roman" w:hAnsi="Times New Roman" w:cs="Times New Roman"/>
          <w:b/>
          <w:bCs/>
          <w:color w:val="auto"/>
          <w:sz w:val="22"/>
          <w:szCs w:val="22"/>
          <w:highlight w:val="none"/>
          <w:u w:val="dotted"/>
        </w:rPr>
        <w:t xml:space="preserve">                                                                                                       </w:t>
      </w:r>
    </w:p>
    <w:p w14:paraId="5F6BAB9B">
      <w:pPr>
        <w:spacing w:line="420" w:lineRule="exact"/>
        <w:ind w:left="1619" w:leftChars="771" w:firstLine="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16608" behindDoc="0" locked="0" layoutInCell="1" allowOverlap="1">
                <wp:simplePos x="0" y="0"/>
                <wp:positionH relativeFrom="column">
                  <wp:posOffset>-114300</wp:posOffset>
                </wp:positionH>
                <wp:positionV relativeFrom="paragraph">
                  <wp:posOffset>0</wp:posOffset>
                </wp:positionV>
                <wp:extent cx="914400" cy="449580"/>
                <wp:effectExtent l="0" t="0" r="0" b="0"/>
                <wp:wrapNone/>
                <wp:docPr id="64" name="文本框 64"/>
                <wp:cNvGraphicFramePr/>
                <a:graphic xmlns:a="http://schemas.openxmlformats.org/drawingml/2006/main">
                  <a:graphicData uri="http://schemas.microsoft.com/office/word/2010/wordprocessingShape">
                    <wps:wsp>
                      <wps:cNvSpPr txBox="1"/>
                      <wps:spPr>
                        <a:xfrm>
                          <a:off x="0" y="0"/>
                          <a:ext cx="914400" cy="449580"/>
                        </a:xfrm>
                        <a:prstGeom prst="rect">
                          <a:avLst/>
                        </a:prstGeom>
                        <a:noFill/>
                        <a:ln>
                          <a:noFill/>
                        </a:ln>
                        <a:effectLst/>
                      </wps:spPr>
                      <wps:txbx>
                        <w:txbxContent>
                          <w:p w14:paraId="041316B5">
                            <w:pPr>
                              <w:rPr>
                                <w:rFonts w:ascii="楷体_GB2312" w:hAnsi="宋体" w:eastAsia="楷体_GB2312" w:cs="Times New Roman"/>
                                <w:sz w:val="18"/>
                                <w:szCs w:val="18"/>
                              </w:rPr>
                            </w:pPr>
                            <w:r>
                              <w:rPr>
                                <w:rFonts w:hint="eastAsia" w:ascii="楷体_GB2312" w:hAnsi="宋体" w:eastAsia="楷体_GB2312" w:cs="楷体_GB2312"/>
                                <w:b/>
                                <w:bCs/>
                                <w:color w:val="000000"/>
                                <w:sz w:val="18"/>
                                <w:szCs w:val="18"/>
                              </w:rPr>
                              <w:t>发包人未尽义务的责任</w:t>
                            </w:r>
                          </w:p>
                        </w:txbxContent>
                      </wps:txbx>
                      <wps:bodyPr wrap="square" upright="1"/>
                    </wps:wsp>
                  </a:graphicData>
                </a:graphic>
              </wp:anchor>
            </w:drawing>
          </mc:Choice>
          <mc:Fallback>
            <w:pict>
              <v:shape id="_x0000_s1026" o:spid="_x0000_s1026" o:spt="202" type="#_x0000_t202" style="position:absolute;left:0pt;margin-left:-9pt;margin-top:0pt;height:35.4pt;width:72pt;z-index:251716608;mso-width-relative:page;mso-height-relative:page;" filled="f" stroked="f" coordsize="21600,21600" o:gfxdata="UEsDBAoAAAAAAIdO4kAAAAAAAAAAAAAAAAAEAAAAZHJzL1BLAwQUAAAACACHTuJAp3Dy2tQAAAAH&#10;AQAADwAAAGRycy9kb3ducmV2LnhtbE2PQU/DMAyF70j8h8hI3LakE4xS6u4A4gpiAyRuWeO1FY1T&#10;Ndla/j3eCS7Ws5713udyM/tenWiMXWCEbGlAEdfBddwgvO+eFzmomCw72wcmhB+KsKkuL0pbuDDx&#10;G522qVESwrGwCG1KQ6F1rFvyNi7DQCzeIYzeJlnHRrvRThLue70yZq297VgaWjvQY0v19/boET5e&#10;Dl+fN+a1efK3wxRmo9nfa8Trq8w8gEo0p79jOOMLOlTCtA9HdlH1CIssl18SgsyzvVqL2CPcmRx0&#10;Ver//NUvUEsDBBQAAAAIAIdO4kC6QQSWvQEAAGsDAAAOAAAAZHJzL2Uyb0RvYy54bWytU0tu2zAQ&#10;3RfoHQjua8qBGiSC5QCBkW6KtkDaA9DU0CIgfsKhLfkC7Q266qb7nsvn6IhS3DTdZNENNZzP47w3&#10;o9XNYDt2gIjGu5ovFwVn4JRvjNvV/MvnuzdXnGGSrpGdd1DzIyC/Wb9+tepDBRe+9V0DkRGIw6oP&#10;NW9TCpUQqFqwEhc+gKOg9tHKRNe4E02UPaHbTlwUxaXofWxC9AoQybuZgnxGjC8B9FobBRuv9hZc&#10;mlAjdDIRJWxNQL7O3WoNKn3UGiGxrubENOWTHiF7O55ivZLVLsrQGjW3IF/SwjNOVhpHj56hNjJJ&#10;to/mHyhrVPTodVoob8VEJCtCLJbFM23uWxkgcyGpMZxFx/8Hqz4cPkVmmppflpw5aWnip+/fTj9+&#10;nX5+ZeQjgfqAFeXdB8pMw60faG0e/UjOkfegox2/xIhRnOQ9nuWFITFFzutlWRYUURQqy+u3V1l+&#10;8ac4REzvwFs2GjWPNL0sqjy8x0SNUOpjyviW83em6/IEO/eXgxInD+QVmKtHHlO/o5WG7TCT2/rm&#10;SNx6WoOa48NeRuBsH6LZtdRG5irGEppBbmLel3HIT+9kP/1H1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p3Dy2tQAAAAHAQAADwAAAAAAAAABACAAAAAiAAAAZHJzL2Rvd25yZXYueG1sUEsBAhQA&#10;FAAAAAgAh07iQLpBBJa9AQAAawMAAA4AAAAAAAAAAQAgAAAAIwEAAGRycy9lMm9Eb2MueG1sUEsF&#10;BgAAAAAGAAYAWQEAAFIFAAAAAA==&#10;">
                <v:fill on="f" focussize="0,0"/>
                <v:stroke on="f"/>
                <v:imagedata o:title=""/>
                <o:lock v:ext="edit" aspectratio="f"/>
                <v:textbox>
                  <w:txbxContent>
                    <w:p w14:paraId="041316B5">
                      <w:pPr>
                        <w:rPr>
                          <w:rFonts w:ascii="楷体_GB2312" w:hAnsi="宋体" w:eastAsia="楷体_GB2312" w:cs="Times New Roman"/>
                          <w:sz w:val="18"/>
                          <w:szCs w:val="18"/>
                        </w:rPr>
                      </w:pPr>
                      <w:r>
                        <w:rPr>
                          <w:rFonts w:hint="eastAsia" w:ascii="楷体_GB2312" w:hAnsi="宋体" w:eastAsia="楷体_GB2312" w:cs="楷体_GB2312"/>
                          <w:b/>
                          <w:bCs/>
                          <w:color w:val="000000"/>
                          <w:sz w:val="18"/>
                          <w:szCs w:val="18"/>
                        </w:rPr>
                        <w:t>发包人未尽义务的责任</w:t>
                      </w:r>
                    </w:p>
                  </w:txbxContent>
                </v:textbox>
              </v:shape>
            </w:pict>
          </mc:Fallback>
        </mc:AlternateContent>
      </w:r>
      <w:r>
        <w:rPr>
          <w:rFonts w:hint="default" w:ascii="Times New Roman" w:hAnsi="Times New Roman" w:cs="Times New Roman"/>
          <w:color w:val="auto"/>
          <w:sz w:val="22"/>
          <w:szCs w:val="22"/>
          <w:highlight w:val="none"/>
        </w:rPr>
        <w:t>发包人未能正确完成本合同约定的全部义务，导致费用的增加和（或）延误的工期，由发包人承担；给承包人造成损失的，发包人应予赔偿。</w:t>
      </w:r>
    </w:p>
    <w:p w14:paraId="30B17B70">
      <w:pPr>
        <w:spacing w:line="420" w:lineRule="exact"/>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70FBBD48">
      <w:pPr>
        <w:pStyle w:val="5"/>
        <w:numPr>
          <w:ilvl w:val="0"/>
          <w:numId w:val="0"/>
        </w:numPr>
        <w:tabs>
          <w:tab w:val="left" w:pos="360"/>
          <w:tab w:val="left" w:pos="420"/>
          <w:tab w:val="left" w:pos="1287"/>
        </w:tabs>
        <w:spacing w:line="420" w:lineRule="exact"/>
        <w:rPr>
          <w:rFonts w:hint="default" w:ascii="Times New Roman" w:hAnsi="Times New Roman" w:cs="Times New Roman"/>
          <w:color w:val="auto"/>
          <w:sz w:val="22"/>
          <w:szCs w:val="22"/>
          <w:highlight w:val="none"/>
        </w:rPr>
      </w:pPr>
      <w:bookmarkStart w:id="127" w:name="_Toc27058"/>
      <w:bookmarkStart w:id="128" w:name="_Toc469384000"/>
      <w:r>
        <w:rPr>
          <w:rFonts w:hint="default" w:ascii="Times New Roman" w:hAnsi="Times New Roman" w:cs="Times New Roman"/>
          <w:color w:val="auto"/>
          <w:sz w:val="22"/>
          <w:szCs w:val="22"/>
          <w:highlight w:val="none"/>
        </w:rPr>
        <w:t>20  承包人</w:t>
      </w:r>
      <w:bookmarkEnd w:id="127"/>
      <w:bookmarkEnd w:id="128"/>
    </w:p>
    <w:p w14:paraId="44DB3432">
      <w:pPr>
        <w:tabs>
          <w:tab w:val="left" w:pos="1620"/>
        </w:tabs>
        <w:spacing w:line="420" w:lineRule="exact"/>
        <w:ind w:left="-2" w:leftChars="-1" w:firstLine="1"/>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20.1                                                        </w:t>
      </w:r>
    </w:p>
    <w:p w14:paraId="13F3D24F">
      <w:pPr>
        <w:tabs>
          <w:tab w:val="left" w:pos="1620"/>
        </w:tabs>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17632" behindDoc="0" locked="0" layoutInCell="1" allowOverlap="1">
                <wp:simplePos x="0" y="0"/>
                <wp:positionH relativeFrom="column">
                  <wp:posOffset>-114300</wp:posOffset>
                </wp:positionH>
                <wp:positionV relativeFrom="paragraph">
                  <wp:posOffset>4445</wp:posOffset>
                </wp:positionV>
                <wp:extent cx="914400" cy="429895"/>
                <wp:effectExtent l="0" t="0" r="0" b="0"/>
                <wp:wrapNone/>
                <wp:docPr id="65" name="文本框 65"/>
                <wp:cNvGraphicFramePr/>
                <a:graphic xmlns:a="http://schemas.openxmlformats.org/drawingml/2006/main">
                  <a:graphicData uri="http://schemas.microsoft.com/office/word/2010/wordprocessingShape">
                    <wps:wsp>
                      <wps:cNvSpPr txBox="1"/>
                      <wps:spPr>
                        <a:xfrm>
                          <a:off x="0" y="0"/>
                          <a:ext cx="914400" cy="429895"/>
                        </a:xfrm>
                        <a:prstGeom prst="rect">
                          <a:avLst/>
                        </a:prstGeom>
                        <a:noFill/>
                        <a:ln>
                          <a:noFill/>
                        </a:ln>
                        <a:effectLst/>
                      </wps:spPr>
                      <wps:txbx>
                        <w:txbxContent>
                          <w:p w14:paraId="2C73F7E5">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遵守法律</w:t>
                            </w:r>
                          </w:p>
                        </w:txbxContent>
                      </wps:txbx>
                      <wps:bodyPr wrap="square" upright="1"/>
                    </wps:wsp>
                  </a:graphicData>
                </a:graphic>
              </wp:anchor>
            </w:drawing>
          </mc:Choice>
          <mc:Fallback>
            <w:pict>
              <v:shape id="_x0000_s1026" o:spid="_x0000_s1026" o:spt="202" type="#_x0000_t202" style="position:absolute;left:0pt;margin-left:-9pt;margin-top:0.35pt;height:33.85pt;width:72pt;z-index:251717632;mso-width-relative:page;mso-height-relative:page;" filled="f" stroked="f" coordsize="21600,21600" o:gfxdata="UEsDBAoAAAAAAIdO4kAAAAAAAAAAAAAAAAAEAAAAZHJzL1BLAwQUAAAACACHTuJAhRaKZNUAAAAH&#10;AQAADwAAAGRycy9kb3ducmV2LnhtbE2PzW7CMBCE75V4B2srcQM7iKYhZMOBqleq0h+pNxMvSdR4&#10;HcWGpG9fc2qPoxnNfFPsJtuJKw2+dYyQLBUI4sqZlmuE97fnRQbCB81Gd44J4Yc87MrZXaFz40Z+&#10;pesx1CKWsM81QhNCn0vpq4as9kvXE0fv7AarQ5RDLc2gx1huO7lSKpVWtxwXGt3TvqHq+3ixCB+H&#10;89fnWr3UT/ahH92kJNuNRJzfJ2oLItAU/sJww4/oUEamk7uw8aJDWCRZ/BIQHkHc7FUa5QkhzdYg&#10;y0L+5y9/AVBLAwQUAAAACACHTuJApcG4vbwBAABrAwAADgAAAGRycy9lMm9Eb2MueG1srVNLbtsw&#10;EN0X6B0I7mvJhhvEguUAgZFuirZA2gPQ1NAiwF84tCVfoL1BV91033P5HB1Ripummyy6oYbzeZz3&#10;ZrS+6a1hR4iovav5fFZyBk76Rrt9zb98vntzzRkm4RphvIOanwD5zeb1q3UXKlj41psGIiMQh1UX&#10;at6mFKqiQNmCFTjzARwFlY9WJLrGfdFE0RG6NcWiLK+KzscmRC8BkbzbMcgnxPgSQK+UlrD18mDB&#10;pRE1ghGJKGGrA/JN7lYpkOmjUgiJmZoT05RPeoTs3XAWm7Wo9lGEVsupBfGSFp5xskI7evQCtRVJ&#10;sEPU/0BZLaNHr9JMeluMRLIixGJePtPmvhUBMheSGsNFdPx/sPLD8VNkuqn51VvOnLA08fP3b+cf&#10;v84/vzLykUBdwIry7gNlpv7W97Q2j34k58C7V9EOX2LEKE7yni7yQp+YJOdqvlyWFJEUWi5W16uM&#10;XvwpDhHTO/CWDUbNI00viyqO7zFRI5T6mDK85fydNiZP0Li/HJQ4eiCvwFQ98Bj7HazU7/qJ3M43&#10;J+LW0RrUHB8OIgJnhxD1vqU2MtdiKKEZ5CamfRmG/PRO9tN/ZPM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hRaKZNUAAAAHAQAADwAAAAAAAAABACAAAAAiAAAAZHJzL2Rvd25yZXYueG1sUEsBAhQA&#10;FAAAAAgAh07iQKXBuL28AQAAawMAAA4AAAAAAAAAAQAgAAAAJAEAAGRycy9lMm9Eb2MueG1sUEsF&#10;BgAAAAAGAAYAWQEAAFIFAAAAAA==&#10;">
                <v:fill on="f" focussize="0,0"/>
                <v:stroke on="f"/>
                <v:imagedata o:title=""/>
                <o:lock v:ext="edit" aspectratio="f"/>
                <v:textbox>
                  <w:txbxContent>
                    <w:p w14:paraId="2C73F7E5">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遵守法律</w:t>
                      </w:r>
                    </w:p>
                  </w:txbxContent>
                </v:textbox>
              </v:shape>
            </w:pict>
          </mc:Fallback>
        </mc:AlternateContent>
      </w:r>
      <w:r>
        <w:rPr>
          <w:rFonts w:hint="default" w:ascii="Times New Roman" w:hAnsi="Times New Roman" w:cs="Times New Roman"/>
          <w:color w:val="auto"/>
          <w:sz w:val="22"/>
          <w:szCs w:val="22"/>
          <w:highlight w:val="none"/>
        </w:rPr>
        <w:t>承包人在履行合同期间应遵守法律，并保证发包人免于承担因承包人违反法律而引起的任何责任。遵守国家、省、市有关社会信用体系建设工作的法律、行政法规、 部门规章，严格执行信用承诺制度，违背信用承诺约定时，承担违约责任，并依法 承担相应法律责任。</w:t>
      </w:r>
    </w:p>
    <w:p w14:paraId="6540A97C">
      <w:pPr>
        <w:pStyle w:val="68"/>
        <w:spacing w:before="0" w:beforeAutospacing="0" w:after="0" w:afterAutospacing="0" w:line="420" w:lineRule="exact"/>
        <w:ind w:left="1839" w:leftChars="771" w:hanging="220" w:hangingChars="100"/>
        <w:rPr>
          <w:rFonts w:hint="default" w:ascii="Times New Roman" w:hAnsi="Times New Roman" w:cs="Times New Roman"/>
          <w:color w:val="auto"/>
          <w:kern w:val="2"/>
          <w:sz w:val="22"/>
          <w:szCs w:val="22"/>
          <w:highlight w:val="none"/>
        </w:rPr>
      </w:pPr>
      <w:r>
        <w:rPr>
          <w:rFonts w:hint="default" w:ascii="Times New Roman" w:hAnsi="Times New Roman" w:cs="Times New Roman"/>
          <w:color w:val="auto"/>
          <w:kern w:val="2"/>
          <w:sz w:val="22"/>
          <w:szCs w:val="22"/>
          <w:highlight w:val="none"/>
        </w:rPr>
        <w:t>承包人在本项目发包人的工程项目中存在下列行为的，将被拒绝参与发包人后续工程</w:t>
      </w:r>
    </w:p>
    <w:p w14:paraId="11013C48">
      <w:pPr>
        <w:pStyle w:val="68"/>
        <w:spacing w:before="0" w:beforeAutospacing="0" w:after="0" w:afterAutospacing="0" w:line="420" w:lineRule="exact"/>
        <w:ind w:left="1839" w:leftChars="771" w:hanging="220" w:hangingChars="100"/>
        <w:rPr>
          <w:rFonts w:hint="default" w:ascii="Times New Roman" w:hAnsi="Times New Roman" w:cs="Times New Roman"/>
          <w:color w:val="auto"/>
          <w:kern w:val="2"/>
          <w:sz w:val="22"/>
          <w:szCs w:val="22"/>
          <w:highlight w:val="none"/>
        </w:rPr>
      </w:pPr>
      <w:r>
        <w:rPr>
          <w:rFonts w:hint="default" w:ascii="Times New Roman" w:hAnsi="Times New Roman" w:cs="Times New Roman"/>
          <w:color w:val="auto"/>
          <w:kern w:val="2"/>
          <w:sz w:val="22"/>
          <w:szCs w:val="22"/>
          <w:highlight w:val="none"/>
        </w:rPr>
        <w:t>投标。拒绝投标时限由发包人（招标人）视严重程度确定，并在专用条款中约定。</w:t>
      </w:r>
    </w:p>
    <w:p w14:paraId="3BF23D9A">
      <w:pPr>
        <w:pStyle w:val="68"/>
        <w:spacing w:before="0" w:beforeAutospacing="0" w:after="0" w:afterAutospacing="0" w:line="420" w:lineRule="exact"/>
        <w:ind w:left="1619" w:leftChars="771"/>
        <w:rPr>
          <w:rFonts w:hint="default" w:ascii="Times New Roman" w:hAnsi="Times New Roman" w:cs="Times New Roman"/>
          <w:color w:val="auto"/>
          <w:kern w:val="2"/>
          <w:sz w:val="22"/>
          <w:szCs w:val="22"/>
          <w:highlight w:val="none"/>
        </w:rPr>
      </w:pPr>
      <w:r>
        <w:rPr>
          <w:rFonts w:hint="default" w:ascii="Times New Roman" w:hAnsi="Times New Roman" w:cs="Times New Roman"/>
          <w:color w:val="auto"/>
          <w:kern w:val="2"/>
          <w:sz w:val="22"/>
          <w:szCs w:val="22"/>
          <w:highlight w:val="none"/>
        </w:rPr>
        <w:t>1.将中标工程转包或者违法分包的；</w:t>
      </w:r>
    </w:p>
    <w:p w14:paraId="1ACDB942">
      <w:pPr>
        <w:pStyle w:val="68"/>
        <w:spacing w:before="0" w:beforeAutospacing="0" w:after="0" w:afterAutospacing="0" w:line="420" w:lineRule="exact"/>
        <w:ind w:left="1619" w:leftChars="771"/>
        <w:rPr>
          <w:rFonts w:hint="default" w:ascii="Times New Roman" w:hAnsi="Times New Roman" w:cs="Times New Roman"/>
          <w:color w:val="auto"/>
          <w:kern w:val="2"/>
          <w:sz w:val="22"/>
          <w:szCs w:val="22"/>
          <w:highlight w:val="none"/>
        </w:rPr>
      </w:pPr>
      <w:r>
        <w:rPr>
          <w:rFonts w:hint="default" w:ascii="Times New Roman" w:hAnsi="Times New Roman" w:cs="Times New Roman"/>
          <w:color w:val="auto"/>
          <w:kern w:val="2"/>
          <w:sz w:val="22"/>
          <w:szCs w:val="22"/>
          <w:highlight w:val="none"/>
        </w:rPr>
        <w:t>2.在中标工程中不执行质量、安全生产相关规定的，造成质量或安全事故的；</w:t>
      </w:r>
    </w:p>
    <w:p w14:paraId="4F1F2F56">
      <w:pPr>
        <w:pStyle w:val="68"/>
        <w:spacing w:before="0" w:beforeAutospacing="0" w:after="0" w:afterAutospacing="0" w:line="420" w:lineRule="exact"/>
        <w:ind w:left="1619" w:leftChars="771"/>
        <w:rPr>
          <w:rFonts w:hint="default" w:ascii="Times New Roman" w:hAnsi="Times New Roman" w:cs="Times New Roman"/>
          <w:color w:val="auto"/>
          <w:kern w:val="2"/>
          <w:sz w:val="22"/>
          <w:szCs w:val="22"/>
          <w:highlight w:val="none"/>
        </w:rPr>
      </w:pPr>
      <w:r>
        <w:rPr>
          <w:rFonts w:hint="default" w:ascii="Times New Roman" w:hAnsi="Times New Roman" w:cs="Times New Roman"/>
          <w:color w:val="auto"/>
          <w:kern w:val="2"/>
          <w:sz w:val="22"/>
          <w:szCs w:val="22"/>
          <w:highlight w:val="none"/>
        </w:rPr>
        <w:t>3.存在围标或串标情形的；</w:t>
      </w:r>
    </w:p>
    <w:p w14:paraId="2AC802A7">
      <w:pPr>
        <w:pStyle w:val="68"/>
        <w:spacing w:before="0" w:beforeAutospacing="0" w:after="0" w:afterAutospacing="0" w:line="420" w:lineRule="exact"/>
        <w:ind w:left="1619" w:leftChars="771"/>
        <w:rPr>
          <w:rFonts w:hint="default" w:ascii="Times New Roman" w:hAnsi="Times New Roman" w:cs="Times New Roman"/>
          <w:color w:val="auto"/>
          <w:kern w:val="2"/>
          <w:sz w:val="22"/>
          <w:szCs w:val="22"/>
          <w:highlight w:val="none"/>
        </w:rPr>
      </w:pPr>
      <w:r>
        <w:rPr>
          <w:rFonts w:hint="default" w:ascii="Times New Roman" w:hAnsi="Times New Roman" w:cs="Times New Roman"/>
          <w:color w:val="auto"/>
          <w:kern w:val="2"/>
          <w:sz w:val="22"/>
          <w:szCs w:val="22"/>
          <w:highlight w:val="none"/>
        </w:rPr>
        <w:t>4.存在弄虚作假骗取中标情形的；</w:t>
      </w:r>
    </w:p>
    <w:p w14:paraId="01A3CE50">
      <w:pPr>
        <w:pStyle w:val="68"/>
        <w:spacing w:before="0" w:beforeAutospacing="0" w:after="0" w:afterAutospacing="0" w:line="420" w:lineRule="exact"/>
        <w:ind w:left="1619" w:leftChars="771"/>
        <w:rPr>
          <w:rFonts w:hint="default" w:ascii="Times New Roman" w:hAnsi="Times New Roman" w:cs="Times New Roman"/>
          <w:color w:val="auto"/>
          <w:kern w:val="2"/>
          <w:sz w:val="22"/>
          <w:szCs w:val="22"/>
          <w:highlight w:val="none"/>
        </w:rPr>
      </w:pPr>
      <w:r>
        <w:rPr>
          <w:rFonts w:hint="default" w:ascii="Times New Roman" w:hAnsi="Times New Roman" w:cs="Times New Roman"/>
          <w:color w:val="auto"/>
          <w:kern w:val="2"/>
          <w:sz w:val="22"/>
          <w:szCs w:val="22"/>
          <w:highlight w:val="none"/>
        </w:rPr>
        <w:t>5.存在因过错行为被生效法律文书认定承担违约或侵权责任的。</w:t>
      </w:r>
    </w:p>
    <w:p w14:paraId="7A3913D0">
      <w:pPr>
        <w:tabs>
          <w:tab w:val="left" w:pos="1620"/>
        </w:tabs>
        <w:spacing w:line="420" w:lineRule="exact"/>
        <w:ind w:left="1619" w:leftChars="771"/>
        <w:rPr>
          <w:rFonts w:hint="default" w:ascii="Times New Roman" w:hAnsi="Times New Roman" w:cs="Times New Roman"/>
          <w:color w:val="auto"/>
          <w:sz w:val="22"/>
          <w:szCs w:val="22"/>
          <w:highlight w:val="none"/>
        </w:rPr>
      </w:pPr>
    </w:p>
    <w:p w14:paraId="77D9FCD8">
      <w:pPr>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20.2</w:t>
      </w:r>
      <w:r>
        <w:rPr>
          <w:rFonts w:hint="default" w:ascii="Times New Roman" w:hAnsi="Times New Roman" w:cs="Times New Roman"/>
          <w:color w:val="auto"/>
          <w:sz w:val="22"/>
          <w:szCs w:val="22"/>
          <w:highlight w:val="none"/>
        </w:rPr>
        <w:t xml:space="preserve"> </w:t>
      </w:r>
      <w:r>
        <w:rPr>
          <w:rFonts w:hint="default" w:ascii="Times New Roman" w:hAnsi="Times New Roman" w:cs="Times New Roman"/>
          <w:color w:val="auto"/>
          <w:sz w:val="22"/>
          <w:szCs w:val="22"/>
          <w:highlight w:val="none"/>
          <w:u w:val="dotted"/>
        </w:rPr>
        <w:t xml:space="preserve">                                                                             </w:t>
      </w:r>
    </w:p>
    <w:p w14:paraId="295D79F4">
      <w:pPr>
        <w:tabs>
          <w:tab w:val="left" w:pos="1620"/>
        </w:tabs>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18656" behindDoc="0" locked="0" layoutInCell="1" allowOverlap="1">
                <wp:simplePos x="0" y="0"/>
                <wp:positionH relativeFrom="column">
                  <wp:posOffset>-114300</wp:posOffset>
                </wp:positionH>
                <wp:positionV relativeFrom="paragraph">
                  <wp:posOffset>0</wp:posOffset>
                </wp:positionV>
                <wp:extent cx="914400" cy="373380"/>
                <wp:effectExtent l="0" t="0" r="0" b="0"/>
                <wp:wrapNone/>
                <wp:docPr id="66" name="文本框 66"/>
                <wp:cNvGraphicFramePr/>
                <a:graphic xmlns:a="http://schemas.openxmlformats.org/drawingml/2006/main">
                  <a:graphicData uri="http://schemas.microsoft.com/office/word/2010/wordprocessingShape">
                    <wps:wsp>
                      <wps:cNvSpPr txBox="1"/>
                      <wps:spPr>
                        <a:xfrm>
                          <a:off x="0" y="0"/>
                          <a:ext cx="914400" cy="373380"/>
                        </a:xfrm>
                        <a:prstGeom prst="rect">
                          <a:avLst/>
                        </a:prstGeom>
                        <a:noFill/>
                        <a:ln>
                          <a:noFill/>
                        </a:ln>
                        <a:effectLst/>
                      </wps:spPr>
                      <wps:txbx>
                        <w:txbxContent>
                          <w:p w14:paraId="55661F2B">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承包人工作</w:t>
                            </w:r>
                          </w:p>
                        </w:txbxContent>
                      </wps:txbx>
                      <wps:bodyPr wrap="square" upright="1"/>
                    </wps:wsp>
                  </a:graphicData>
                </a:graphic>
              </wp:anchor>
            </w:drawing>
          </mc:Choice>
          <mc:Fallback>
            <w:pict>
              <v:shape id="_x0000_s1026" o:spid="_x0000_s1026" o:spt="202" type="#_x0000_t202" style="position:absolute;left:0pt;margin-left:-9pt;margin-top:0pt;height:29.4pt;width:72pt;z-index:251718656;mso-width-relative:page;mso-height-relative:page;" filled="f" stroked="f" coordsize="21600,21600" o:gfxdata="UEsDBAoAAAAAAIdO4kAAAAAAAAAAAAAAAAAEAAAAZHJzL1BLAwQUAAAACACHTuJAaKfto9QAAAAH&#10;AQAADwAAAGRycy9kb3ducmV2LnhtbE2PQU/DMAyF70j8h8hI3LakE5tKqbsDiCuIMZC4ZY3XVjRO&#10;1WRr+fd4J7hYz3rWe5/L7ex7daYxdoERsqUBRVwH13GDsH9/XuSgYrLsbB+YEH4owra6vipt4cLE&#10;b3TepUZJCMfCIrQpDYXWsW7J27gMA7F4xzB6m2QdG+1GO0m47/XKmI32tmNpaO1Ajy3V37uTR/h4&#10;OX593pnX5smvhynMRrO/14i3N5l5AJVoTn/HcMEXdKiE6RBO7KLqERZZLr8kBJkXe7URcUBY5zno&#10;qtT/+atfUEsDBBQAAAAIAIdO4kALPNtZvQEAAGsDAAAOAAAAZHJzL2Uyb0RvYy54bWytU0tu2zAQ&#10;3RfoHQjua8px4KaC5QCBkW6KtkCaA9DUyCLAXzm0JV+gvUFX3XTfc/kcHVGKm6abLLKhhvN5nPdm&#10;tLrurWEHiKi9q/h8VnAGTvlau13F77/cvrniDJN0tTTeQcWPgPx6/frVqgslXPjWmxoiIxCHZRcq&#10;3qYUSiFQtWAlznwAR8HGRysTXeNO1FF2hG6NuCiKpeh8rEP0ChDJuxmDfEKMzwH0TaMVbLzaW3Bp&#10;RI1gZCJK2OqAfJ27bRpQ6VPTICRmKk5MUz7pEbK3wynWK1nuogytVlML8jktPOFkpXb06BlqI5Nk&#10;+6j/g7JaRY++STPlrRiJZEWIxbx4os1dKwNkLiQ1hrPo+HKw6uPhc2S6rvhyyZmTliZ++vH99PP3&#10;6dc3Rj4SqAtYUt5doMzU3/ie1ubBj+QcePdNtMOXGDGKk7zHs7zQJ6bI+W5+eVlQRFFo8XaxuMry&#10;i7/FIWJ6D96ywah4pOllUeXhAyZqhFIfUoa3nL/VxuQJGvePgxJHD+QVmKoHHmO/g5X6bT+R2/r6&#10;SNw6WoOK49e9jMDZPkS9a6mNzFUMJTSD3MS0L8OQH9/JfvyPrP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aKfto9QAAAAHAQAADwAAAAAAAAABACAAAAAiAAAAZHJzL2Rvd25yZXYueG1sUEsBAhQA&#10;FAAAAAgAh07iQAs821m9AQAAawMAAA4AAAAAAAAAAQAgAAAAIwEAAGRycy9lMm9Eb2MueG1sUEsF&#10;BgAAAAAGAAYAWQEAAFIFAAAAAA==&#10;">
                <v:fill on="f" focussize="0,0"/>
                <v:stroke on="f"/>
                <v:imagedata o:title=""/>
                <o:lock v:ext="edit" aspectratio="f"/>
                <v:textbox>
                  <w:txbxContent>
                    <w:p w14:paraId="55661F2B">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承包人工作</w:t>
                      </w:r>
                    </w:p>
                  </w:txbxContent>
                </v:textbox>
              </v:shape>
            </w:pict>
          </mc:Fallback>
        </mc:AlternateContent>
      </w:r>
      <w:r>
        <w:rPr>
          <w:rFonts w:hint="default" w:ascii="Times New Roman" w:hAnsi="Times New Roman" w:cs="Times New Roman"/>
          <w:color w:val="auto"/>
          <w:sz w:val="22"/>
          <w:szCs w:val="22"/>
          <w:highlight w:val="none"/>
        </w:rPr>
        <w:t>承包人应按照合同约定完成下列工作，包括但不限于：</w:t>
      </w:r>
    </w:p>
    <w:p w14:paraId="070DB63E">
      <w:pPr>
        <w:numPr>
          <w:ilvl w:val="0"/>
          <w:numId w:val="8"/>
        </w:numPr>
        <w:tabs>
          <w:tab w:val="left" w:pos="1980"/>
        </w:tabs>
        <w:spacing w:line="420" w:lineRule="exact"/>
        <w:ind w:left="1619" w:leftChars="771"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按照合同约定和监理工程师的指令实施、完成并保修合同工程；</w:t>
      </w:r>
    </w:p>
    <w:p w14:paraId="766FF5E4">
      <w:pPr>
        <w:numPr>
          <w:ilvl w:val="0"/>
          <w:numId w:val="8"/>
        </w:numPr>
        <w:tabs>
          <w:tab w:val="left" w:pos="1980"/>
        </w:tabs>
        <w:spacing w:line="420" w:lineRule="exact"/>
        <w:ind w:left="1619" w:leftChars="771"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按照合同约定和监理工程师的要求提交工程进度报告和进度计划；</w:t>
      </w:r>
    </w:p>
    <w:p w14:paraId="7EC68076">
      <w:pPr>
        <w:numPr>
          <w:ilvl w:val="0"/>
          <w:numId w:val="8"/>
        </w:numPr>
        <w:tabs>
          <w:tab w:val="left" w:pos="1980"/>
        </w:tabs>
        <w:spacing w:line="420" w:lineRule="exact"/>
        <w:ind w:left="1619" w:leftChars="771"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按照合同约定和造价工程师的要求提交支付申请和工程款报告，包括绿色施工安全防护费、进度款、结算款和调整合同价款等；</w:t>
      </w:r>
    </w:p>
    <w:p w14:paraId="3AE0647D">
      <w:pPr>
        <w:numPr>
          <w:ilvl w:val="0"/>
          <w:numId w:val="8"/>
        </w:numPr>
        <w:tabs>
          <w:tab w:val="left" w:pos="1980"/>
        </w:tabs>
        <w:spacing w:line="420" w:lineRule="exact"/>
        <w:ind w:left="1619" w:leftChars="771"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负责施工场地安全保卫工作，防止因工程施工造成的人身伤害和财产损失，提供和维修非夜间施工使用的照明、围栏设施等安全标志；</w:t>
      </w:r>
    </w:p>
    <w:p w14:paraId="7E621F67">
      <w:pPr>
        <w:numPr>
          <w:ilvl w:val="0"/>
          <w:numId w:val="8"/>
        </w:numPr>
        <w:tabs>
          <w:tab w:val="left" w:pos="1980"/>
        </w:tabs>
        <w:spacing w:line="420" w:lineRule="exact"/>
        <w:ind w:left="1619" w:leftChars="771"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按照专用条款约定的数量和要求，向发包人提供施工场地办公和生活的房屋及设施，并在施工现场保留本合同、约定的标准与规范、变更资料等各一份，供监理工程师、造价工程师需要时使用；</w:t>
      </w:r>
    </w:p>
    <w:p w14:paraId="5950B704">
      <w:pPr>
        <w:numPr>
          <w:ilvl w:val="0"/>
          <w:numId w:val="8"/>
        </w:numPr>
        <w:tabs>
          <w:tab w:val="left" w:pos="1980"/>
        </w:tabs>
        <w:spacing w:line="420" w:lineRule="exact"/>
        <w:ind w:left="1618" w:leftChars="770" w:hanging="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 xml:space="preserve">遵守政府部门有关施工场地交通、环境保护、施工噪声、绿色施工安全防护等的管理规定，办理有关手续，并以书面形式通知发包人，费用按政府有关部门相关文件规定由发（承）包人各自承担； </w:t>
      </w:r>
    </w:p>
    <w:p w14:paraId="557AC164">
      <w:pPr>
        <w:numPr>
          <w:ilvl w:val="0"/>
          <w:numId w:val="8"/>
        </w:numPr>
        <w:tabs>
          <w:tab w:val="left" w:pos="1980"/>
          <w:tab w:val="left" w:pos="2520"/>
        </w:tabs>
        <w:spacing w:line="420" w:lineRule="exact"/>
        <w:ind w:left="1618" w:leftChars="770" w:hanging="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在合同工程或其某单位工程已竣工未移交给发包人之前，负责已完工程的照管工作。工程接收证书颁发时尚有部分未竣工工程的，还应负责该未竣工工程的照管工作，直至竣工后移交给发包人为止。照管期间发生损坏的，应予以修复并承担费用；发包人要求采取特殊保护措施的，由发包人承担相应费用；</w:t>
      </w:r>
    </w:p>
    <w:p w14:paraId="70A5F066">
      <w:pPr>
        <w:numPr>
          <w:ilvl w:val="0"/>
          <w:numId w:val="8"/>
        </w:numPr>
        <w:tabs>
          <w:tab w:val="left" w:pos="1980"/>
          <w:tab w:val="left" w:pos="2520"/>
        </w:tabs>
        <w:spacing w:line="420" w:lineRule="exact"/>
        <w:ind w:left="1619" w:leftChars="771"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做好施工场地地下管线和邻近建筑物、构筑物（包括文物保护建筑）、古树</w:t>
      </w:r>
    </w:p>
    <w:p w14:paraId="79E777C3">
      <w:pPr>
        <w:tabs>
          <w:tab w:val="left" w:pos="1980"/>
          <w:tab w:val="left" w:pos="2520"/>
        </w:tabs>
        <w:spacing w:line="420" w:lineRule="exact"/>
        <w:ind w:left="1138" w:leftChars="542" w:firstLine="440" w:firstLineChars="2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名木的保护工作；</w:t>
      </w:r>
    </w:p>
    <w:p w14:paraId="58DD3721">
      <w:pPr>
        <w:numPr>
          <w:ilvl w:val="0"/>
          <w:numId w:val="8"/>
        </w:numPr>
        <w:tabs>
          <w:tab w:val="left" w:pos="1980"/>
          <w:tab w:val="left" w:pos="2520"/>
        </w:tabs>
        <w:spacing w:line="420" w:lineRule="exact"/>
        <w:ind w:left="1618" w:leftChars="770" w:hanging="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遵守政府部门有关环境卫生的管理规定，保证施工场地的清洁和做好交工前施工现场的清理工作，并承担因自身责任造成的损失和罚款；</w:t>
      </w:r>
    </w:p>
    <w:p w14:paraId="4299A14A">
      <w:pPr>
        <w:numPr>
          <w:ilvl w:val="0"/>
          <w:numId w:val="8"/>
        </w:numPr>
        <w:tabs>
          <w:tab w:val="left" w:pos="1440"/>
          <w:tab w:val="left" w:pos="1980"/>
        </w:tabs>
        <w:spacing w:line="420" w:lineRule="exact"/>
        <w:ind w:left="1619" w:leftChars="771"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工程完工后，应按照合同约定提交竣工验收申请报告和竣工结算文件。</w:t>
      </w:r>
    </w:p>
    <w:p w14:paraId="6AC694F6">
      <w:pPr>
        <w:tabs>
          <w:tab w:val="left" w:pos="4970"/>
        </w:tabs>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20.3   </w:t>
      </w:r>
      <w:r>
        <w:rPr>
          <w:rFonts w:hint="default" w:ascii="Times New Roman" w:hAnsi="Times New Roman" w:cs="Times New Roman"/>
          <w:b/>
          <w:bCs/>
          <w:color w:val="auto"/>
          <w:sz w:val="22"/>
          <w:szCs w:val="22"/>
          <w:highlight w:val="none"/>
          <w:u w:val="dotted"/>
        </w:rPr>
        <w:t xml:space="preserve">                                                                                                       </w:t>
      </w:r>
    </w:p>
    <w:p w14:paraId="525293F9">
      <w:pPr>
        <w:tabs>
          <w:tab w:val="left" w:pos="4970"/>
        </w:tabs>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19680" behindDoc="0" locked="0" layoutInCell="1" allowOverlap="1">
                <wp:simplePos x="0" y="0"/>
                <wp:positionH relativeFrom="column">
                  <wp:posOffset>-114300</wp:posOffset>
                </wp:positionH>
                <wp:positionV relativeFrom="paragraph">
                  <wp:posOffset>0</wp:posOffset>
                </wp:positionV>
                <wp:extent cx="914400" cy="594360"/>
                <wp:effectExtent l="0" t="0" r="0" b="0"/>
                <wp:wrapNone/>
                <wp:docPr id="67" name="文本框 67"/>
                <wp:cNvGraphicFramePr/>
                <a:graphic xmlns:a="http://schemas.openxmlformats.org/drawingml/2006/main">
                  <a:graphicData uri="http://schemas.microsoft.com/office/word/2010/wordprocessingShape">
                    <wps:wsp>
                      <wps:cNvSpPr txBox="1"/>
                      <wps:spPr>
                        <a:xfrm>
                          <a:off x="0" y="0"/>
                          <a:ext cx="914400" cy="594360"/>
                        </a:xfrm>
                        <a:prstGeom prst="rect">
                          <a:avLst/>
                        </a:prstGeom>
                        <a:noFill/>
                        <a:ln>
                          <a:noFill/>
                        </a:ln>
                        <a:effectLst/>
                      </wps:spPr>
                      <wps:txbx>
                        <w:txbxContent>
                          <w:p w14:paraId="02263C67">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承包人实施工作</w:t>
                            </w:r>
                          </w:p>
                        </w:txbxContent>
                      </wps:txbx>
                      <wps:bodyPr wrap="square" upright="1"/>
                    </wps:wsp>
                  </a:graphicData>
                </a:graphic>
              </wp:anchor>
            </w:drawing>
          </mc:Choice>
          <mc:Fallback>
            <w:pict>
              <v:shape id="_x0000_s1026" o:spid="_x0000_s1026" o:spt="202" type="#_x0000_t202" style="position:absolute;left:0pt;margin-left:-9pt;margin-top:0pt;height:46.8pt;width:72pt;z-index:251719680;mso-width-relative:page;mso-height-relative:page;" filled="f" stroked="f" coordsize="21600,21600" o:gfxdata="UEsDBAoAAAAAAIdO4kAAAAAAAAAAAAAAAAAEAAAAZHJzL1BLAwQUAAAACACHTuJASyfpMtUAAAAH&#10;AQAADwAAAGRycy9kb3ducmV2LnhtbE2PT0/DMAzF70h8h8hI3LakA6qt1N0BxBXE+CNxyxqvrWic&#10;qsnW8u3xTnCxnvWs934ut7Pv1YnG2AVGyJYGFHEdXMcNwvvb02INKibLzvaBCeGHImyry4vSFi5M&#10;/EqnXWqUhHAsLEKb0lBoHeuWvI3LMBCLdwijt0nWsdFutJOE+16vjMm1tx1LQ2sHemip/t4dPcLH&#10;8+Hr89a8NI/+bpjCbDT7jUa8vsrMPahEc/o7hjO+oEMlTPtwZBdVj7DI1vJLQpB5tle5iD3C5iYH&#10;XZX6P3/1C1BLAwQUAAAACACHTuJAQraK/7wBAABrAwAADgAAAGRycy9lMm9Eb2MueG1srVPNjtMw&#10;EL4j8Q6W79TpUgobNV0JVcsFAdLCA7jOpLHkPzxuk74AvAEnLtx5rj7HTpxs2Z/LHrg44/n5PN83&#10;k9VVbw07QETtXcXns4IzcMrX2u0q/u3r9at3nGGSrpbGO6j4EZBfrV++WHWhhAvfelNDZATisOxC&#10;xduUQikEqhasxJkP4CjY+GhlomvciTrKjtCtERdFsRSdj3WIXgEieTdjkE+I8TmAvmm0go1Xewsu&#10;jagRjExECVsdkK9zt00DKn1uGoTETMWJaconPUL2djjFeiXLXZSh1WpqQT6nhUecrNSOHj1DbWSS&#10;bB/1EyirVfTomzRT3oqRSFaEWMyLR9rctDJA5kJSYziLjv8PVn06fIlM1xVfvuXMSUsTP/36efr9&#10;9/TnByMfCdQFLCnvJlBm6t/7ntbmzo/kHHj3TbTDlxgxipO8x7O80CemyHk5XywKiigKvblcvF5m&#10;+cW/4hAxfQBv2WBUPNL0sqjy8BETNUKpdynDW85fa2PyBI174KDE0QN5BabqgcfY72ClfttP5La+&#10;PhK3jtag4vh9LyNwtg9R71pqI3MVQwnNIDcx7csw5Pt3su//I+t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SyfpMtUAAAAHAQAADwAAAAAAAAABACAAAAAiAAAAZHJzL2Rvd25yZXYueG1sUEsBAhQA&#10;FAAAAAgAh07iQEK2iv+8AQAAawMAAA4AAAAAAAAAAQAgAAAAJAEAAGRycy9lMm9Eb2MueG1sUEsF&#10;BgAAAAAGAAYAWQEAAFIFAAAAAA==&#10;">
                <v:fill on="f" focussize="0,0"/>
                <v:stroke on="f"/>
                <v:imagedata o:title=""/>
                <o:lock v:ext="edit" aspectratio="f"/>
                <v:textbox>
                  <w:txbxContent>
                    <w:p w14:paraId="02263C67">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承包人实施工作</w:t>
                      </w:r>
                    </w:p>
                  </w:txbxContent>
                </v:textbox>
              </v:shape>
            </w:pict>
          </mc:Fallback>
        </mc:AlternateContent>
      </w:r>
      <w:r>
        <w:rPr>
          <w:rFonts w:hint="default" w:ascii="Times New Roman" w:hAnsi="Times New Roman" w:cs="Times New Roman"/>
          <w:color w:val="auto"/>
          <w:sz w:val="22"/>
          <w:szCs w:val="22"/>
          <w:highlight w:val="none"/>
        </w:rPr>
        <w:t>承包人应按照合同约定和监理工程师指令实施、完成并保修合同工程。除专用条款另有约定外，承包人应提供为完成合同工程所需的劳务、材料、工程设备、施工设备和其他物品。如果承包人不按照合同约定或监理工程师依据合同发出的指令组织施工，且在监理工程师书面要求改正后的7天内仍未采取补救措施的，则发包人可自行或委托第三方进行补救，由此发生的费用和造成的损失由承包人承担。该笔款项经造价工程师核实后，由发包人从应支付或将支付给承包人的工程进度款或结算款中扣除。</w:t>
      </w:r>
    </w:p>
    <w:p w14:paraId="17AF0356">
      <w:pPr>
        <w:tabs>
          <w:tab w:val="left" w:pos="4970"/>
        </w:tabs>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20.4   </w:t>
      </w:r>
      <w:r>
        <w:rPr>
          <w:rFonts w:hint="default" w:ascii="Times New Roman" w:hAnsi="Times New Roman" w:cs="Times New Roman"/>
          <w:b/>
          <w:bCs/>
          <w:color w:val="auto"/>
          <w:sz w:val="22"/>
          <w:szCs w:val="22"/>
          <w:highlight w:val="none"/>
          <w:u w:val="dotted"/>
        </w:rPr>
        <w:t xml:space="preserve">                                                                                                      </w:t>
      </w:r>
    </w:p>
    <w:p w14:paraId="712900A4">
      <w:pPr>
        <w:tabs>
          <w:tab w:val="left" w:pos="4970"/>
        </w:tabs>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20704" behindDoc="0" locked="0" layoutInCell="1" allowOverlap="1">
                <wp:simplePos x="0" y="0"/>
                <wp:positionH relativeFrom="column">
                  <wp:posOffset>-114300</wp:posOffset>
                </wp:positionH>
                <wp:positionV relativeFrom="paragraph">
                  <wp:posOffset>22860</wp:posOffset>
                </wp:positionV>
                <wp:extent cx="914400" cy="1003935"/>
                <wp:effectExtent l="0" t="0" r="0" b="0"/>
                <wp:wrapNone/>
                <wp:docPr id="68" name="文本框 68"/>
                <wp:cNvGraphicFramePr/>
                <a:graphic xmlns:a="http://schemas.openxmlformats.org/drawingml/2006/main">
                  <a:graphicData uri="http://schemas.microsoft.com/office/word/2010/wordprocessingShape">
                    <wps:wsp>
                      <wps:cNvSpPr txBox="1"/>
                      <wps:spPr>
                        <a:xfrm>
                          <a:off x="0" y="0"/>
                          <a:ext cx="914400" cy="1003935"/>
                        </a:xfrm>
                        <a:prstGeom prst="rect">
                          <a:avLst/>
                        </a:prstGeom>
                        <a:noFill/>
                        <a:ln>
                          <a:noFill/>
                        </a:ln>
                        <a:effectLst/>
                      </wps:spPr>
                      <wps:txbx>
                        <w:txbxContent>
                          <w:p w14:paraId="3BD82E57">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承包人实施施工组织设计和工作安排</w:t>
                            </w:r>
                          </w:p>
                        </w:txbxContent>
                      </wps:txbx>
                      <wps:bodyPr wrap="square" upright="1"/>
                    </wps:wsp>
                  </a:graphicData>
                </a:graphic>
              </wp:anchor>
            </w:drawing>
          </mc:Choice>
          <mc:Fallback>
            <w:pict>
              <v:shape id="_x0000_s1026" o:spid="_x0000_s1026" o:spt="202" type="#_x0000_t202" style="position:absolute;left:0pt;margin-left:-9pt;margin-top:1.8pt;height:79.05pt;width:72pt;z-index:251720704;mso-width-relative:page;mso-height-relative:page;" filled="f" stroked="f" coordsize="21600,21600" o:gfxdata="UEsDBAoAAAAAAIdO4kAAAAAAAAAAAAAAAAAEAAAAZHJzL1BLAwQUAAAACACHTuJAmr+BCdYAAAAJ&#10;AQAADwAAAGRycy9kb3ducmV2LnhtbE2PzU7DMBCE70i8g7VI3Np1CoQS4vQA4gqi/Ejc3HibRMTr&#10;KHab8PZsT3Db0Yxmvyk3s+/VkcbYBTaQLTUo4jq4jhsD729PizWomCw72wcmAz8UYVOdn5W2cGHi&#10;VzpuU6OkhGNhDbQpDQVirFvyNi7DQCzePozeJpFjg260k5T7Hlda5+htx/KhtQM9tFR/bw/ewMfz&#10;/uvzWr80j/5mmMKskf0dGnN5kel7UInm9BeGE76gQyVMu3BgF1VvYJGtZUsycJWDOvmrXPROjjy7&#10;BaxK/L+g+gVQSwMEFAAAAAgAh07iQBHp8vC9AQAAbAMAAA4AAABkcnMvZTJvRG9jLnhtbK1TS27b&#10;MBDdF8gdCO5jykkaNILlAIWRbIK2QJoD0NTIIiB+yqEt+QLtDbrqpvuey+fokFLcNNlkkQ01nM/j&#10;vDejxfVgOraDgNrZis9nBWdglau13VT84evN6QfOMEpby85ZqPgekF8vT94tel/CmWtdV0NgBGKx&#10;7H3F2xh9KQSqFozEmfNgKdi4YGSka9iIOsie0E0nzoriUvQu1D44BYjkXY1BPiGG1wC6ptEKVk5t&#10;Ddg4ogboZCRK2GqPfJm7bRpQ8XPTIETWVZyYxnzSI2Sv0ymWC1lugvStVlML8jUtPONkpLb06BFq&#10;JaNk26BfQBmtgkPXxJlyRoxEsiLEYl480+a+lR4yF5Ia/VF0fDtY9Wn3JTBdV/yS5m6loYkffv44&#10;/Ppz+P2dkY8E6j2WlHfvKTMOH91Aa/PoR3Im3kMTTPoSI0Zxknd/lBeGyBQ5r+YXFwVFFIXmRXF+&#10;df4+wYh/1T5gvAVnWDIqHmh8WVW5u8M4pj6mpMesu9Fdl0fY2f8chDl6IO/AVJ2IjA0nKw7rYWK3&#10;dvWeyPW0BxXHb1sZgLOtD3rTUhuZrEglNITc77QwacpP72Q//UmWf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av4EJ1gAAAAkBAAAPAAAAAAAAAAEAIAAAACIAAABkcnMvZG93bnJldi54bWxQSwEC&#10;FAAUAAAACACHTuJAEeny8L0BAABsAwAADgAAAAAAAAABACAAAAAlAQAAZHJzL2Uyb0RvYy54bWxQ&#10;SwUGAAAAAAYABgBZAQAAVAUAAAAA&#10;">
                <v:fill on="f" focussize="0,0"/>
                <v:stroke on="f"/>
                <v:imagedata o:title=""/>
                <o:lock v:ext="edit" aspectratio="f"/>
                <v:textbox>
                  <w:txbxContent>
                    <w:p w14:paraId="3BD82E57">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承包人实施施工组织设计和工作安排</w:t>
                      </w:r>
                    </w:p>
                  </w:txbxContent>
                </v:textbox>
              </v:shape>
            </w:pict>
          </mc:Fallback>
        </mc:AlternateContent>
      </w:r>
      <w:r>
        <w:rPr>
          <w:rFonts w:hint="default" w:ascii="Times New Roman" w:hAnsi="Times New Roman" w:cs="Times New Roman"/>
          <w:color w:val="auto"/>
          <w:sz w:val="22"/>
          <w:szCs w:val="22"/>
          <w:highlight w:val="none"/>
        </w:rPr>
        <w:t>承包人对所有现场作业和施工方法的完备性、稳定性和安全性负责，并应按照合同约定的工作内容和施工进度要求，向监理工程师提交合同工程拟采用的施工组织设计和工作安排的详细说明。如承包人对施工组织设计和工作安排作出重大修改，应事先征得监理工程师同意。</w:t>
      </w:r>
    </w:p>
    <w:p w14:paraId="209E3854">
      <w:pPr>
        <w:tabs>
          <w:tab w:val="left" w:pos="4970"/>
        </w:tabs>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 xml:space="preserve">20.5 </w:t>
      </w:r>
      <w:r>
        <w:rPr>
          <w:rFonts w:hint="default" w:ascii="Times New Roman" w:hAnsi="Times New Roman" w:cs="Times New Roman"/>
          <w:color w:val="auto"/>
          <w:sz w:val="22"/>
          <w:szCs w:val="22"/>
          <w:highlight w:val="none"/>
        </w:rPr>
        <w:t xml:space="preserve"> </w:t>
      </w:r>
      <w:r>
        <w:rPr>
          <w:rFonts w:hint="default" w:ascii="Times New Roman" w:hAnsi="Times New Roman" w:cs="Times New Roman"/>
          <w:color w:val="auto"/>
          <w:sz w:val="22"/>
          <w:szCs w:val="22"/>
          <w:highlight w:val="none"/>
          <w:u w:val="dotted"/>
        </w:rPr>
        <w:t xml:space="preserve">                                                                                                        </w:t>
      </w:r>
    </w:p>
    <w:p w14:paraId="4B9AB68D">
      <w:pPr>
        <w:pStyle w:val="22"/>
        <w:tabs>
          <w:tab w:val="left" w:pos="4970"/>
        </w:tabs>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21728" behindDoc="0" locked="0" layoutInCell="1" allowOverlap="1">
                <wp:simplePos x="0" y="0"/>
                <wp:positionH relativeFrom="column">
                  <wp:posOffset>-114300</wp:posOffset>
                </wp:positionH>
                <wp:positionV relativeFrom="paragraph">
                  <wp:posOffset>15240</wp:posOffset>
                </wp:positionV>
                <wp:extent cx="914400" cy="657860"/>
                <wp:effectExtent l="0" t="0" r="0" b="0"/>
                <wp:wrapNone/>
                <wp:docPr id="69" name="文本框 69"/>
                <wp:cNvGraphicFramePr/>
                <a:graphic xmlns:a="http://schemas.openxmlformats.org/drawingml/2006/main">
                  <a:graphicData uri="http://schemas.microsoft.com/office/word/2010/wordprocessingShape">
                    <wps:wsp>
                      <wps:cNvSpPr txBox="1"/>
                      <wps:spPr>
                        <a:xfrm>
                          <a:off x="0" y="0"/>
                          <a:ext cx="914400" cy="657860"/>
                        </a:xfrm>
                        <a:prstGeom prst="rect">
                          <a:avLst/>
                        </a:prstGeom>
                        <a:noFill/>
                        <a:ln>
                          <a:noFill/>
                        </a:ln>
                        <a:effectLst/>
                      </wps:spPr>
                      <wps:txbx>
                        <w:txbxContent>
                          <w:p w14:paraId="2B4D39E4">
                            <w:pPr>
                              <w:spacing w:line="240" w:lineRule="exact"/>
                              <w:rPr>
                                <w:rFonts w:ascii="楷体_GB2312" w:hAnsi="宋体" w:eastAsia="楷体_GB2312" w:cs="Times New Roman"/>
                                <w:sz w:val="18"/>
                                <w:szCs w:val="18"/>
                              </w:rPr>
                            </w:pPr>
                            <w:r>
                              <w:rPr>
                                <w:rFonts w:hint="eastAsia" w:ascii="楷体_GB2312" w:eastAsia="楷体_GB2312" w:cs="楷体_GB2312"/>
                                <w:b/>
                                <w:bCs/>
                                <w:color w:val="000000"/>
                                <w:sz w:val="18"/>
                                <w:szCs w:val="18"/>
                              </w:rPr>
                              <w:t>承包人为发包人的人员提供配合</w:t>
                            </w:r>
                          </w:p>
                        </w:txbxContent>
                      </wps:txbx>
                      <wps:bodyPr wrap="square" upright="1"/>
                    </wps:wsp>
                  </a:graphicData>
                </a:graphic>
              </wp:anchor>
            </w:drawing>
          </mc:Choice>
          <mc:Fallback>
            <w:pict>
              <v:shape id="_x0000_s1026" o:spid="_x0000_s1026" o:spt="202" type="#_x0000_t202" style="position:absolute;left:0pt;margin-left:-9pt;margin-top:1.2pt;height:51.8pt;width:72pt;z-index:251721728;mso-width-relative:page;mso-height-relative:page;" filled="f" stroked="f" coordsize="21600,21600" o:gfxdata="UEsDBAoAAAAAAIdO4kAAAAAAAAAAAAAAAAAEAAAAZHJzL1BLAwQUAAAACACHTuJAGULfA9QAAAAJ&#10;AQAADwAAAGRycy9kb3ducmV2LnhtbE2PwU7DMBBE70j8g7VI3Np1olKVEKcHEFcQpSBxc+NtEhGv&#10;o9htwt+zPcFtRrOafVNuZ9+rM42xC2wgW2pQxHVwHTcG9u/Piw2omCw72wcmAz8UYVtdX5W2cGHi&#10;NzrvUqOkhGNhDbQpDQVirFvyNi7DQCzZMYzeJrFjg260k5T7HnOt1+htx/KhtQM9tlR/707ewMfL&#10;8etzpV+bJ383TGHWyP4ejbm9yfQDqERz+juGC76gQyVMh3BiF1VvYJFtZEsykK9AXfJ8Lf4gQovA&#10;qsT/C6pfUEsDBBQAAAAIAIdO4kBjKPqMvQEAAGsDAAAOAAAAZHJzL2Uyb0RvYy54bWytU0tu2zAQ&#10;3RfoHQjua8pB4iaC5QCFkWyKtkCaA9DU0CIgfsqhLfkC7Q266qb7nsvn6IhSnE83WXRDDefzOO/N&#10;aHnd25btIaLxruLzWcEZOOVr47YVv/968+6SM0zS1bL1Dip+AOTXq7dvll0o4cw3vq0hMgJxWHah&#10;4k1KoRQCVQNW4swHcBTUPlqZ6Bq3oo6yI3TbirOiWIjOxzpErwCRvOsxyCfE+BpAr7VRsPZqZ8Gl&#10;ETVCKxNRwsYE5Kvcrdag0metERJrK05MUz7pEbI3wylWS1luowyNUVML8jUtvOBkpXH06AlqLZNk&#10;u2j+gbJGRY9ep5nyVoxEsiLEYl680OaukQEyF5Iaw0l0/H+w6tP+S2SmrvjiijMnLU38+PPH8def&#10;4+/vjHwkUBewpLy7QJmp/+B7WpsHP5Jz4N3raIcvMWIUJ3kPJ3mhT0yR82p+fl5QRFFocfH+cpHl&#10;F4/FIWK6BW/ZYFQ80vSyqHL/ERM1QqkPKcNbzt+Yts0TbN0zByWOHsgrMFUPPMZ+Byv1m34it/H1&#10;gbh1tAYVx287GYGzXYhm21AbmasYSmgGuYlpX4YhP72T/fQfWf0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GULfA9QAAAAJAQAADwAAAAAAAAABACAAAAAiAAAAZHJzL2Rvd25yZXYueG1sUEsBAhQA&#10;FAAAAAgAh07iQGMo+oy9AQAAawMAAA4AAAAAAAAAAQAgAAAAIwEAAGRycy9lMm9Eb2MueG1sUEsF&#10;BgAAAAAGAAYAWQEAAFIFAAAAAA==&#10;">
                <v:fill on="f" focussize="0,0"/>
                <v:stroke on="f"/>
                <v:imagedata o:title=""/>
                <o:lock v:ext="edit" aspectratio="f"/>
                <v:textbox>
                  <w:txbxContent>
                    <w:p w14:paraId="2B4D39E4">
                      <w:pPr>
                        <w:spacing w:line="240" w:lineRule="exact"/>
                        <w:rPr>
                          <w:rFonts w:ascii="楷体_GB2312" w:hAnsi="宋体" w:eastAsia="楷体_GB2312" w:cs="Times New Roman"/>
                          <w:sz w:val="18"/>
                          <w:szCs w:val="18"/>
                        </w:rPr>
                      </w:pPr>
                      <w:r>
                        <w:rPr>
                          <w:rFonts w:hint="eastAsia" w:ascii="楷体_GB2312" w:eastAsia="楷体_GB2312" w:cs="楷体_GB2312"/>
                          <w:b/>
                          <w:bCs/>
                          <w:color w:val="000000"/>
                          <w:sz w:val="18"/>
                          <w:szCs w:val="18"/>
                        </w:rPr>
                        <w:t>承包人为发包人的人员提供配合</w:t>
                      </w:r>
                    </w:p>
                  </w:txbxContent>
                </v:textbox>
              </v:shape>
            </w:pict>
          </mc:Fallback>
        </mc:AlternateContent>
      </w:r>
      <w:r>
        <w:rPr>
          <w:rFonts w:hint="default" w:ascii="Times New Roman" w:hAnsi="Times New Roman" w:cs="Times New Roman"/>
          <w:color w:val="auto"/>
          <w:sz w:val="22"/>
          <w:szCs w:val="22"/>
          <w:highlight w:val="none"/>
        </w:rPr>
        <w:t>承包人应按照合同约定或监理工程师的指令，配合和协助下述人员在施工场地及其附近实施与合同工程有关的各项工作：</w:t>
      </w:r>
    </w:p>
    <w:p w14:paraId="27A792AE">
      <w:pPr>
        <w:tabs>
          <w:tab w:val="left" w:pos="1980"/>
          <w:tab w:val="left" w:pos="4970"/>
        </w:tabs>
        <w:spacing w:line="420" w:lineRule="exact"/>
        <w:ind w:left="1619"/>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（1）发包人的工作人员；</w:t>
      </w:r>
    </w:p>
    <w:p w14:paraId="220FA59B">
      <w:pPr>
        <w:tabs>
          <w:tab w:val="left" w:pos="1980"/>
          <w:tab w:val="left" w:pos="4970"/>
        </w:tabs>
        <w:spacing w:line="420" w:lineRule="exact"/>
        <w:ind w:left="1619"/>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（2）发包人的雇员；</w:t>
      </w:r>
    </w:p>
    <w:p w14:paraId="46760FFE">
      <w:pPr>
        <w:tabs>
          <w:tab w:val="left" w:pos="1980"/>
          <w:tab w:val="left" w:pos="4970"/>
        </w:tabs>
        <w:spacing w:line="420" w:lineRule="exact"/>
        <w:ind w:left="1619"/>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（3）任何监督管理机构的执法人员。</w:t>
      </w:r>
    </w:p>
    <w:p w14:paraId="5ABA03F9">
      <w:pPr>
        <w:pStyle w:val="17"/>
        <w:tabs>
          <w:tab w:val="left" w:pos="2520"/>
        </w:tabs>
        <w:spacing w:line="420" w:lineRule="exact"/>
        <w:ind w:left="1619" w:leftChars="771" w:firstLine="0" w:firstLineChars="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此类指令若增加了承包人的工作或支出，包括使用了承包人的设备、临时工程或通行道路等，则视为工程变更，按照第72条规定调整合同价款。</w:t>
      </w:r>
    </w:p>
    <w:p w14:paraId="2792BA00">
      <w:pPr>
        <w:tabs>
          <w:tab w:val="left" w:pos="4970"/>
        </w:tabs>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20.6  </w:t>
      </w:r>
      <w:r>
        <w:rPr>
          <w:rFonts w:hint="default" w:ascii="Times New Roman" w:hAnsi="Times New Roman" w:cs="Times New Roman"/>
          <w:b/>
          <w:bCs/>
          <w:color w:val="auto"/>
          <w:sz w:val="22"/>
          <w:szCs w:val="22"/>
          <w:highlight w:val="none"/>
          <w:u w:val="dotted"/>
        </w:rPr>
        <w:t xml:space="preserve">                                                                                                        </w:t>
      </w:r>
    </w:p>
    <w:p w14:paraId="42A57197">
      <w:pPr>
        <w:tabs>
          <w:tab w:val="left" w:pos="4970"/>
        </w:tabs>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22752" behindDoc="0" locked="0" layoutInCell="1" allowOverlap="1">
                <wp:simplePos x="0" y="0"/>
                <wp:positionH relativeFrom="column">
                  <wp:posOffset>-114300</wp:posOffset>
                </wp:positionH>
                <wp:positionV relativeFrom="paragraph">
                  <wp:posOffset>0</wp:posOffset>
                </wp:positionV>
                <wp:extent cx="914400" cy="792480"/>
                <wp:effectExtent l="0" t="0" r="0" b="0"/>
                <wp:wrapNone/>
                <wp:docPr id="75" name="文本框 75"/>
                <wp:cNvGraphicFramePr/>
                <a:graphic xmlns:a="http://schemas.openxmlformats.org/drawingml/2006/main">
                  <a:graphicData uri="http://schemas.microsoft.com/office/word/2010/wordprocessingShape">
                    <wps:wsp>
                      <wps:cNvSpPr txBox="1"/>
                      <wps:spPr>
                        <a:xfrm>
                          <a:off x="0" y="0"/>
                          <a:ext cx="914400" cy="792480"/>
                        </a:xfrm>
                        <a:prstGeom prst="rect">
                          <a:avLst/>
                        </a:prstGeom>
                        <a:noFill/>
                        <a:ln>
                          <a:noFill/>
                        </a:ln>
                        <a:effectLst/>
                      </wps:spPr>
                      <wps:txbx>
                        <w:txbxContent>
                          <w:p w14:paraId="64CB1FFA">
                            <w:pPr>
                              <w:rPr>
                                <w:rFonts w:ascii="楷体_GB2312" w:hAnsi="宋体" w:eastAsia="楷体_GB2312" w:cs="Times New Roman"/>
                                <w:sz w:val="18"/>
                                <w:szCs w:val="18"/>
                              </w:rPr>
                            </w:pPr>
                            <w:r>
                              <w:rPr>
                                <w:rFonts w:hint="eastAsia" w:ascii="楷体_GB2312" w:hAnsi="宋体" w:eastAsia="楷体_GB2312" w:cs="楷体_GB2312"/>
                                <w:b/>
                                <w:bCs/>
                                <w:color w:val="000000"/>
                                <w:sz w:val="18"/>
                                <w:szCs w:val="18"/>
                              </w:rPr>
                              <w:t>承包人避免施工损害他人利益</w:t>
                            </w:r>
                          </w:p>
                        </w:txbxContent>
                      </wps:txbx>
                      <wps:bodyPr wrap="square" upright="1"/>
                    </wps:wsp>
                  </a:graphicData>
                </a:graphic>
              </wp:anchor>
            </w:drawing>
          </mc:Choice>
          <mc:Fallback>
            <w:pict>
              <v:shape id="_x0000_s1026" o:spid="_x0000_s1026" o:spt="202" type="#_x0000_t202" style="position:absolute;left:0pt;margin-left:-9pt;margin-top:0pt;height:62.4pt;width:72pt;z-index:251722752;mso-width-relative:page;mso-height-relative:page;" filled="f" stroked="f" coordsize="21600,21600" o:gfxdata="UEsDBAoAAAAAAIdO4kAAAAAAAAAAAAAAAAAEAAAAZHJzL1BLAwQUAAAACACHTuJAKk2VHNUAAAAI&#10;AQAADwAAAGRycy9kb3ducmV2LnhtbE2PQW/CMAyF75P2HyJP2g2SIoa60pQDaNdNY4C0W2hMW9E4&#10;VRNo9+/nnraL9axnPX8v34yuFXfsQ+NJQzJXIJBKbxuqNBy+3mYpiBANWdN6Qg0/GGBTPD7kJrN+&#10;oE+872MlOIRCZjTUMXaZlKGs0Zkw9x0SexffOxN57StpezNwuGvlQqmVdKYh/lCbDrc1ltf9zWk4&#10;vl++T0v1Ue3cSzf4UUlyr1Lr56dErUFEHOPfMUz4jA4FM539jWwQrYZZknKXqIHnZC9WLM6TWKYg&#10;i1z+L1D8AlBLAwQUAAAACACHTuJAvru+Qb0BAABrAwAADgAAAGRycy9lMm9Eb2MueG1srVNLbtsw&#10;EN0X6B0I7mvJhtskguUAhZFuirZAmgPQ1NAiwF85tCVfoL1BV91033P5HB1RipsmmyyyoYbzeZz3&#10;ZrS67q1hB4iovav5fFZyBk76Rrtdze++3ry55AyTcI0w3kHNj4D8ev361aoLFSx8600DkRGIw6oL&#10;NW9TClVRoGzBCpz5AI6CykcrEl3jrmii6AjdmmJRlu+KzscmRC8BkbybMcgnxPgcQK+UlrDxcm/B&#10;pRE1ghGJKGGrA/J17lYpkOmzUgiJmZoT05RPeoTs7XAW65WodlGEVsupBfGcFh5xskI7evQMtRFJ&#10;sH3UT6CsltGjV2kmvS1GIlkRYjEvH2lz24oAmQtJjeEsOr4crPx0+BKZbmp+8ZYzJyxN/PTzx+nX&#10;n9Pv74x8JFAXsKK820CZqX/ve1qbez+Sc+Ddq2iHLzFiFCd5j2d5oU9MkvNqvlyWFJEUurhaLC+z&#10;/MW/4hAxfQBv2WDUPNL0sqji8BETNUKp9ynDW87faGPyBI37z0GJowfyCkzVA4+x38FK/bafyG19&#10;cyRuHa1BzfHbXkTgbB+i3rXURuZaDCU0g9zEtC/DkB/eyX74j6z/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CpNlRzVAAAACAEAAA8AAAAAAAAAAQAgAAAAIgAAAGRycy9kb3ducmV2LnhtbFBLAQIU&#10;ABQAAAAIAIdO4kC+u75BvQEAAGsDAAAOAAAAAAAAAAEAIAAAACQBAABkcnMvZTJvRG9jLnhtbFBL&#10;BQYAAAAABgAGAFkBAABTBQAAAAA=&#10;">
                <v:fill on="f" focussize="0,0"/>
                <v:stroke on="f"/>
                <v:imagedata o:title=""/>
                <o:lock v:ext="edit" aspectratio="f"/>
                <v:textbox>
                  <w:txbxContent>
                    <w:p w14:paraId="64CB1FFA">
                      <w:pPr>
                        <w:rPr>
                          <w:rFonts w:ascii="楷体_GB2312" w:hAnsi="宋体" w:eastAsia="楷体_GB2312" w:cs="Times New Roman"/>
                          <w:sz w:val="18"/>
                          <w:szCs w:val="18"/>
                        </w:rPr>
                      </w:pPr>
                      <w:r>
                        <w:rPr>
                          <w:rFonts w:hint="eastAsia" w:ascii="楷体_GB2312" w:hAnsi="宋体" w:eastAsia="楷体_GB2312" w:cs="楷体_GB2312"/>
                          <w:b/>
                          <w:bCs/>
                          <w:color w:val="000000"/>
                          <w:sz w:val="18"/>
                          <w:szCs w:val="18"/>
                        </w:rPr>
                        <w:t>承包人避免施工损害他人利益</w:t>
                      </w:r>
                    </w:p>
                  </w:txbxContent>
                </v:textbox>
              </v:shape>
            </w:pict>
          </mc:Fallback>
        </mc:AlternateContent>
      </w:r>
      <w:r>
        <w:rPr>
          <w:rFonts w:hint="default" w:ascii="Times New Roman" w:hAnsi="Times New Roman" w:cs="Times New Roman"/>
          <w:color w:val="auto"/>
          <w:sz w:val="22"/>
          <w:szCs w:val="22"/>
          <w:highlight w:val="none"/>
        </w:rPr>
        <w:t>承包人在施工过程中，不得侵害发包人与他人使用公用道路、水源、市政管网等公共设施的权利，避免对邻近的公共设施产生干扰。承包人占用或使用他人的施工场地，影响他人作业或生活的，应承担相应责任。</w:t>
      </w:r>
    </w:p>
    <w:p w14:paraId="374384C3">
      <w:pPr>
        <w:tabs>
          <w:tab w:val="left" w:pos="4970"/>
        </w:tabs>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20.7  </w:t>
      </w:r>
      <w:r>
        <w:rPr>
          <w:rFonts w:hint="default" w:ascii="Times New Roman" w:hAnsi="Times New Roman" w:cs="Times New Roman"/>
          <w:b/>
          <w:bCs/>
          <w:color w:val="auto"/>
          <w:sz w:val="22"/>
          <w:szCs w:val="22"/>
          <w:highlight w:val="none"/>
          <w:u w:val="dotted"/>
        </w:rPr>
        <w:t xml:space="preserve">                                                                                                        </w:t>
      </w:r>
    </w:p>
    <w:p w14:paraId="28BA493F">
      <w:pPr>
        <w:tabs>
          <w:tab w:val="left" w:pos="4970"/>
        </w:tabs>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23776" behindDoc="0" locked="0" layoutInCell="1" allowOverlap="1">
                <wp:simplePos x="0" y="0"/>
                <wp:positionH relativeFrom="column">
                  <wp:posOffset>-114300</wp:posOffset>
                </wp:positionH>
                <wp:positionV relativeFrom="paragraph">
                  <wp:posOffset>0</wp:posOffset>
                </wp:positionV>
                <wp:extent cx="914400" cy="495300"/>
                <wp:effectExtent l="0" t="0" r="0" b="0"/>
                <wp:wrapNone/>
                <wp:docPr id="70" name="文本框 70"/>
                <wp:cNvGraphicFramePr/>
                <a:graphic xmlns:a="http://schemas.openxmlformats.org/drawingml/2006/main">
                  <a:graphicData uri="http://schemas.microsoft.com/office/word/2010/wordprocessingShape">
                    <wps:wsp>
                      <wps:cNvSpPr txBox="1"/>
                      <wps:spPr>
                        <a:xfrm>
                          <a:off x="0" y="0"/>
                          <a:ext cx="914400" cy="495300"/>
                        </a:xfrm>
                        <a:prstGeom prst="rect">
                          <a:avLst/>
                        </a:prstGeom>
                        <a:noFill/>
                        <a:ln>
                          <a:noFill/>
                        </a:ln>
                        <a:effectLst/>
                      </wps:spPr>
                      <wps:txbx>
                        <w:txbxContent>
                          <w:p w14:paraId="448650FF">
                            <w:pPr>
                              <w:rPr>
                                <w:rFonts w:ascii="楷体_GB2312" w:hAnsi="宋体" w:eastAsia="楷体_GB2312" w:cs="Times New Roman"/>
                                <w:sz w:val="18"/>
                                <w:szCs w:val="18"/>
                              </w:rPr>
                            </w:pPr>
                            <w:r>
                              <w:rPr>
                                <w:rFonts w:hint="eastAsia" w:ascii="楷体_GB2312" w:hAnsi="宋体" w:eastAsia="楷体_GB2312" w:cs="楷体_GB2312"/>
                                <w:b/>
                                <w:bCs/>
                                <w:color w:val="000000"/>
                                <w:sz w:val="18"/>
                                <w:szCs w:val="18"/>
                              </w:rPr>
                              <w:t>承包人未尽义务的责任</w:t>
                            </w:r>
                          </w:p>
                        </w:txbxContent>
                      </wps:txbx>
                      <wps:bodyPr wrap="square" upright="1"/>
                    </wps:wsp>
                  </a:graphicData>
                </a:graphic>
              </wp:anchor>
            </w:drawing>
          </mc:Choice>
          <mc:Fallback>
            <w:pict>
              <v:shape id="_x0000_s1026" o:spid="_x0000_s1026" o:spt="202" type="#_x0000_t202" style="position:absolute;left:0pt;margin-left:-9pt;margin-top:0pt;height:39pt;width:72pt;z-index:251723776;mso-width-relative:page;mso-height-relative:page;" filled="f" stroked="f" coordsize="21600,21600" o:gfxdata="UEsDBAoAAAAAAIdO4kAAAAAAAAAAAAAAAAAEAAAAZHJzL1BLAwQUAAAACACHTuJAkLuITtQAAAAH&#10;AQAADwAAAGRycy9kb3ducmV2LnhtbE2PQU/DMAyF70j8h8hI3LakE4yt1N0BxBXEBki7ZY3XVjRO&#10;1WRr+fd4J7hYtp/13udiM/lOnWmIbWCEbG5AEVfBtVwjfOxeZitQMVl2tgtMCD8UYVNeXxU2d2Hk&#10;dzpvU63EhGNuEZqU+lzrWDXkbZyHnli0Yxi8TTIOtXaDHcXcd3phzFJ727IkNLanp4aq7+3JI3y+&#10;Hvdfd+atfvb3/Rgmo9mvNeLtTWYeQSWa0t8xXPAFHUphOoQTu6g6hFm2kl8SgtSLvFhKc0B4kLUu&#10;C/2fv/wFUEsDBBQAAAAIAIdO4kCIOZ1buwEAAGsDAAAOAAAAZHJzL2Uyb0RvYy54bWytU0tu2zAQ&#10;3RfoHQjua8qp2yaC5QCFkWyKtkCaA9DU0CIgfsKhLfkC7Q266qb7nsvn6IhS3DTZZJENNZzP47w3&#10;o+Vlb1u2h4jGu4rPZwVn4JSvjdtW/Pbb1ZtzzjBJV8vWO6j4AZBfrl6/WnahhDPf+LaGyAjEYdmF&#10;ijcphVIIVA1YiTMfwFFQ+2hlomvcijrKjtBtK86K4r3ofKxD9AoQybseg3xCjM8B9FobBWuvdhZc&#10;GlEjtDIRJWxMQL7K3WoNKn3RGiGxtuLENOWTHiF7M5xitZTlNsrQGDW1IJ/TwiNOVhpHj56g1jJJ&#10;tovmCZQ1Knr0Os2Ut2IkkhUhFvPikTY3jQyQuZDUGE6i48vBqs/7r5GZuuIfSBInLU38+PPH8def&#10;4+/vjHwkUBewpLybQJmp/+h7Wpt7P5Jz4N3raIcvMWIUJ6zDSV7oE1PkvJgvFgVFFIUWF+/ekk3o&#10;4l9xiJiuwVs2GBWPNL0sqtx/wjSm3qcMbzl/Zdo2T7B1/zkIc/RAXoGpeuAx9jtYqd/0E7mNrw/E&#10;raM1qDje7WQEznYhmm1DbWSuYiihGeR+p30ZhvzwTvbDf2T1F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JC7iE7UAAAABwEAAA8AAAAAAAAAAQAgAAAAIgAAAGRycy9kb3ducmV2LnhtbFBLAQIUABQA&#10;AAAIAIdO4kCIOZ1buwEAAGsDAAAOAAAAAAAAAAEAIAAAACMBAABkcnMvZTJvRG9jLnhtbFBLBQYA&#10;AAAABgAGAFkBAABQBQAAAAA=&#10;">
                <v:fill on="f" focussize="0,0"/>
                <v:stroke on="f"/>
                <v:imagedata o:title=""/>
                <o:lock v:ext="edit" aspectratio="f"/>
                <v:textbox>
                  <w:txbxContent>
                    <w:p w14:paraId="448650FF">
                      <w:pPr>
                        <w:rPr>
                          <w:rFonts w:ascii="楷体_GB2312" w:hAnsi="宋体" w:eastAsia="楷体_GB2312" w:cs="Times New Roman"/>
                          <w:sz w:val="18"/>
                          <w:szCs w:val="18"/>
                        </w:rPr>
                      </w:pPr>
                      <w:r>
                        <w:rPr>
                          <w:rFonts w:hint="eastAsia" w:ascii="楷体_GB2312" w:hAnsi="宋体" w:eastAsia="楷体_GB2312" w:cs="楷体_GB2312"/>
                          <w:b/>
                          <w:bCs/>
                          <w:color w:val="000000"/>
                          <w:sz w:val="18"/>
                          <w:szCs w:val="18"/>
                        </w:rPr>
                        <w:t>承包人未尽义务的责任</w:t>
                      </w:r>
                    </w:p>
                  </w:txbxContent>
                </v:textbox>
              </v:shape>
            </w:pict>
          </mc:Fallback>
        </mc:AlternateContent>
      </w:r>
      <w:r>
        <w:rPr>
          <w:rFonts w:hint="default" w:ascii="Times New Roman" w:hAnsi="Times New Roman" w:cs="Times New Roman"/>
          <w:color w:val="auto"/>
          <w:sz w:val="22"/>
          <w:szCs w:val="22"/>
          <w:highlight w:val="none"/>
        </w:rPr>
        <w:t>承包人未能正确完成本合同约定的全部义务，导致费用的增加和（或）延误的工期，由承包人承担；给发包人造成损失的，承包人应予赔偿。</w:t>
      </w:r>
    </w:p>
    <w:p w14:paraId="41CD81A6">
      <w:pPr>
        <w:pStyle w:val="15"/>
        <w:adjustRightInd w:val="0"/>
        <w:snapToGrid w:val="0"/>
        <w:spacing w:line="420" w:lineRule="exact"/>
        <w:ind w:right="-238"/>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0AE24BAE">
      <w:pPr>
        <w:pStyle w:val="15"/>
        <w:adjustRightInd w:val="0"/>
        <w:snapToGrid w:val="0"/>
        <w:spacing w:before="240" w:beforeLines="100" w:line="420" w:lineRule="exact"/>
        <w:outlineLvl w:val="2"/>
        <w:rPr>
          <w:rFonts w:hint="default" w:ascii="Times New Roman" w:hAnsi="Times New Roman" w:cs="Times New Roman"/>
          <w:b/>
          <w:bCs/>
          <w:color w:val="auto"/>
          <w:sz w:val="22"/>
          <w:szCs w:val="22"/>
          <w:highlight w:val="none"/>
        </w:rPr>
      </w:pPr>
      <w:bookmarkStart w:id="129" w:name="_Toc469384001"/>
      <w:bookmarkStart w:id="130" w:name="_Toc2947"/>
      <w:r>
        <w:rPr>
          <w:rFonts w:hint="default" w:ascii="Times New Roman" w:hAnsi="Times New Roman" w:cs="Times New Roman"/>
          <w:b/>
          <w:bCs/>
          <w:color w:val="auto"/>
          <w:sz w:val="22"/>
          <w:szCs w:val="22"/>
          <w:highlight w:val="none"/>
        </w:rPr>
        <w:t>21  现场管理人员任命和更换</w:t>
      </w:r>
      <w:bookmarkEnd w:id="129"/>
      <w:bookmarkEnd w:id="130"/>
    </w:p>
    <w:p w14:paraId="10B1DDF4">
      <w:pPr>
        <w:pStyle w:val="15"/>
        <w:tabs>
          <w:tab w:val="left" w:pos="1320"/>
        </w:tabs>
        <w:adjustRightInd w:val="0"/>
        <w:snapToGrid w:val="0"/>
        <w:spacing w:line="420" w:lineRule="exact"/>
        <w:ind w:right="-240"/>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21.1</w:t>
      </w:r>
    </w:p>
    <w:p w14:paraId="0AB3209F">
      <w:pPr>
        <w:pStyle w:val="15"/>
        <w:adjustRightInd w:val="0"/>
        <w:snapToGrid w:val="0"/>
        <w:spacing w:line="420" w:lineRule="exact"/>
        <w:ind w:left="1619" w:leftChars="771" w:firstLine="2"/>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24800" behindDoc="0" locked="0" layoutInCell="1" allowOverlap="1">
                <wp:simplePos x="0" y="0"/>
                <wp:positionH relativeFrom="column">
                  <wp:posOffset>-114300</wp:posOffset>
                </wp:positionH>
                <wp:positionV relativeFrom="paragraph">
                  <wp:posOffset>7620</wp:posOffset>
                </wp:positionV>
                <wp:extent cx="914400" cy="602615"/>
                <wp:effectExtent l="0" t="0" r="0" b="0"/>
                <wp:wrapNone/>
                <wp:docPr id="71" name="文本框 71"/>
                <wp:cNvGraphicFramePr/>
                <a:graphic xmlns:a="http://schemas.openxmlformats.org/drawingml/2006/main">
                  <a:graphicData uri="http://schemas.microsoft.com/office/word/2010/wordprocessingShape">
                    <wps:wsp>
                      <wps:cNvSpPr txBox="1"/>
                      <wps:spPr>
                        <a:xfrm>
                          <a:off x="0" y="0"/>
                          <a:ext cx="914400" cy="602615"/>
                        </a:xfrm>
                        <a:prstGeom prst="rect">
                          <a:avLst/>
                        </a:prstGeom>
                        <a:noFill/>
                        <a:ln>
                          <a:noFill/>
                        </a:ln>
                        <a:effectLst/>
                      </wps:spPr>
                      <wps:txbx>
                        <w:txbxContent>
                          <w:p w14:paraId="5F40B810">
                            <w:pPr>
                              <w:spacing w:line="240" w:lineRule="exact"/>
                              <w:rPr>
                                <w:rFonts w:ascii="楷体_GB2312" w:hAnsi="宋体" w:eastAsia="楷体_GB2312" w:cs="Times New Roman"/>
                                <w:sz w:val="18"/>
                                <w:szCs w:val="18"/>
                              </w:rPr>
                            </w:pPr>
                            <w:r>
                              <w:rPr>
                                <w:rFonts w:hint="eastAsia" w:ascii="楷体_GB2312" w:hAnsi="宋体" w:eastAsia="楷体_GB2312" w:cs="楷体_GB2312"/>
                                <w:b/>
                                <w:bCs/>
                                <w:color w:val="000000"/>
                                <w:sz w:val="18"/>
                                <w:szCs w:val="18"/>
                              </w:rPr>
                              <w:t>发包人现场管理人员任命和更换</w:t>
                            </w:r>
                          </w:p>
                        </w:txbxContent>
                      </wps:txbx>
                      <wps:bodyPr wrap="square" upright="1"/>
                    </wps:wsp>
                  </a:graphicData>
                </a:graphic>
              </wp:anchor>
            </w:drawing>
          </mc:Choice>
          <mc:Fallback>
            <w:pict>
              <v:shape id="_x0000_s1026" o:spid="_x0000_s1026" o:spt="202" type="#_x0000_t202" style="position:absolute;left:0pt;margin-left:-9pt;margin-top:0.6pt;height:47.45pt;width:72pt;z-index:251724800;mso-width-relative:page;mso-height-relative:page;" filled="f" stroked="f" coordsize="21600,21600" o:gfxdata="UEsDBAoAAAAAAIdO4kAAAAAAAAAAAAAAAAAEAAAAZHJzL1BLAwQUAAAACACHTuJAITdb+dQAAAAI&#10;AQAADwAAAGRycy9kb3ducmV2LnhtbE2PwW7CMBBE75X4B2uRegM7URtBGocDVa+tSgGpNxMvSUS8&#10;jmJD0r/vcmqPo7eafVNsJteJGw6h9aQhWSoQSJW3LdUa9l9vixWIEA1Z03lCDT8YYFPOHgqTWz/S&#10;J952sRZcQiE3GpoY+1zKUDXoTFj6HonZ2Q/ORI5DLe1gRi53nUyVyqQzLfGHxvS4bbC67K5Ow+H9&#10;/H18Uh/1q3vuRz8pSW4ttX6cJ+oFRMQp/h3DXZ/VoWSnk7+SDaLTsEhWvCUySEHceZpxPmlYZwnI&#10;spD/B5S/UEsDBBQAAAAIAIdO4kCqPXmkuwEAAGsDAAAOAAAAZHJzL2Uyb0RvYy54bWytU82O0zAQ&#10;viPxDpbv1Em1FIiaroSq5YIAadkHcJ1JY8l/eNwmfQF4A05cuPNcfQ7GSbYsy2UPXJzx/Hye75vJ&#10;+nqwhh0hovau5uWi4Ayc8o12+5rffb558ZozTNI10ngHNT8B8uvN82frPlSw9J03DURGIA6rPtS8&#10;SylUQqDqwEpc+ACOgq2PVia6xr1oouwJ3RqxLIqV6H1sQvQKEMm7nYJ8RoxPAfRtqxVsvTpYcGlC&#10;jWBkIkrY6YB8M3bbtqDSx7ZFSMzUnJim8aRHyN7lU2zWstpHGTqt5hbkU1p4xMlK7ejRC9RWJskO&#10;Uf8DZbWKHn2bFspbMREZFSEWZfFIm9tOBhi5kNQYLqLj/4NVH46fItNNzV+VnDlpaeLn79/OP36d&#10;f35l5COB+oAV5d0GykzDWz/Q2tz7kZyZ99BGm7/EiFGc5D1d5IUhMUXON+XVVUERRaFVsVyVLzOK&#10;+FMcIqZ34C3LRs0jTW8UVR7fY5pS71PyW87faGPGCRr3l4MwJw+MKzBXZx5Tv9lKw26Yye18cyJu&#10;Pa1BzfHLQUbg7BCi3nfUxshV5BKawdjvvC95yA/vZD/8Rz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CE3W/nUAAAACAEAAA8AAAAAAAAAAQAgAAAAIgAAAGRycy9kb3ducmV2LnhtbFBLAQIUABQA&#10;AAAIAIdO4kCqPXmkuwEAAGsDAAAOAAAAAAAAAAEAIAAAACMBAABkcnMvZTJvRG9jLnhtbFBLBQYA&#10;AAAABgAGAFkBAABQBQAAAAA=&#10;">
                <v:fill on="f" focussize="0,0"/>
                <v:stroke on="f"/>
                <v:imagedata o:title=""/>
                <o:lock v:ext="edit" aspectratio="f"/>
                <v:textbox>
                  <w:txbxContent>
                    <w:p w14:paraId="5F40B810">
                      <w:pPr>
                        <w:spacing w:line="240" w:lineRule="exact"/>
                        <w:rPr>
                          <w:rFonts w:ascii="楷体_GB2312" w:hAnsi="宋体" w:eastAsia="楷体_GB2312" w:cs="Times New Roman"/>
                          <w:sz w:val="18"/>
                          <w:szCs w:val="18"/>
                        </w:rPr>
                      </w:pPr>
                      <w:r>
                        <w:rPr>
                          <w:rFonts w:hint="eastAsia" w:ascii="楷体_GB2312" w:hAnsi="宋体" w:eastAsia="楷体_GB2312" w:cs="楷体_GB2312"/>
                          <w:b/>
                          <w:bCs/>
                          <w:color w:val="000000"/>
                          <w:sz w:val="18"/>
                          <w:szCs w:val="18"/>
                        </w:rPr>
                        <w:t>发包人现场管理人员任命和更换</w:t>
                      </w:r>
                    </w:p>
                  </w:txbxContent>
                </v:textbox>
              </v:shape>
            </w:pict>
          </mc:Fallback>
        </mc:AlternateContent>
      </w:r>
      <w:r>
        <w:rPr>
          <w:rFonts w:hint="default" w:ascii="Times New Roman" w:hAnsi="Times New Roman" w:cs="Times New Roman"/>
          <w:color w:val="auto"/>
          <w:sz w:val="22"/>
          <w:szCs w:val="22"/>
          <w:highlight w:val="none"/>
        </w:rPr>
        <w:t>发包人应任命代表发包人工作的现场管理人员，并在开工前将该任命书以书面形式通知承包人。该类管理人员可包括发包人代表、监理工程师、造价工程师等。国家、省规定发包人可不委托监理人和（或）工程造价咨询人（如有），发包人因而没有任命监理工程师和（或）造价工程师的，本合同规定的监理工程师和（或）造价工程师及其代表的工作，由发包人代表担任。</w:t>
      </w:r>
    </w:p>
    <w:p w14:paraId="43452A86">
      <w:pPr>
        <w:pStyle w:val="15"/>
        <w:adjustRightInd w:val="0"/>
        <w:snapToGrid w:val="0"/>
        <w:spacing w:line="420" w:lineRule="exact"/>
        <w:ind w:left="1619" w:leftChars="771" w:firstLine="2"/>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发包人如需更换现场管理人员，应至少提前7天以书面形式通知承包人，否则该项更换无效。承包人应在收到通知后7天内予以回复，否则视为已收到通知。后任现场管理人员应继续行使合同规定的前任现场管理人员的职权和履行相应的义务。</w:t>
      </w:r>
    </w:p>
    <w:p w14:paraId="2FF2EF32">
      <w:pPr>
        <w:pStyle w:val="15"/>
        <w:tabs>
          <w:tab w:val="left" w:pos="1320"/>
          <w:tab w:val="left" w:pos="1620"/>
        </w:tabs>
        <w:adjustRightInd w:val="0"/>
        <w:snapToGrid w:val="0"/>
        <w:spacing w:line="420" w:lineRule="exact"/>
        <w:ind w:right="-238"/>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21.2  </w:t>
      </w:r>
      <w:r>
        <w:rPr>
          <w:rFonts w:hint="default" w:ascii="Times New Roman" w:hAnsi="Times New Roman" w:cs="Times New Roman"/>
          <w:b/>
          <w:bCs/>
          <w:color w:val="auto"/>
          <w:sz w:val="22"/>
          <w:szCs w:val="22"/>
          <w:highlight w:val="none"/>
          <w:u w:val="dotted"/>
        </w:rPr>
        <w:t xml:space="preserve">                                                                             </w:t>
      </w:r>
    </w:p>
    <w:p w14:paraId="4B7FEF3E">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25824" behindDoc="0" locked="0" layoutInCell="1" allowOverlap="1">
                <wp:simplePos x="0" y="0"/>
                <wp:positionH relativeFrom="column">
                  <wp:posOffset>-114300</wp:posOffset>
                </wp:positionH>
                <wp:positionV relativeFrom="paragraph">
                  <wp:posOffset>84455</wp:posOffset>
                </wp:positionV>
                <wp:extent cx="914400" cy="457200"/>
                <wp:effectExtent l="0" t="0" r="0" b="0"/>
                <wp:wrapNone/>
                <wp:docPr id="72" name="文本框 72"/>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a:noFill/>
                        </a:ln>
                        <a:effectLst/>
                      </wps:spPr>
                      <wps:txbx>
                        <w:txbxContent>
                          <w:p w14:paraId="5C4E15B5">
                            <w:pPr>
                              <w:spacing w:line="240" w:lineRule="exact"/>
                              <w:rPr>
                                <w:rFonts w:ascii="楷体_GB2312" w:hAnsi="宋体" w:eastAsia="楷体_GB2312" w:cs="Times New Roman"/>
                                <w:sz w:val="18"/>
                                <w:szCs w:val="18"/>
                              </w:rPr>
                            </w:pPr>
                            <w:r>
                              <w:rPr>
                                <w:rFonts w:hint="eastAsia" w:ascii="楷体_GB2312" w:hAnsi="宋体" w:eastAsia="楷体_GB2312" w:cs="楷体_GB2312"/>
                                <w:b/>
                                <w:bCs/>
                                <w:color w:val="000000"/>
                                <w:sz w:val="18"/>
                                <w:szCs w:val="18"/>
                              </w:rPr>
                              <w:t>承包人代表任命和更换</w:t>
                            </w:r>
                          </w:p>
                        </w:txbxContent>
                      </wps:txbx>
                      <wps:bodyPr wrap="square" upright="1"/>
                    </wps:wsp>
                  </a:graphicData>
                </a:graphic>
              </wp:anchor>
            </w:drawing>
          </mc:Choice>
          <mc:Fallback>
            <w:pict>
              <v:shape id="_x0000_s1026" o:spid="_x0000_s1026" o:spt="202" type="#_x0000_t202" style="position:absolute;left:0pt;margin-left:-9pt;margin-top:6.65pt;height:36pt;width:72pt;z-index:251725824;mso-width-relative:page;mso-height-relative:page;" filled="f" stroked="f" coordsize="21600,21600" o:gfxdata="UEsDBAoAAAAAAIdO4kAAAAAAAAAAAAAAAAAEAAAAZHJzL1BLAwQUAAAACACHTuJA8TAn6dYAAAAJ&#10;AQAADwAAAGRycy9kb3ducmV2LnhtbE2PzU7DMBCE70h9B2uRuLV2GlqFEKeHIq4g+oPEzY23SUS8&#10;jmK3CW/P9gTHnRnNflNsJteJKw6h9aQhWSgQSJW3LdUaDvvXeQYiREPWdJ5Qww8G2JSzu8Lk1o/0&#10;gdddrAWXUMiNhibGPpcyVA06Exa+R2Lv7AdnIp9DLe1gRi53nVwqtZbOtMQfGtPjtsHqe3dxGo5v&#10;56/PR/Vev7hVP/pJSXJPUuuH+0Q9g4g4xb8w3PAZHUpmOvkL2SA6DfMk4y2RjTQFcQss1yycNGSr&#10;FGRZyP8Lyl9QSwMEFAAAAAgAh07iQB9Rb327AQAAawMAAA4AAABkcnMvZTJvRG9jLnhtbK1TS27b&#10;MBDdF+gdCO5ryoabNILlAIWRboq0QJoD0NTQIiB+yqEt+QLtDbrqpvuey+foUFKcNN1k0Q01nM/j&#10;vDej1XVvW3aAiMa7is9nBWfglK+N21X8/svNm3ecYZKulq13UPEjIL9ev3616kIJC9/4tobICMRh&#10;2YWKNymFUghUDViJMx/AUVD7aGWia9yJOsqO0G0rFkVxITof6xC9AkTybsYgnxDjSwC91kbBxqu9&#10;BZdG1AitTEQJGxOQr4dutQaVPmmNkFhbcWKahpMeIXubT7FeyXIXZWiMmlqQL2nhGScrjaNHz1Ab&#10;mSTbR/MPlDUqevQ6zZS3YiQyKEIs5sUzbe4aGWDgQlJjOIuO/w9W3R4+R2bqil8uOHPS0sRPP76f&#10;fv4+/frGyEcCdQFLyrsLlJn6976ntXnwIzkz715Hm7/EiFGc5D2e5YU+MUXOq/lyWVBEUWj59pKW&#10;IaOIx+IQMX0Ab1k2Kh5peoOo8vAR05j6kJLfcv7GtO0wwdb95SDM0QPDCkzVmcfYb7ZSv+0ncltf&#10;H4lbR2tQcfy6lxE424dodg21MXAVuYRmMPQ77Use8tM72U//kfU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8TAn6dYAAAAJAQAADwAAAAAAAAABACAAAAAiAAAAZHJzL2Rvd25yZXYueG1sUEsBAhQA&#10;FAAAAAgAh07iQB9Rb327AQAAawMAAA4AAAAAAAAAAQAgAAAAJQEAAGRycy9lMm9Eb2MueG1sUEsF&#10;BgAAAAAGAAYAWQEAAFIFAAAAAA==&#10;">
                <v:fill on="f" focussize="0,0"/>
                <v:stroke on="f"/>
                <v:imagedata o:title=""/>
                <o:lock v:ext="edit" aspectratio="f"/>
                <v:textbox>
                  <w:txbxContent>
                    <w:p w14:paraId="5C4E15B5">
                      <w:pPr>
                        <w:spacing w:line="240" w:lineRule="exact"/>
                        <w:rPr>
                          <w:rFonts w:ascii="楷体_GB2312" w:hAnsi="宋体" w:eastAsia="楷体_GB2312" w:cs="Times New Roman"/>
                          <w:sz w:val="18"/>
                          <w:szCs w:val="18"/>
                        </w:rPr>
                      </w:pPr>
                      <w:r>
                        <w:rPr>
                          <w:rFonts w:hint="eastAsia" w:ascii="楷体_GB2312" w:hAnsi="宋体" w:eastAsia="楷体_GB2312" w:cs="楷体_GB2312"/>
                          <w:b/>
                          <w:bCs/>
                          <w:color w:val="000000"/>
                          <w:sz w:val="18"/>
                          <w:szCs w:val="18"/>
                        </w:rPr>
                        <w:t>承包人代表任命和更换</w:t>
                      </w:r>
                    </w:p>
                  </w:txbxContent>
                </v:textbox>
              </v:shape>
            </w:pict>
          </mc:Fallback>
        </mc:AlternateContent>
      </w:r>
      <w:r>
        <w:rPr>
          <w:rFonts w:hint="default" w:ascii="Times New Roman" w:hAnsi="Times New Roman" w:cs="Times New Roman"/>
          <w:color w:val="auto"/>
          <w:sz w:val="22"/>
          <w:szCs w:val="22"/>
          <w:highlight w:val="none"/>
        </w:rPr>
        <w:t>承包人应任命代表承包人工作的承包人代表，该代表的人选应具有注册建造师执业资格，由承包人在开工前依法向发包人提出，经发包人同意后在专用条款中写明。建设行政主管部门有规定的，应遵守其规定；招标工程的承包人代表，应为投标文件所载明的人选。</w:t>
      </w:r>
    </w:p>
    <w:p w14:paraId="49E5CCBA">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承包人如需更换承包人代表，应取得发包人的同意和遵守建设行政主管部门的规定，并至少提前7天以书面形式通知发包人，否则该项更换无效。发包人应在收到通知后的7天内予以答复，否则视为同意。后任承包人代表应继续行使合同规定的前任承包人代表的职权和履行相应的义务。</w:t>
      </w:r>
    </w:p>
    <w:p w14:paraId="4C2C31EC">
      <w:pPr>
        <w:pStyle w:val="15"/>
        <w:tabs>
          <w:tab w:val="left" w:pos="1320"/>
        </w:tabs>
        <w:adjustRightInd w:val="0"/>
        <w:snapToGrid w:val="0"/>
        <w:spacing w:line="420" w:lineRule="exact"/>
        <w:ind w:right="-238"/>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21.3  </w:t>
      </w:r>
      <w:r>
        <w:rPr>
          <w:rFonts w:hint="default" w:ascii="Times New Roman" w:hAnsi="Times New Roman" w:cs="Times New Roman"/>
          <w:b/>
          <w:bCs/>
          <w:color w:val="auto"/>
          <w:sz w:val="22"/>
          <w:szCs w:val="22"/>
          <w:highlight w:val="none"/>
          <w:u w:val="dotted"/>
        </w:rPr>
        <w:t xml:space="preserve">                                                                                                          </w:t>
      </w:r>
    </w:p>
    <w:p w14:paraId="745DEA4E">
      <w:pPr>
        <w:pStyle w:val="15"/>
        <w:adjustRightInd w:val="0"/>
        <w:snapToGrid w:val="0"/>
        <w:spacing w:line="420" w:lineRule="exact"/>
        <w:ind w:left="1619" w:leftChars="771"/>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26848" behindDoc="0" locked="0" layoutInCell="1" allowOverlap="1">
                <wp:simplePos x="0" y="0"/>
                <wp:positionH relativeFrom="column">
                  <wp:posOffset>-83820</wp:posOffset>
                </wp:positionH>
                <wp:positionV relativeFrom="paragraph">
                  <wp:posOffset>46355</wp:posOffset>
                </wp:positionV>
                <wp:extent cx="1231900" cy="720725"/>
                <wp:effectExtent l="0" t="0" r="0" b="0"/>
                <wp:wrapNone/>
                <wp:docPr id="78" name="文本框 78"/>
                <wp:cNvGraphicFramePr/>
                <a:graphic xmlns:a="http://schemas.openxmlformats.org/drawingml/2006/main">
                  <a:graphicData uri="http://schemas.microsoft.com/office/word/2010/wordprocessingShape">
                    <wps:wsp>
                      <wps:cNvSpPr txBox="1"/>
                      <wps:spPr>
                        <a:xfrm>
                          <a:off x="0" y="0"/>
                          <a:ext cx="1231900" cy="720725"/>
                        </a:xfrm>
                        <a:prstGeom prst="rect">
                          <a:avLst/>
                        </a:prstGeom>
                        <a:noFill/>
                        <a:ln>
                          <a:noFill/>
                        </a:ln>
                        <a:effectLst/>
                      </wps:spPr>
                      <wps:txbx>
                        <w:txbxContent>
                          <w:p w14:paraId="5CEDDBA2">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监理工程师、</w:t>
                            </w:r>
                          </w:p>
                          <w:p w14:paraId="529B3E5F">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造价工程师代</w:t>
                            </w:r>
                          </w:p>
                          <w:p w14:paraId="47FA568A">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表任命和撤回</w:t>
                            </w:r>
                          </w:p>
                        </w:txbxContent>
                      </wps:txbx>
                      <wps:bodyPr wrap="square" upright="1"/>
                    </wps:wsp>
                  </a:graphicData>
                </a:graphic>
              </wp:anchor>
            </w:drawing>
          </mc:Choice>
          <mc:Fallback>
            <w:pict>
              <v:shape id="_x0000_s1026" o:spid="_x0000_s1026" o:spt="202" type="#_x0000_t202" style="position:absolute;left:0pt;margin-left:-6.6pt;margin-top:3.65pt;height:56.75pt;width:97pt;z-index:251726848;mso-width-relative:page;mso-height-relative:page;" filled="f" stroked="f" coordsize="21600,21600" o:gfxdata="UEsDBAoAAAAAAIdO4kAAAAAAAAAAAAAAAAAEAAAAZHJzL1BLAwQUAAAACACHTuJA1BWXI9UAAAAJ&#10;AQAADwAAAGRycy9kb3ducmV2LnhtbE2PS0/DMBCE70j8B2uRuLV2Uh4lZNMDiCuI8pC4ufE2iYjX&#10;Uew24d+zPcFtVjOa/abczL5XRxpjFxghWxpQxHVwHTcI729PizWomCw72wcmhB+KsKnOz0pbuDDx&#10;Kx23qVFSwrGwCG1KQ6F1rFvyNi7DQCzePozeJjnHRrvRTlLue50bc6O97Vg+tHagh5bq7+3BI3w8&#10;778+r8xL8+ivhynMRrO/04iXF5m5B5VoTn9hOOELOlTCtAsHdlH1CItslUsU4XYF6uSvjUzZichF&#10;6KrU/xdUv1BLAwQUAAAACACHTuJAFbl0fLoBAABsAwAADgAAAGRycy9lMm9Eb2MueG1srVPNjtMw&#10;EL4j8Q6W7zRpEBSipiuharkgQFp4ANcZN5b8h8dt0heAN+DEhTvP1edgnGTLsnvZw16c8fx8nu+b&#10;yfpqsIYdIaL2ruHLRckZOOlb7fYN//rl+sUbzjAJ1wrjHTT8BMivNs+frftQQ+U7b1qIjEAc1n1o&#10;eJdSqIsCZQdW4MIHcBRUPlqR6Br3RRtFT+jWFFVZvi56H9sQvQRE8m6nIJ8R42MAvVJawtbLgwWX&#10;JtQIRiSihJ0OyDdjt0qBTJ+UQkjMNJyYpvGkR8je5bPYrEW9jyJ0Ws4tiMe0cI+TFdrRoxeorUiC&#10;HaJ+AGW1jB69SgvpbTERGRUhFsvynjY3nQgwciGpMVxEx6eDlR+PnyPTbcNXNHcnLE38/PPH+def&#10;8+/vjHwkUB+wprybQJlpeOcHWptbP5Iz8x5UtPlLjBjFSd7TRV4YEpO5qHq5fFtSSFJsVZWr6lWG&#10;Kf5Vh4jpPXjLstHwSOMbVRXHD5im1NuU/Jjz19qYcYTG/ecgzMkD4w7M1ZnI1HC20rAbZnY7356I&#10;XE970HD8dhARODuEqPcdtTGSLXIJDWHsd16YPOW7d7Lv/iSbv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NQVlyPVAAAACQEAAA8AAAAAAAAAAQAgAAAAIgAAAGRycy9kb3ducmV2LnhtbFBLAQIUABQA&#10;AAAIAIdO4kAVuXR8ugEAAGwDAAAOAAAAAAAAAAEAIAAAACQBAABkcnMvZTJvRG9jLnhtbFBLBQYA&#10;AAAABgAGAFkBAABQBQAAAAA=&#10;">
                <v:fill on="f" focussize="0,0"/>
                <v:stroke on="f"/>
                <v:imagedata o:title=""/>
                <o:lock v:ext="edit" aspectratio="f"/>
                <v:textbox>
                  <w:txbxContent>
                    <w:p w14:paraId="5CEDDBA2">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监理工程师、</w:t>
                      </w:r>
                    </w:p>
                    <w:p w14:paraId="529B3E5F">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造价工程师代</w:t>
                      </w:r>
                    </w:p>
                    <w:p w14:paraId="47FA568A">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表任命和撤回</w:t>
                      </w:r>
                    </w:p>
                  </w:txbxContent>
                </v:textbox>
              </v:shape>
            </w:pict>
          </mc:Fallback>
        </mc:AlternateContent>
      </w:r>
      <w:r>
        <w:rPr>
          <w:rFonts w:hint="default" w:ascii="Times New Roman" w:hAnsi="Times New Roman" w:cs="Times New Roman"/>
          <w:color w:val="auto"/>
          <w:sz w:val="22"/>
          <w:szCs w:val="22"/>
          <w:highlight w:val="none"/>
        </w:rPr>
        <w:t>除合同约定或依法应由监理工程师、造价工程师行使的职权外，监理工程师、造价工程师可将其职权以书面形式授予其任命的监理工程师、造价工程师代表，亦可将其授权撤回。任何此类任命或撤回，均应至少提前7天以书面形式通知承包人。未将有关文件送交承包人之前，任何此类任命或撤回均为无效。</w:t>
      </w:r>
    </w:p>
    <w:p w14:paraId="0B4EA217">
      <w:pPr>
        <w:pStyle w:val="15"/>
        <w:tabs>
          <w:tab w:val="left" w:pos="1320"/>
        </w:tabs>
        <w:adjustRightInd w:val="0"/>
        <w:snapToGrid w:val="0"/>
        <w:spacing w:line="420" w:lineRule="exact"/>
        <w:ind w:right="-238"/>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 xml:space="preserve">21.4  </w:t>
      </w:r>
      <w:r>
        <w:rPr>
          <w:rFonts w:hint="default" w:ascii="Times New Roman" w:hAnsi="Times New Roman" w:cs="Times New Roman"/>
          <w:color w:val="auto"/>
          <w:sz w:val="22"/>
          <w:szCs w:val="22"/>
          <w:highlight w:val="none"/>
          <w:u w:val="dotted"/>
        </w:rPr>
        <w:t xml:space="preserve">                                                                             </w:t>
      </w:r>
    </w:p>
    <w:p w14:paraId="4DED29D7">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27872" behindDoc="0" locked="0" layoutInCell="1" allowOverlap="1">
                <wp:simplePos x="0" y="0"/>
                <wp:positionH relativeFrom="column">
                  <wp:posOffset>-114300</wp:posOffset>
                </wp:positionH>
                <wp:positionV relativeFrom="paragraph">
                  <wp:posOffset>35560</wp:posOffset>
                </wp:positionV>
                <wp:extent cx="914400" cy="559435"/>
                <wp:effectExtent l="0" t="0" r="0" b="0"/>
                <wp:wrapNone/>
                <wp:docPr id="73" name="文本框 73"/>
                <wp:cNvGraphicFramePr/>
                <a:graphic xmlns:a="http://schemas.openxmlformats.org/drawingml/2006/main">
                  <a:graphicData uri="http://schemas.microsoft.com/office/word/2010/wordprocessingShape">
                    <wps:wsp>
                      <wps:cNvSpPr txBox="1"/>
                      <wps:spPr>
                        <a:xfrm>
                          <a:off x="0" y="0"/>
                          <a:ext cx="914400" cy="559435"/>
                        </a:xfrm>
                        <a:prstGeom prst="rect">
                          <a:avLst/>
                        </a:prstGeom>
                        <a:noFill/>
                        <a:ln>
                          <a:noFill/>
                        </a:ln>
                        <a:effectLst/>
                      </wps:spPr>
                      <wps:txbx>
                        <w:txbxContent>
                          <w:p w14:paraId="7B7EA9CC">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承包人代表授权人选任命和撤回</w:t>
                            </w:r>
                          </w:p>
                        </w:txbxContent>
                      </wps:txbx>
                      <wps:bodyPr wrap="square" upright="1"/>
                    </wps:wsp>
                  </a:graphicData>
                </a:graphic>
              </wp:anchor>
            </w:drawing>
          </mc:Choice>
          <mc:Fallback>
            <w:pict>
              <v:shape id="_x0000_s1026" o:spid="_x0000_s1026" o:spt="202" type="#_x0000_t202" style="position:absolute;left:0pt;margin-left:-9pt;margin-top:2.8pt;height:44.05pt;width:72pt;z-index:251727872;mso-width-relative:page;mso-height-relative:page;" filled="f" stroked="f" coordsize="21600,21600" o:gfxdata="UEsDBAoAAAAAAIdO4kAAAAAAAAAAAAAAAAAEAAAAZHJzL1BLAwQUAAAACACHTuJABeIOGdYAAAAI&#10;AQAADwAAAGRycy9kb3ducmV2LnhtbE2PQU/CQBSE7yb8h80z8Qa7RalQ+8oB41Ujgom3pftoG7tv&#10;m+5Cy79nOelxMpOZb/L1aFtxpt43jhGSmQJBXDrTcIWw+3qbLkH4oNno1jEhXMjDupjc5TozbuBP&#10;Om9DJWIJ+0wj1CF0mZS+rMlqP3MdcfSOrrc6RNlX0vR6iOW2lXOlUml1w3Gh1h1taip/tyeLsH8/&#10;/nw/qY/q1S66wY1Ksl1JxIf7RL2ACDSGvzDc8CM6FJHp4E5svGgRpskyfgkIixTEzZ+nUR8QVo/P&#10;IItc/j9QXAFQSwMEFAAAAAgAh07iQEeNvb28AQAAawMAAA4AAABkcnMvZTJvRG9jLnhtbK1TzY7T&#10;MBC+I/EOlu806W4LbNR0JVQtFwRICw/gOpPGkv/wuE36AvAGnLhw57n6HIydbFl2L3vYizOen8/z&#10;fTNZXQ9GswMEVM7WfD4rOQMrXaPsruZfv9y8essZRmEboZ2Fmh8B+fX65YtV7yu4cJ3TDQRGIBar&#10;3te8i9FXRYGyAyNw5jxYCrYuGBHpGnZFE0RP6EYXF2X5uuhdaHxwEhDJuxmDfEIMTwF0baskbJzc&#10;G7BxRA2gRSRK2CmPfJ27bVuQ8VPbIkSma05MYz7pEbK36SzWK1HtgvCdklML4iktPOBkhLL06Blq&#10;I6Jg+6AeQRklg0PXxpl0phiJZEWIxbx8oM1tJzxkLiQ1+rPo+Hyw8uPhc2CqqfmbS86sMDTx088f&#10;p19/Tr+/M/KRQL3HivJuPWXG4Z0baG3u/EjOxHtog0lfYsQoTvIez/LCEJkk59V8sSgpIim0XF4t&#10;LpcJpfhX7APG9+AMS0bNA00viyoOHzCOqXcp6S3rbpTWeYLa/ucgzNEDeQWm6sRj7DdZcdgOE7mt&#10;a47Erac1qDl+24sAnO19ULuO2shci1RCM8j9TvuShnz/Tvb9f2T9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AXiDhnWAAAACAEAAA8AAAAAAAAAAQAgAAAAIgAAAGRycy9kb3ducmV2LnhtbFBLAQIU&#10;ABQAAAAIAIdO4kBHjb29vAEAAGsDAAAOAAAAAAAAAAEAIAAAACUBAABkcnMvZTJvRG9jLnhtbFBL&#10;BQYAAAAABgAGAFkBAABTBQAAAAA=&#10;">
                <v:fill on="f" focussize="0,0"/>
                <v:stroke on="f"/>
                <v:imagedata o:title=""/>
                <o:lock v:ext="edit" aspectratio="f"/>
                <v:textbox>
                  <w:txbxContent>
                    <w:p w14:paraId="7B7EA9CC">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承包人代表授权人选任命和撤回</w:t>
                      </w:r>
                    </w:p>
                  </w:txbxContent>
                </v:textbox>
              </v:shape>
            </w:pict>
          </mc:Fallback>
        </mc:AlternateContent>
      </w:r>
      <w:r>
        <w:rPr>
          <w:rFonts w:hint="default" w:ascii="Times New Roman" w:hAnsi="Times New Roman" w:cs="Times New Roman"/>
          <w:color w:val="auto"/>
          <w:sz w:val="22"/>
          <w:szCs w:val="22"/>
          <w:highlight w:val="none"/>
        </w:rPr>
        <w:t>除合同约定或依法应由承包人代表行使的职权外，承包人代表可将其职权以书</w:t>
      </w:r>
    </w:p>
    <w:p w14:paraId="38E556E1">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面形式授予其任命的合格人选，亦可将其授权撤回。任何此类任命或撤回，均应至少提前7天以书面形式通知发包人和监理工程师、造价工程师。未将有关文件提交发包人和监理工程师、造价工程师之前，任何此类任命或撤回均为无效。</w:t>
      </w:r>
    </w:p>
    <w:p w14:paraId="5BA444CD">
      <w:pPr>
        <w:spacing w:line="420" w:lineRule="exact"/>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6CA86DE5">
      <w:pPr>
        <w:pStyle w:val="5"/>
        <w:numPr>
          <w:ilvl w:val="0"/>
          <w:numId w:val="0"/>
        </w:numPr>
        <w:tabs>
          <w:tab w:val="left" w:pos="360"/>
          <w:tab w:val="left" w:pos="420"/>
          <w:tab w:val="left" w:pos="1287"/>
        </w:tabs>
        <w:spacing w:line="420" w:lineRule="exact"/>
        <w:rPr>
          <w:rFonts w:hint="default" w:ascii="Times New Roman" w:hAnsi="Times New Roman" w:cs="Times New Roman"/>
          <w:color w:val="auto"/>
          <w:sz w:val="22"/>
          <w:szCs w:val="22"/>
          <w:highlight w:val="none"/>
        </w:rPr>
      </w:pPr>
      <w:bookmarkStart w:id="131" w:name="_Toc469384002"/>
      <w:bookmarkStart w:id="132" w:name="_Toc23347"/>
      <w:r>
        <w:rPr>
          <w:rFonts w:hint="default" w:ascii="Times New Roman" w:hAnsi="Times New Roman" w:cs="Times New Roman"/>
          <w:color w:val="auto"/>
          <w:sz w:val="22"/>
          <w:szCs w:val="22"/>
          <w:highlight w:val="none"/>
        </w:rPr>
        <w:t>22  发包人代表</w:t>
      </w:r>
      <w:bookmarkEnd w:id="131"/>
      <w:bookmarkEnd w:id="132"/>
    </w:p>
    <w:p w14:paraId="3518625E">
      <w:pPr>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22.1                           </w:t>
      </w:r>
    </w:p>
    <w:p w14:paraId="5E11840B">
      <w:pPr>
        <w:pStyle w:val="22"/>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28896" behindDoc="0" locked="0" layoutInCell="1" allowOverlap="1">
                <wp:simplePos x="0" y="0"/>
                <wp:positionH relativeFrom="column">
                  <wp:posOffset>-114300</wp:posOffset>
                </wp:positionH>
                <wp:positionV relativeFrom="paragraph">
                  <wp:posOffset>53340</wp:posOffset>
                </wp:positionV>
                <wp:extent cx="914400" cy="443230"/>
                <wp:effectExtent l="0" t="0" r="0" b="0"/>
                <wp:wrapNone/>
                <wp:docPr id="74" name="文本框 74"/>
                <wp:cNvGraphicFramePr/>
                <a:graphic xmlns:a="http://schemas.openxmlformats.org/drawingml/2006/main">
                  <a:graphicData uri="http://schemas.microsoft.com/office/word/2010/wordprocessingShape">
                    <wps:wsp>
                      <wps:cNvSpPr txBox="1"/>
                      <wps:spPr>
                        <a:xfrm>
                          <a:off x="0" y="0"/>
                          <a:ext cx="914400" cy="443230"/>
                        </a:xfrm>
                        <a:prstGeom prst="rect">
                          <a:avLst/>
                        </a:prstGeom>
                        <a:noFill/>
                        <a:ln>
                          <a:noFill/>
                        </a:ln>
                        <a:effectLst/>
                      </wps:spPr>
                      <wps:txbx>
                        <w:txbxContent>
                          <w:p w14:paraId="49C619C8">
                            <w:pPr>
                              <w:spacing w:line="240" w:lineRule="exact"/>
                              <w:rPr>
                                <w:rFonts w:ascii="楷体_GB2312" w:hAnsi="宋体" w:eastAsia="楷体_GB2312" w:cs="Times New Roman"/>
                                <w:b/>
                                <w:bCs/>
                                <w:color w:val="000000"/>
                                <w:sz w:val="18"/>
                                <w:szCs w:val="18"/>
                              </w:rPr>
                            </w:pPr>
                            <w:r>
                              <w:rPr>
                                <w:rFonts w:hint="eastAsia" w:ascii="楷体_GB2312" w:eastAsia="楷体_GB2312" w:cs="楷体_GB2312"/>
                                <w:b/>
                                <w:bCs/>
                                <w:color w:val="000000"/>
                                <w:sz w:val="18"/>
                                <w:szCs w:val="18"/>
                              </w:rPr>
                              <w:t>发包人对其代表授权</w:t>
                            </w:r>
                          </w:p>
                        </w:txbxContent>
                      </wps:txbx>
                      <wps:bodyPr wrap="square" upright="1"/>
                    </wps:wsp>
                  </a:graphicData>
                </a:graphic>
              </wp:anchor>
            </w:drawing>
          </mc:Choice>
          <mc:Fallback>
            <w:pict>
              <v:shape id="_x0000_s1026" o:spid="_x0000_s1026" o:spt="202" type="#_x0000_t202" style="position:absolute;left:0pt;margin-left:-9pt;margin-top:4.2pt;height:34.9pt;width:72pt;z-index:251728896;mso-width-relative:page;mso-height-relative:page;" filled="f" stroked="f" coordsize="21600,21600" o:gfxdata="UEsDBAoAAAAAAIdO4kAAAAAAAAAAAAAAAAAEAAAAZHJzL1BLAwQUAAAACACHTuJAwrusBdUAAAAI&#10;AQAADwAAAGRycy9kb3ducmV2LnhtbE2PzW7CMBCE75V4B2srcQM7EaUhZMOBqleq0h+pNxMvSdR4&#10;HcWGpG9fc2qPoxnNfFPsJtuJKw2+dYyQLBUI4sqZlmuE97fnRQbCB81Gd44J4Yc87MrZXaFz40Z+&#10;pesx1CKWsM81QhNCn0vpq4as9kvXE0fv7AarQ5RDLc2gx1huO5kqtZZWtxwXGt3TvqHq+3ixCB+H&#10;89fnSr3UT/ahH92kJNuNRJzfJ2oLItAU/sJww4/oUEamk7uw8aJDWCRZ/BIQshWIm5+uoz4hPGYp&#10;yLKQ/w+Uv1BLAwQUAAAACACHTuJACIyHC7wBAABrAwAADgAAAGRycy9lMm9Eb2MueG1srVPNjtMw&#10;EL4j8Q6W79RpN+InaroSqpYLAqRlH8B1Jo0l/+Fxm/QF4A04ceHOc/U5mDjZsiyXPXBxxvPzeb5v&#10;JuvrwRp2hIjau5ovFwVn4JRvtNvX/O7zzYvXnGGSrpHGO6j5CZBfb54/W/ehgpXvvGkgMgJxWPWh&#10;5l1KoRICVQdW4sIHcBRsfbQy0TXuRRNlT+jWiFVRvBS9j02IXgEiebdTkM+I8SmAvm21gq1XBwsu&#10;TagRjExECTsdkG9yt20LKn1sW4TETM2JaconPUL2bjzFZi2rfZSh02puQT6lhUecrNSOHr1AbWWS&#10;7BD1P1BWq+jRt2mhvBUTkawIsVgWj7S57WSAzIWkxnARHf8frPpw/BSZbmr+quTMSUsTP3//dv7x&#10;6/zzKyMfCdQHrCjvNlBmGt76gdbm3o/kHHkPbbTjlxgxipO8p4u8MCSmyPlmWZYFRRSFyvJqdZXl&#10;F3+KQ8T0Drxlo1HzSNPLosrje0zUCKXep4xvOX+jjckTNO4vByVOHsgrMFePPKZ+RysNu2Emt/PN&#10;ibj1tAY1xy8HGYGzQ4h631EbmasYS2gGuYl5X8YhP7yT/fAf2fwG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wrusBdUAAAAIAQAADwAAAAAAAAABACAAAAAiAAAAZHJzL2Rvd25yZXYueG1sUEsBAhQA&#10;FAAAAAgAh07iQAiMhwu8AQAAawMAAA4AAAAAAAAAAQAgAAAAJAEAAGRycy9lMm9Eb2MueG1sUEsF&#10;BgAAAAAGAAYAWQEAAFIFAAAAAA==&#10;">
                <v:fill on="f" focussize="0,0"/>
                <v:stroke on="f"/>
                <v:imagedata o:title=""/>
                <o:lock v:ext="edit" aspectratio="f"/>
                <v:textbox>
                  <w:txbxContent>
                    <w:p w14:paraId="49C619C8">
                      <w:pPr>
                        <w:spacing w:line="240" w:lineRule="exact"/>
                        <w:rPr>
                          <w:rFonts w:ascii="楷体_GB2312" w:hAnsi="宋体" w:eastAsia="楷体_GB2312" w:cs="Times New Roman"/>
                          <w:b/>
                          <w:bCs/>
                          <w:color w:val="000000"/>
                          <w:sz w:val="18"/>
                          <w:szCs w:val="18"/>
                        </w:rPr>
                      </w:pPr>
                      <w:r>
                        <w:rPr>
                          <w:rFonts w:hint="eastAsia" w:ascii="楷体_GB2312" w:eastAsia="楷体_GB2312" w:cs="楷体_GB2312"/>
                          <w:b/>
                          <w:bCs/>
                          <w:color w:val="000000"/>
                          <w:sz w:val="18"/>
                          <w:szCs w:val="18"/>
                        </w:rPr>
                        <w:t>发包人对其代表授权</w:t>
                      </w:r>
                    </w:p>
                  </w:txbxContent>
                </v:textbox>
              </v:shape>
            </w:pict>
          </mc:Fallback>
        </mc:AlternateContent>
      </w:r>
      <w:r>
        <w:rPr>
          <w:rFonts w:hint="default" w:ascii="Times New Roman" w:hAnsi="Times New Roman" w:cs="Times New Roman"/>
          <w:color w:val="auto"/>
          <w:sz w:val="22"/>
          <w:szCs w:val="22"/>
          <w:highlight w:val="none"/>
        </w:rPr>
        <w:t>发包人应在专用条款中写明发包人代表具体人选，并在开工前将发包人代表任命书以书面形式通知承包人，授予其代表发包人履行合同规定职责所需的一切权力。除专用条款另有约定外，发包人不应对发包人代表的权力另有限制。</w:t>
      </w:r>
    </w:p>
    <w:p w14:paraId="77645D0D">
      <w:pPr>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22.2   </w:t>
      </w:r>
      <w:r>
        <w:rPr>
          <w:rFonts w:hint="default" w:ascii="Times New Roman" w:hAnsi="Times New Roman" w:cs="Times New Roman"/>
          <w:b/>
          <w:bCs/>
          <w:color w:val="auto"/>
          <w:sz w:val="22"/>
          <w:szCs w:val="22"/>
          <w:highlight w:val="none"/>
          <w:u w:val="dotted"/>
        </w:rPr>
        <w:t xml:space="preserve">                                                                                                      </w:t>
      </w:r>
    </w:p>
    <w:p w14:paraId="359B000D">
      <w:pPr>
        <w:pStyle w:val="22"/>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29920" behindDoc="0" locked="0" layoutInCell="1" allowOverlap="1">
                <wp:simplePos x="0" y="0"/>
                <wp:positionH relativeFrom="column">
                  <wp:posOffset>-114300</wp:posOffset>
                </wp:positionH>
                <wp:positionV relativeFrom="paragraph">
                  <wp:posOffset>76200</wp:posOffset>
                </wp:positionV>
                <wp:extent cx="914400" cy="396240"/>
                <wp:effectExtent l="0" t="0" r="0" b="0"/>
                <wp:wrapNone/>
                <wp:docPr id="76" name="文本框 76"/>
                <wp:cNvGraphicFramePr/>
                <a:graphic xmlns:a="http://schemas.openxmlformats.org/drawingml/2006/main">
                  <a:graphicData uri="http://schemas.microsoft.com/office/word/2010/wordprocessingShape">
                    <wps:wsp>
                      <wps:cNvSpPr txBox="1"/>
                      <wps:spPr>
                        <a:xfrm>
                          <a:off x="0" y="0"/>
                          <a:ext cx="914400" cy="396240"/>
                        </a:xfrm>
                        <a:prstGeom prst="rect">
                          <a:avLst/>
                        </a:prstGeom>
                        <a:noFill/>
                        <a:ln>
                          <a:noFill/>
                        </a:ln>
                        <a:effectLst/>
                      </wps:spPr>
                      <wps:txbx>
                        <w:txbxContent>
                          <w:p w14:paraId="126970D8">
                            <w:pPr>
                              <w:spacing w:line="240" w:lineRule="exact"/>
                              <w:rPr>
                                <w:rFonts w:ascii="楷体_GB2312" w:hAnsi="宋体" w:eastAsia="楷体_GB2312" w:cs="Times New Roman"/>
                                <w:b/>
                                <w:bCs/>
                                <w:color w:val="000000"/>
                                <w:sz w:val="18"/>
                                <w:szCs w:val="18"/>
                              </w:rPr>
                            </w:pPr>
                            <w:r>
                              <w:rPr>
                                <w:rFonts w:hint="eastAsia" w:ascii="楷体_GB2312" w:eastAsia="楷体_GB2312" w:cs="楷体_GB2312"/>
                                <w:b/>
                                <w:bCs/>
                                <w:color w:val="000000"/>
                                <w:sz w:val="18"/>
                                <w:szCs w:val="18"/>
                              </w:rPr>
                              <w:t>发包人代表职权</w:t>
                            </w:r>
                          </w:p>
                        </w:txbxContent>
                      </wps:txbx>
                      <wps:bodyPr wrap="square" upright="1"/>
                    </wps:wsp>
                  </a:graphicData>
                </a:graphic>
              </wp:anchor>
            </w:drawing>
          </mc:Choice>
          <mc:Fallback>
            <w:pict>
              <v:shape id="_x0000_s1026" o:spid="_x0000_s1026" o:spt="202" type="#_x0000_t202" style="position:absolute;left:0pt;margin-left:-9pt;margin-top:6pt;height:31.2pt;width:72pt;z-index:251729920;mso-width-relative:page;mso-height-relative:page;" filled="f" stroked="f" coordsize="21600,21600" o:gfxdata="UEsDBAoAAAAAAIdO4kAAAAAAAAAAAAAAAAAEAAAAZHJzL1BLAwQUAAAACACHTuJAM2N7btYAAAAJ&#10;AQAADwAAAGRycy9kb3ducmV2LnhtbE2PzW7CMBCE75V4B2srcQM7UUohxOFA1StV6Y/Um4mXJGq8&#10;jmJD0rfvcmpPu6sZzX5T7CbXiSsOofWkIVkqEEiVty3VGt7fnhdrECEasqbzhBp+MMCunN0VJrd+&#10;pFe8HmMtOIRCbjQ0Mfa5lKFq0Jmw9D0Sa2c/OBP5HGppBzNyuOtkqtRKOtMSf2hMj/sGq+/jxWn4&#10;OJy/PjP1Uj+5h370k5LkNlLr+X2itiAiTvHPDDd8RoeSmU7+QjaITsMiWXOXyELK82ZIV7ycNDxm&#10;GciykP8blL9QSwMEFAAAAAgAh07iQI6zFDG9AQAAawMAAA4AAABkcnMvZTJvRG9jLnhtbK1TzY7T&#10;MBC+I/EOlu80aakKGzVdaVUtFwRICw/gOuPGUvyDx23SF4A34MSFO8/V52DsZMuyXPawF2c8P5/n&#10;+2ayvh5Mx44QUDtb8/ms5AysdI22+5p/+Xz76i1nGIVtROcs1PwEyK83L1+se1/BwrWuayAwArFY&#10;9b7mbYy+KgqULRiBM+fBUlC5YESka9gXTRA9oZuuWJTlquhdaHxwEhDJux2DfEIMTwF0SmkJWycP&#10;BmwcUQN0IhIlbLVHvsndKgUyflQKIbKu5sQ05pMeIXuXzmKzFtU+CN9qObUgntLCI05GaEuPXqC2&#10;Igp2CPo/KKNlcOhUnElnipFIVoRYzMtH2ty1wkPmQlKjv4iOzwcrPxw/Baabmr9ZcWaFoYmff3w/&#10;//x9/vWNkY8E6j1WlHfnKTMON26gtbn3IzkT70EFk77EiFGc5D1d5IUhMknOq/lyWVJEUuj11Wqx&#10;zPIXf4t9wPgOnGHJqHmg6WVRxfE9RmqEUu9T0lvW3equyxPs7D8OShw9kFdgqk48xn6TFYfdMJHb&#10;ueZE3Hpag5rj14MIwNnBB71vqY3MtUglNIPcxLQvacgP72Q//Ec2f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zY3tu1gAAAAkBAAAPAAAAAAAAAAEAIAAAACIAAABkcnMvZG93bnJldi54bWxQSwEC&#10;FAAUAAAACACHTuJAjrMUMb0BAABrAwAADgAAAAAAAAABACAAAAAlAQAAZHJzL2Uyb0RvYy54bWxQ&#10;SwUGAAAAAAYABgBZAQAAVAUAAAAA&#10;">
                <v:fill on="f" focussize="0,0"/>
                <v:stroke on="f"/>
                <v:imagedata o:title=""/>
                <o:lock v:ext="edit" aspectratio="f"/>
                <v:textbox>
                  <w:txbxContent>
                    <w:p w14:paraId="126970D8">
                      <w:pPr>
                        <w:spacing w:line="240" w:lineRule="exact"/>
                        <w:rPr>
                          <w:rFonts w:ascii="楷体_GB2312" w:hAnsi="宋体" w:eastAsia="楷体_GB2312" w:cs="Times New Roman"/>
                          <w:b/>
                          <w:bCs/>
                          <w:color w:val="000000"/>
                          <w:sz w:val="18"/>
                          <w:szCs w:val="18"/>
                        </w:rPr>
                      </w:pPr>
                      <w:r>
                        <w:rPr>
                          <w:rFonts w:hint="eastAsia" w:ascii="楷体_GB2312" w:eastAsia="楷体_GB2312" w:cs="楷体_GB2312"/>
                          <w:b/>
                          <w:bCs/>
                          <w:color w:val="000000"/>
                          <w:sz w:val="18"/>
                          <w:szCs w:val="18"/>
                        </w:rPr>
                        <w:t>发包人代表职权</w:t>
                      </w:r>
                    </w:p>
                  </w:txbxContent>
                </v:textbox>
              </v:shape>
            </w:pict>
          </mc:Fallback>
        </mc:AlternateContent>
      </w:r>
      <w:r>
        <w:rPr>
          <w:rFonts w:hint="default" w:ascii="Times New Roman" w:hAnsi="Times New Roman" w:cs="Times New Roman"/>
          <w:color w:val="auto"/>
          <w:sz w:val="22"/>
          <w:szCs w:val="22"/>
          <w:highlight w:val="none"/>
        </w:rPr>
        <w:t>发包人代表应代表发包人履行合同规定的职责、行使合同明文规定和必然隐含的权力，对发包人负责。发包人代表在发包人授予职权范围内工作，发包人应予认可。</w:t>
      </w:r>
    </w:p>
    <w:p w14:paraId="08917987">
      <w:pPr>
        <w:spacing w:line="420" w:lineRule="exact"/>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59BC5FCC">
      <w:pPr>
        <w:pStyle w:val="5"/>
        <w:numPr>
          <w:ilvl w:val="0"/>
          <w:numId w:val="0"/>
        </w:numPr>
        <w:tabs>
          <w:tab w:val="left" w:pos="360"/>
          <w:tab w:val="left" w:pos="420"/>
          <w:tab w:val="left" w:pos="1287"/>
        </w:tabs>
        <w:spacing w:line="420" w:lineRule="exact"/>
        <w:rPr>
          <w:rFonts w:hint="default" w:ascii="Times New Roman" w:hAnsi="Times New Roman" w:cs="Times New Roman"/>
          <w:bCs w:val="0"/>
          <w:color w:val="auto"/>
          <w:sz w:val="22"/>
          <w:szCs w:val="22"/>
          <w:highlight w:val="none"/>
        </w:rPr>
      </w:pPr>
      <w:bookmarkStart w:id="133" w:name="_Toc21735"/>
      <w:bookmarkStart w:id="134" w:name="_Toc469384003"/>
      <w:r>
        <w:rPr>
          <w:rFonts w:hint="default" w:ascii="Times New Roman" w:hAnsi="Times New Roman" w:cs="Times New Roman"/>
          <w:bCs w:val="0"/>
          <w:color w:val="auto"/>
          <w:sz w:val="22"/>
          <w:szCs w:val="22"/>
          <w:highlight w:val="none"/>
        </w:rPr>
        <w:t>23  监理工程师</w:t>
      </w:r>
      <w:bookmarkEnd w:id="133"/>
      <w:bookmarkEnd w:id="134"/>
    </w:p>
    <w:p w14:paraId="4589102C">
      <w:pPr>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23.1  </w:t>
      </w:r>
      <w:r>
        <w:rPr>
          <w:rFonts w:hint="default" w:ascii="Times New Roman" w:hAnsi="Times New Roman" w:cs="Times New Roman"/>
          <w:b/>
          <w:bCs/>
          <w:color w:val="auto"/>
          <w:sz w:val="22"/>
          <w:szCs w:val="22"/>
          <w:highlight w:val="none"/>
          <w:u w:val="dotted"/>
        </w:rPr>
        <w:t xml:space="preserve">                                                                                                        </w:t>
      </w:r>
    </w:p>
    <w:p w14:paraId="225E5B20">
      <w:pPr>
        <w:pStyle w:val="22"/>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30944" behindDoc="0" locked="0" layoutInCell="1" allowOverlap="1">
                <wp:simplePos x="0" y="0"/>
                <wp:positionH relativeFrom="column">
                  <wp:posOffset>-114300</wp:posOffset>
                </wp:positionH>
                <wp:positionV relativeFrom="paragraph">
                  <wp:posOffset>53340</wp:posOffset>
                </wp:positionV>
                <wp:extent cx="914400" cy="389890"/>
                <wp:effectExtent l="0" t="0" r="0" b="0"/>
                <wp:wrapNone/>
                <wp:docPr id="77" name="文本框 77"/>
                <wp:cNvGraphicFramePr/>
                <a:graphic xmlns:a="http://schemas.openxmlformats.org/drawingml/2006/main">
                  <a:graphicData uri="http://schemas.microsoft.com/office/word/2010/wordprocessingShape">
                    <wps:wsp>
                      <wps:cNvSpPr txBox="1"/>
                      <wps:spPr>
                        <a:xfrm>
                          <a:off x="0" y="0"/>
                          <a:ext cx="914400" cy="389890"/>
                        </a:xfrm>
                        <a:prstGeom prst="rect">
                          <a:avLst/>
                        </a:prstGeom>
                        <a:noFill/>
                        <a:ln>
                          <a:noFill/>
                        </a:ln>
                        <a:effectLst/>
                      </wps:spPr>
                      <wps:txbx>
                        <w:txbxContent>
                          <w:p w14:paraId="1BE76E4B">
                            <w:pPr>
                              <w:spacing w:line="240" w:lineRule="exact"/>
                              <w:rPr>
                                <w:rFonts w:ascii="楷体_GB2312" w:hAnsi="宋体" w:eastAsia="楷体_GB2312" w:cs="Times New Roman"/>
                                <w:b/>
                                <w:bCs/>
                                <w:color w:val="000000"/>
                                <w:sz w:val="18"/>
                                <w:szCs w:val="18"/>
                              </w:rPr>
                            </w:pPr>
                            <w:r>
                              <w:rPr>
                                <w:rFonts w:hint="eastAsia" w:ascii="楷体_GB2312" w:eastAsia="楷体_GB2312" w:cs="楷体_GB2312"/>
                                <w:b/>
                                <w:bCs/>
                                <w:color w:val="000000"/>
                                <w:sz w:val="18"/>
                                <w:szCs w:val="18"/>
                              </w:rPr>
                              <w:t>发包人对监理工程师授权</w:t>
                            </w:r>
                          </w:p>
                        </w:txbxContent>
                      </wps:txbx>
                      <wps:bodyPr wrap="square" upright="1"/>
                    </wps:wsp>
                  </a:graphicData>
                </a:graphic>
              </wp:anchor>
            </w:drawing>
          </mc:Choice>
          <mc:Fallback>
            <w:pict>
              <v:shape id="_x0000_s1026" o:spid="_x0000_s1026" o:spt="202" type="#_x0000_t202" style="position:absolute;left:0pt;margin-left:-9pt;margin-top:4.2pt;height:30.7pt;width:72pt;z-index:251730944;mso-width-relative:page;mso-height-relative:page;" filled="f" stroked="f" coordsize="21600,21600" o:gfxdata="UEsDBAoAAAAAAIdO4kAAAAAAAAAAAAAAAAAEAAAAZHJzL1BLAwQUAAAACACHTuJAbhgEgtUAAAAI&#10;AQAADwAAAGRycy9kb3ducmV2LnhtbE2PwW7CMBBE70j9B2srcQM7iEYhzYYDqNeiQlupNxMvSdR4&#10;HcWGpH9fc2qPoxnNvCm2k+3EjQbfOkZIlgoEceVMyzXC++llkYHwQbPRnWNC+CEP2/JhVujcuJHf&#10;6HYMtYgl7HON0ITQ51L6qiGr/dL1xNG7uMHqEOVQSzPoMZbbTq6USqXVLceFRve0a6j6Pl4twsfr&#10;5etzrQ713j71o5uUZLuRiPPHRD2DCDSFvzDc8SM6lJHp7K5svOgQFkkWvwSEbA3i7q/SqM8I6SYD&#10;WRby/4HyF1BLAwQUAAAACACHTuJAZXxe2b0BAABrAwAADgAAAGRycy9lMm9Eb2MueG1srVNLbtsw&#10;EN0X6B0I7mvKadDYguUAhZFuirZAmgPQ1MgiwF85tCVfoL1BV91033P5HB1RipsmmyyyoYbzeZz3&#10;ZrS67q1hB4iovav4fFZwBk75Wrtdxe++3rxZcIZJuloa76DiR0B+vX79atWFEi58600NkRGIw7IL&#10;FW9TCqUQqFqwEmc+gKNg46OVia5xJ+ooO0K3RlwUxTvR+ViH6BUgknczBvmEGJ8D6JtGK9h4tbfg&#10;0ogawchElLDVAfk6d9s0oNLnpkFIzFScmKZ80iNkb4dTrFey3EUZWq2mFuRzWnjEyUrt6NEz1EYm&#10;yfZRP4GyWkWPvkkz5a0YiWRFiMW8eKTNbSsDZC4kNYaz6PhysOrT4Utkuq741RVnTlqa+Onnj9Ov&#10;P6ff3xn5SKAuYEl5t4EyU//e97Q2934k58C7b6IdvsSIUZzkPZ7lhT4xRc7l/PKyoIii0NvFcrHM&#10;8ot/xSFi+gDessGoeKTpZVHl4SMmaoRS71OGt5y/0cbkCRr3n4MSRw/kFZiqBx5jv4OV+m0/kdv6&#10;+kjcOlqDiuO3vYzA2T5EvWupjcxVDCU0g9zEtC/DkB/eyX74j6z/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G4YBILVAAAACAEAAA8AAAAAAAAAAQAgAAAAIgAAAGRycy9kb3ducmV2LnhtbFBLAQIU&#10;ABQAAAAIAIdO4kBlfF7ZvQEAAGsDAAAOAAAAAAAAAAEAIAAAACQBAABkcnMvZTJvRG9jLnhtbFBL&#10;BQYAAAAABgAGAFkBAABTBQAAAAA=&#10;">
                <v:fill on="f" focussize="0,0"/>
                <v:stroke on="f"/>
                <v:imagedata o:title=""/>
                <o:lock v:ext="edit" aspectratio="f"/>
                <v:textbox>
                  <w:txbxContent>
                    <w:p w14:paraId="1BE76E4B">
                      <w:pPr>
                        <w:spacing w:line="240" w:lineRule="exact"/>
                        <w:rPr>
                          <w:rFonts w:ascii="楷体_GB2312" w:hAnsi="宋体" w:eastAsia="楷体_GB2312" w:cs="Times New Roman"/>
                          <w:b/>
                          <w:bCs/>
                          <w:color w:val="000000"/>
                          <w:sz w:val="18"/>
                          <w:szCs w:val="18"/>
                        </w:rPr>
                      </w:pPr>
                      <w:r>
                        <w:rPr>
                          <w:rFonts w:hint="eastAsia" w:ascii="楷体_GB2312" w:eastAsia="楷体_GB2312" w:cs="楷体_GB2312"/>
                          <w:b/>
                          <w:bCs/>
                          <w:color w:val="000000"/>
                          <w:sz w:val="18"/>
                          <w:szCs w:val="18"/>
                        </w:rPr>
                        <w:t>发包人对监理工程师授权</w:t>
                      </w:r>
                    </w:p>
                  </w:txbxContent>
                </v:textbox>
              </v:shape>
            </w:pict>
          </mc:Fallback>
        </mc:AlternateContent>
      </w:r>
      <w:r>
        <w:rPr>
          <w:rFonts w:hint="default" w:ascii="Times New Roman" w:hAnsi="Times New Roman" w:cs="Times New Roman"/>
          <w:color w:val="auto"/>
          <w:sz w:val="22"/>
          <w:szCs w:val="22"/>
          <w:highlight w:val="none"/>
        </w:rPr>
        <w:t>发包人应在专用条款中写明负责合同工程监理专业技术的监理人名称和监理工程师具体人选，并在开工前将监理工程师任命书以书面形式通知承包人，授予其代表发包人履行合同规定职责所需的权力。</w:t>
      </w:r>
    </w:p>
    <w:p w14:paraId="29184B9A">
      <w:pPr>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23.2  </w:t>
      </w:r>
      <w:r>
        <w:rPr>
          <w:rFonts w:hint="default" w:ascii="Times New Roman" w:hAnsi="Times New Roman" w:cs="Times New Roman"/>
          <w:b/>
          <w:bCs/>
          <w:color w:val="auto"/>
          <w:sz w:val="22"/>
          <w:szCs w:val="22"/>
          <w:highlight w:val="none"/>
          <w:u w:val="dotted"/>
        </w:rPr>
        <w:t xml:space="preserve">                                                                                                        </w:t>
      </w:r>
    </w:p>
    <w:p w14:paraId="6876BF82">
      <w:pPr>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31968" behindDoc="0" locked="0" layoutInCell="1" allowOverlap="1">
                <wp:simplePos x="0" y="0"/>
                <wp:positionH relativeFrom="column">
                  <wp:posOffset>-114300</wp:posOffset>
                </wp:positionH>
                <wp:positionV relativeFrom="paragraph">
                  <wp:posOffset>38100</wp:posOffset>
                </wp:positionV>
                <wp:extent cx="914400" cy="483870"/>
                <wp:effectExtent l="0" t="0" r="0" b="0"/>
                <wp:wrapNone/>
                <wp:docPr id="79" name="文本框 79"/>
                <wp:cNvGraphicFramePr/>
                <a:graphic xmlns:a="http://schemas.openxmlformats.org/drawingml/2006/main">
                  <a:graphicData uri="http://schemas.microsoft.com/office/word/2010/wordprocessingShape">
                    <wps:wsp>
                      <wps:cNvSpPr txBox="1"/>
                      <wps:spPr>
                        <a:xfrm>
                          <a:off x="0" y="0"/>
                          <a:ext cx="914400" cy="483870"/>
                        </a:xfrm>
                        <a:prstGeom prst="rect">
                          <a:avLst/>
                        </a:prstGeom>
                        <a:noFill/>
                        <a:ln>
                          <a:noFill/>
                        </a:ln>
                        <a:effectLst/>
                      </wps:spPr>
                      <wps:txbx>
                        <w:txbxContent>
                          <w:p w14:paraId="47F4F8CE">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监理工程师职权</w:t>
                            </w:r>
                          </w:p>
                        </w:txbxContent>
                      </wps:txbx>
                      <wps:bodyPr wrap="square" upright="1"/>
                    </wps:wsp>
                  </a:graphicData>
                </a:graphic>
              </wp:anchor>
            </w:drawing>
          </mc:Choice>
          <mc:Fallback>
            <w:pict>
              <v:shape id="_x0000_s1026" o:spid="_x0000_s1026" o:spt="202" type="#_x0000_t202" style="position:absolute;left:0pt;margin-left:-9pt;margin-top:3pt;height:38.1pt;width:72pt;z-index:251731968;mso-width-relative:page;mso-height-relative:page;" filled="f" stroked="f" coordsize="21600,21600" o:gfxdata="UEsDBAoAAAAAAIdO4kAAAAAAAAAAAAAAAAAEAAAAZHJzL1BLAwQUAAAACACHTuJA+x+YTtUAAAAI&#10;AQAADwAAAGRycy9kb3ducmV2LnhtbE2PQU/DMAyF75P4D5GRdtuSVmMqpe4OIK6b2ACJW9Z4bUXj&#10;VE22ln9PeoKTbb2n5+8Vu8l24kaDbx0jJGsFgrhypuUa4f30uspA+KDZ6M4xIfyQh115tyh0btzI&#10;b3Q7hlrEEPa5RmhC6HMpfdWQ1X7teuKoXdxgdYjnUEsz6DGG206mSm2l1S3HD43u6bmh6vt4tQgf&#10;+8vX50Yd6hf70I9uUpLto0Rc3ifqCUSgKfyZYcaP6FBGprO7svGiQ1glWewSELZxzHo6L2eELE1B&#10;loX8X6D8BVBLAwQUAAAACACHTuJANkuTH70BAABrAwAADgAAAGRycy9lMm9Eb2MueG1srVNLbtsw&#10;EN0X6B0I7mvJqdE4guUAhZFuirZAmgPQ1NAiwF85tCVfoL1BV91033P5HB1RipsmmyyyoYbzeZz3&#10;ZrS67q1hB4iovav5fFZyBk76Rrtdze++3rxZcoZJuEYY76DmR0B+vX79atWFCi58600DkRGIw6oL&#10;NW9TClVRoGzBCpz5AI6CykcrEl3jrmii6AjdmuKiLN8VnY9NiF4CInk3Y5BPiPE5gF4pLWHj5d6C&#10;SyNqBCMSUcJWB+Tr3K1SINNnpRASMzUnpimf9AjZ2+Es1itR7aIIrZZTC+I5LTziZIV29OgZaiOS&#10;YPuon0BZLaNHr9JMeluMRLIixGJePtLmthUBMheSGsNZdHw5WPnp8CUy3dT88oozJyxN/PTzx+nX&#10;n9Pv74x8JFAXsKK820CZqX/ve1qbez+Sc+Ddq2iHLzFiFCd5j2d5oU9MkvNqvliUFJEUWizfLi+z&#10;/MW/4hAxfQBv2WDUPNL0sqji8BETNUKp9ynDW87faGPyBI37z0GJowfyCkzVA4+x38FK/bafyG19&#10;cyRuHa1BzfHbXkTgbB+i3rXURuZaDCU0g9zEtC/DkB/eyX74j6z/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PsfmE7VAAAACAEAAA8AAAAAAAAAAQAgAAAAIgAAAGRycy9kb3ducmV2LnhtbFBLAQIU&#10;ABQAAAAIAIdO4kA2S5MfvQEAAGsDAAAOAAAAAAAAAAEAIAAAACQBAABkcnMvZTJvRG9jLnhtbFBL&#10;BQYAAAAABgAGAFkBAABTBQAAAAA=&#10;">
                <v:fill on="f" focussize="0,0"/>
                <v:stroke on="f"/>
                <v:imagedata o:title=""/>
                <o:lock v:ext="edit" aspectratio="f"/>
                <v:textbox>
                  <w:txbxContent>
                    <w:p w14:paraId="47F4F8CE">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监理工程师职权</w:t>
                      </w:r>
                    </w:p>
                  </w:txbxContent>
                </v:textbox>
              </v:shape>
            </w:pict>
          </mc:Fallback>
        </mc:AlternateContent>
      </w:r>
      <w:r>
        <w:rPr>
          <w:rFonts w:hint="default" w:ascii="Times New Roman" w:hAnsi="Times New Roman" w:cs="Times New Roman"/>
          <w:color w:val="auto"/>
          <w:sz w:val="22"/>
          <w:szCs w:val="22"/>
          <w:highlight w:val="none"/>
        </w:rPr>
        <w:t>监理工程师行使合同明文规定和必然隐含的职权，代表发包人负责监督、检查合同工程的进度、质量和安全，试验和检验承包人使用的与合同工程有关的材料、工程设备、施工设备和施工工艺，及时向承包人提供工作所需的批准、确认和通知等指令。监理工程师无权免除或变更合同规定的合同任何一方当事人在合同履行期间的</w:t>
      </w:r>
      <w:r>
        <w:rPr>
          <w:rFonts w:hint="default" w:ascii="Times New Roman" w:hAnsi="Times New Roman" w:cs="Times New Roman"/>
          <w:color w:val="auto"/>
          <w:sz w:val="22"/>
          <w:szCs w:val="22"/>
          <w:highlight w:val="none"/>
          <w:lang w:eastAsia="zh-CN"/>
        </w:rPr>
        <w:t>权利</w:t>
      </w:r>
      <w:r>
        <w:rPr>
          <w:rFonts w:hint="default" w:ascii="Times New Roman" w:hAnsi="Times New Roman" w:cs="Times New Roman"/>
          <w:color w:val="auto"/>
          <w:sz w:val="22"/>
          <w:szCs w:val="22"/>
          <w:highlight w:val="none"/>
        </w:rPr>
        <w:t>、义务和责任。</w:t>
      </w:r>
    </w:p>
    <w:p w14:paraId="624F5290">
      <w:pPr>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23.3  </w:t>
      </w:r>
      <w:r>
        <w:rPr>
          <w:rFonts w:hint="default" w:ascii="Times New Roman" w:hAnsi="Times New Roman" w:cs="Times New Roman"/>
          <w:b/>
          <w:bCs/>
          <w:color w:val="auto"/>
          <w:sz w:val="22"/>
          <w:szCs w:val="22"/>
          <w:highlight w:val="none"/>
          <w:u w:val="dotted"/>
        </w:rPr>
        <w:t xml:space="preserve">                                                                                                        </w:t>
      </w:r>
    </w:p>
    <w:p w14:paraId="6D143BB8">
      <w:pPr>
        <w:spacing w:line="420" w:lineRule="exact"/>
        <w:ind w:left="1619" w:leftChars="771" w:firstLine="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32992" behindDoc="0" locked="0" layoutInCell="1" allowOverlap="1">
                <wp:simplePos x="0" y="0"/>
                <wp:positionH relativeFrom="column">
                  <wp:posOffset>-114300</wp:posOffset>
                </wp:positionH>
                <wp:positionV relativeFrom="paragraph">
                  <wp:posOffset>68580</wp:posOffset>
                </wp:positionV>
                <wp:extent cx="914400" cy="410210"/>
                <wp:effectExtent l="0" t="0" r="0" b="0"/>
                <wp:wrapNone/>
                <wp:docPr id="80" name="文本框 80"/>
                <wp:cNvGraphicFramePr/>
                <a:graphic xmlns:a="http://schemas.openxmlformats.org/drawingml/2006/main">
                  <a:graphicData uri="http://schemas.microsoft.com/office/word/2010/wordprocessingShape">
                    <wps:wsp>
                      <wps:cNvSpPr txBox="1"/>
                      <wps:spPr>
                        <a:xfrm>
                          <a:off x="0" y="0"/>
                          <a:ext cx="914400" cy="410210"/>
                        </a:xfrm>
                        <a:prstGeom prst="rect">
                          <a:avLst/>
                        </a:prstGeom>
                        <a:noFill/>
                        <a:ln>
                          <a:noFill/>
                        </a:ln>
                        <a:effectLst/>
                      </wps:spPr>
                      <wps:txbx>
                        <w:txbxContent>
                          <w:p w14:paraId="67A3943C">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监理工程师职权限制</w:t>
                            </w:r>
                          </w:p>
                        </w:txbxContent>
                      </wps:txbx>
                      <wps:bodyPr wrap="square" upright="1"/>
                    </wps:wsp>
                  </a:graphicData>
                </a:graphic>
              </wp:anchor>
            </w:drawing>
          </mc:Choice>
          <mc:Fallback>
            <w:pict>
              <v:shape id="_x0000_s1026" o:spid="_x0000_s1026" o:spt="202" type="#_x0000_t202" style="position:absolute;left:0pt;margin-left:-9pt;margin-top:5.4pt;height:32.3pt;width:72pt;z-index:251732992;mso-width-relative:page;mso-height-relative:page;" filled="f" stroked="f" coordsize="21600,21600" o:gfxdata="UEsDBAoAAAAAAIdO4kAAAAAAAAAAAAAAAAAEAAAAZHJzL1BLAwQUAAAACACHTuJAJMEtodUAAAAJ&#10;AQAADwAAAGRycy9kb3ducmV2LnhtbE2PwU7DMBBE70j8g7VI3Np1qraUEKcHEFcQLSBxc+NtEhGv&#10;o9htwt+zPcFxZ0az84rt5Dt1piG2gQ1kcw2KuAqu5drA+/55tgEVk2Vnu8Bk4IcibMvrq8LmLoz8&#10;RuddqpWUcMytgSalPkeMVUPexnnoicU7hsHbJOdQoxvsKOW+w4XWa/S2ZfnQ2J4eG6q+dydv4OPl&#10;+PW51K/1k1/1Y5g0sr9HY25vMv0AKtGU/sJwmS/ToZRNh3BiF1VnYJZthCWJoQXhElisRTgYuFst&#10;AcsC/xOUv1BLAwQUAAAACACHTuJAwPY2u7sBAABrAwAADgAAAGRycy9lMm9Eb2MueG1srVNLbtsw&#10;EN0X6B0I7mtKhlGkguUAgZFuirZA2gPQ1MgiwF85tCVfoL1BV91033P5HB1RipOmmyyyoYbzeZz3&#10;ZrS+HqxhR4iovat5uSg4A6d8o92+5l+/3L654gyTdI003kHNT4D8evP61boPFSx9500DkRGIw6oP&#10;Ne9SCpUQqDqwEhc+gKNg66OVia5xL5ooe0K3RiyL4q3ofWxC9AoQybudgnxGjM8B9G2rFWy9Olhw&#10;aUKNYGQiStjpgHyTu21bUOlT2yIkZmpOTFM+6RGyd+MpNmtZ7aMMnVZzC/I5LTzhZKV29OgFaiuT&#10;ZIeo/4OyWkWPvk0L5a2YiGRFiEVZPNHmrpMBMheSGsNFdHw5WPXx+Dky3dT8iiRx0tLEzz9/nH/9&#10;Of/+zshHAvUBK8q7C5SZhhs/0Nrc+5GcI++hjXb8EiNGccI6XeSFITFFznflalVQRFFoVRbLMqOL&#10;h+IQMb0Hb9lo1DzS9LKo8vgBEzVCqfcp41vO32pj8gSN+8dBiZMH8grM1SOPqd/RSsNumMntfHMi&#10;bj2tQc3x20FG4OwQot531EbmKsYSmkFuYt6XcciP72Q//kc2f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kwS2h1QAAAAkBAAAPAAAAAAAAAAEAIAAAACIAAABkcnMvZG93bnJldi54bWxQSwECFAAU&#10;AAAACACHTuJAwPY2u7sBAABrAwAADgAAAAAAAAABACAAAAAkAQAAZHJzL2Uyb0RvYy54bWxQSwUG&#10;AAAAAAYABgBZAQAAUQUAAAAA&#10;">
                <v:fill on="f" focussize="0,0"/>
                <v:stroke on="f"/>
                <v:imagedata o:title=""/>
                <o:lock v:ext="edit" aspectratio="f"/>
                <v:textbox>
                  <w:txbxContent>
                    <w:p w14:paraId="67A3943C">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监理工程师职权限制</w:t>
                      </w:r>
                    </w:p>
                  </w:txbxContent>
                </v:textbox>
              </v:shape>
            </w:pict>
          </mc:Fallback>
        </mc:AlternateContent>
      </w:r>
      <w:r>
        <w:rPr>
          <w:rFonts w:hint="default" w:ascii="Times New Roman" w:hAnsi="Times New Roman" w:cs="Times New Roman"/>
          <w:color w:val="auto"/>
          <w:sz w:val="22"/>
          <w:szCs w:val="22"/>
          <w:highlight w:val="none"/>
        </w:rPr>
        <w:t>除属于第86条规定的争议外，监理工程师在职权范围内的工作，发包人应予认可，但下列事件应事先取得发包人的专项批准：</w:t>
      </w:r>
    </w:p>
    <w:p w14:paraId="4D3AEE89">
      <w:pPr>
        <w:numPr>
          <w:ilvl w:val="0"/>
          <w:numId w:val="9"/>
        </w:numPr>
        <w:spacing w:line="420" w:lineRule="exact"/>
        <w:ind w:left="1619" w:leftChars="771" w:firstLine="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根据第5.2款规定批准承包人提供的配合施工设计图纸；</w:t>
      </w:r>
    </w:p>
    <w:p w14:paraId="480B5402">
      <w:pPr>
        <w:numPr>
          <w:ilvl w:val="0"/>
          <w:numId w:val="9"/>
        </w:numPr>
        <w:spacing w:line="420" w:lineRule="exact"/>
        <w:ind w:left="1619" w:leftChars="771" w:firstLine="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根据第7.2款规定同意承包人分包工程；</w:t>
      </w:r>
    </w:p>
    <w:p w14:paraId="09AEDF50">
      <w:pPr>
        <w:numPr>
          <w:ilvl w:val="0"/>
          <w:numId w:val="9"/>
        </w:numPr>
        <w:spacing w:line="420" w:lineRule="exact"/>
        <w:ind w:left="1619" w:leftChars="771" w:firstLine="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根据第18.1款规定批准承包人将材料和工程设备、施工设备移出施工场地；</w:t>
      </w:r>
    </w:p>
    <w:p w14:paraId="02024E49">
      <w:pPr>
        <w:numPr>
          <w:ilvl w:val="0"/>
          <w:numId w:val="9"/>
        </w:numPr>
        <w:spacing w:line="420" w:lineRule="exact"/>
        <w:ind w:left="1619" w:leftChars="771" w:firstLine="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根据第33条规定批准承包人的施工组织设计和工程进度计划；</w:t>
      </w:r>
    </w:p>
    <w:p w14:paraId="29EA17AB">
      <w:pPr>
        <w:numPr>
          <w:ilvl w:val="0"/>
          <w:numId w:val="9"/>
        </w:numPr>
        <w:spacing w:line="420" w:lineRule="exact"/>
        <w:ind w:left="1619" w:leftChars="771" w:firstLine="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根据第34.2款规定发出的工程开工令；</w:t>
      </w:r>
    </w:p>
    <w:p w14:paraId="41AA012B">
      <w:pPr>
        <w:numPr>
          <w:ilvl w:val="0"/>
          <w:numId w:val="9"/>
        </w:numPr>
        <w:spacing w:line="420" w:lineRule="exact"/>
        <w:ind w:left="1619" w:leftChars="771" w:firstLine="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根据第37.2款规定发出加快进度的变更指令；</w:t>
      </w:r>
    </w:p>
    <w:p w14:paraId="011CB533">
      <w:pPr>
        <w:numPr>
          <w:ilvl w:val="0"/>
          <w:numId w:val="9"/>
        </w:numPr>
        <w:spacing w:line="420" w:lineRule="exact"/>
        <w:ind w:left="1619" w:leftChars="771" w:firstLine="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根据第49.6款规定使用替换材料；</w:t>
      </w:r>
    </w:p>
    <w:p w14:paraId="3C9B7969">
      <w:pPr>
        <w:numPr>
          <w:ilvl w:val="0"/>
          <w:numId w:val="9"/>
        </w:numPr>
        <w:spacing w:line="420" w:lineRule="exact"/>
        <w:ind w:left="1619" w:leftChars="771" w:firstLine="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根据第63条规定发出使用暂列金额的工作指令；</w:t>
      </w:r>
    </w:p>
    <w:p w14:paraId="39D7EF77">
      <w:pPr>
        <w:numPr>
          <w:ilvl w:val="0"/>
          <w:numId w:val="9"/>
        </w:numPr>
        <w:spacing w:line="420" w:lineRule="exact"/>
        <w:ind w:left="1619" w:leftChars="771" w:firstLine="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根据第64条规定发出使用计日工的工作指令；</w:t>
      </w:r>
    </w:p>
    <w:p w14:paraId="66F43AE4">
      <w:pPr>
        <w:spacing w:line="420" w:lineRule="exact"/>
        <w:ind w:firstLine="1540" w:firstLineChars="7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（10）根据第56条规定指令或批准的工程变更；</w:t>
      </w:r>
    </w:p>
    <w:p w14:paraId="5287BF3B">
      <w:pPr>
        <w:spacing w:line="420" w:lineRule="exact"/>
        <w:ind w:firstLine="1540" w:firstLineChars="7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（11）根据第75条规定指令或确认的现场签证；</w:t>
      </w:r>
    </w:p>
    <w:p w14:paraId="7DAF9EDB">
      <w:pPr>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 xml:space="preserve">              （12）专用条款约定需要发包人批准的其他事项。</w:t>
      </w:r>
    </w:p>
    <w:p w14:paraId="4B5CFC57">
      <w:pPr>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34016" behindDoc="0" locked="0" layoutInCell="1" allowOverlap="1">
                <wp:simplePos x="0" y="0"/>
                <wp:positionH relativeFrom="column">
                  <wp:posOffset>-114300</wp:posOffset>
                </wp:positionH>
                <wp:positionV relativeFrom="paragraph">
                  <wp:posOffset>278130</wp:posOffset>
                </wp:positionV>
                <wp:extent cx="1028700" cy="457200"/>
                <wp:effectExtent l="0" t="0" r="0" b="0"/>
                <wp:wrapNone/>
                <wp:docPr id="81" name="文本框 81"/>
                <wp:cNvGraphicFramePr/>
                <a:graphic xmlns:a="http://schemas.openxmlformats.org/drawingml/2006/main">
                  <a:graphicData uri="http://schemas.microsoft.com/office/word/2010/wordprocessingShape">
                    <wps:wsp>
                      <wps:cNvSpPr txBox="1"/>
                      <wps:spPr>
                        <a:xfrm>
                          <a:off x="0" y="0"/>
                          <a:ext cx="1028700" cy="457200"/>
                        </a:xfrm>
                        <a:prstGeom prst="rect">
                          <a:avLst/>
                        </a:prstGeom>
                        <a:noFill/>
                        <a:ln>
                          <a:noFill/>
                        </a:ln>
                        <a:effectLst/>
                      </wps:spPr>
                      <wps:txbx>
                        <w:txbxContent>
                          <w:p w14:paraId="74DB25CE">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监理工程师指</w:t>
                            </w:r>
                          </w:p>
                          <w:p w14:paraId="6F57706D">
                            <w:pPr>
                              <w:spacing w:line="240" w:lineRule="exact"/>
                              <w:rPr>
                                <w:rFonts w:ascii="宋体" w:cs="Times New Roman"/>
                                <w:sz w:val="18"/>
                                <w:szCs w:val="18"/>
                              </w:rPr>
                            </w:pPr>
                            <w:r>
                              <w:rPr>
                                <w:rFonts w:hint="eastAsia" w:ascii="楷体_GB2312" w:hAnsi="宋体" w:eastAsia="楷体_GB2312" w:cs="楷体_GB2312"/>
                                <w:b/>
                                <w:bCs/>
                                <w:color w:val="000000"/>
                                <w:sz w:val="18"/>
                                <w:szCs w:val="18"/>
                              </w:rPr>
                              <w:t>令</w:t>
                            </w:r>
                          </w:p>
                        </w:txbxContent>
                      </wps:txbx>
                      <wps:bodyPr wrap="square" upright="1"/>
                    </wps:wsp>
                  </a:graphicData>
                </a:graphic>
              </wp:anchor>
            </w:drawing>
          </mc:Choice>
          <mc:Fallback>
            <w:pict>
              <v:shape id="_x0000_s1026" o:spid="_x0000_s1026" o:spt="202" type="#_x0000_t202" style="position:absolute;left:0pt;margin-left:-9pt;margin-top:21.9pt;height:36pt;width:81pt;z-index:251734016;mso-width-relative:page;mso-height-relative:page;" filled="f" stroked="f" coordsize="21600,21600" o:gfxdata="UEsDBAoAAAAAAIdO4kAAAAAAAAAAAAAAAAAEAAAAZHJzL1BLAwQUAAAACACHTuJAOZhKhdcAAAAK&#10;AQAADwAAAGRycy9kb3ducmV2LnhtbE2PQU/DMAyF70j8h8hI3Lako5u60nSHIa4gtoG0W9Z4bUXj&#10;VE22ln+Pd4Kb7ff0/L1iM7lOXHEIrScNyVyBQKq8banWcNi/zjIQIRqypvOEGn4wwKa8vytMbv1I&#10;H3jdxVpwCIXcaGhi7HMpQ9WgM2HueyTWzn5wJvI61NIOZuRw18mFUivpTEv8oTE9bhusvncXp+Hz&#10;7Xz8StV7/eKW/egnJcmtpdaPD4l6BhFxin9muOEzOpTMdPIXskF0GmZJxl2ihvSJK9wMacqHEw/J&#10;MgNZFvJ/hfIXUEsDBBQAAAAIAIdO4kAjUnTmuwEAAGwDAAAOAAAAZHJzL2Uyb0RvYy54bWytU0tu&#10;2zAQ3RfoHQjuY8pGmhiC5QCBkW6KpkDaA9DU0CIgfsKhLfkC7Q266qb7nsvn6FBS3DTdZNENNZzP&#10;47w3o9VNb1t2gIjGu4rPZwVn4JSvjdtV/Mvnu4slZ5ikq2XrHVT8CMhv1m/frLpQwsI3vq0hMgJx&#10;WHah4k1KoRQCVQNW4swHcBTUPlqZ6Bp3oo6yI3TbikVRXInOxzpErwCRvJsxyCfE+BpAr7VRsPFq&#10;b8GlETVCKxNRwsYE5OuhW61BpXutERJrK05M03DSI2Rv8ynWK1nuogyNUVML8jUtvOBkpXH06Blq&#10;I5Nk+2j+gbJGRY9ep5nyVoxEBkWIxbx4oc1DIwMMXEhqDGfR8f/Bqo+HT5GZuuLLOWdOWpr46fu3&#10;049fp59fGflIoC5gSXkPgTJTf+t7WpsnP5Iz8+51tPlLjBjFSd7jWV7oE1O5qFgsrwsKKYpdvrum&#10;bcgw4k91iJjeg7csGxWPNL5BVXn4gGlMfUrJjzl/Z9p2GGHr/nIQ5uiBYQem6kxkbDhbqd/2E7ut&#10;r49ErqM9qDg+7mUEzvYhml1DbQxkRS6hIQz9TguTp/z8Tvbzn2T9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DmYSoXXAAAACgEAAA8AAAAAAAAAAQAgAAAAIgAAAGRycy9kb3ducmV2LnhtbFBLAQIU&#10;ABQAAAAIAIdO4kAjUnTmuwEAAGwDAAAOAAAAAAAAAAEAIAAAACYBAABkcnMvZTJvRG9jLnhtbFBL&#10;BQYAAAAABgAGAFkBAABTBQAAAAA=&#10;">
                <v:fill on="f" focussize="0,0"/>
                <v:stroke on="f"/>
                <v:imagedata o:title=""/>
                <o:lock v:ext="edit" aspectratio="f"/>
                <v:textbox>
                  <w:txbxContent>
                    <w:p w14:paraId="74DB25CE">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监理工程师指</w:t>
                      </w:r>
                    </w:p>
                    <w:p w14:paraId="6F57706D">
                      <w:pPr>
                        <w:spacing w:line="240" w:lineRule="exact"/>
                        <w:rPr>
                          <w:rFonts w:ascii="宋体" w:cs="Times New Roman"/>
                          <w:sz w:val="18"/>
                          <w:szCs w:val="18"/>
                        </w:rPr>
                      </w:pPr>
                      <w:r>
                        <w:rPr>
                          <w:rFonts w:hint="eastAsia" w:ascii="楷体_GB2312" w:hAnsi="宋体" w:eastAsia="楷体_GB2312" w:cs="楷体_GB2312"/>
                          <w:b/>
                          <w:bCs/>
                          <w:color w:val="000000"/>
                          <w:sz w:val="18"/>
                          <w:szCs w:val="18"/>
                        </w:rPr>
                        <w:t>令</w:t>
                      </w:r>
                    </w:p>
                  </w:txbxContent>
                </v:textbox>
              </v:shape>
            </w:pict>
          </mc:Fallback>
        </mc:AlternateContent>
      </w:r>
      <w:r>
        <w:rPr>
          <w:rFonts w:hint="default" w:ascii="Times New Roman" w:hAnsi="Times New Roman" w:cs="Times New Roman"/>
          <w:b/>
          <w:bCs/>
          <w:color w:val="auto"/>
          <w:sz w:val="22"/>
          <w:szCs w:val="22"/>
          <w:highlight w:val="none"/>
        </w:rPr>
        <w:t xml:space="preserve">23.4  </w:t>
      </w:r>
      <w:r>
        <w:rPr>
          <w:rFonts w:hint="default" w:ascii="Times New Roman" w:hAnsi="Times New Roman" w:cs="Times New Roman"/>
          <w:b/>
          <w:bCs/>
          <w:color w:val="auto"/>
          <w:sz w:val="22"/>
          <w:szCs w:val="22"/>
          <w:highlight w:val="none"/>
          <w:u w:val="dotted"/>
        </w:rPr>
        <w:t xml:space="preserve">                                                                                                       </w:t>
      </w:r>
    </w:p>
    <w:p w14:paraId="53BB2926">
      <w:pPr>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监理工程师应按照合同约定时间向承包人提供实施合同工程的进度、质量和安全工作所需的批准、确认和通知等指令。</w:t>
      </w:r>
    </w:p>
    <w:p w14:paraId="3EAEC328">
      <w:pPr>
        <w:tabs>
          <w:tab w:val="left" w:pos="1260"/>
        </w:tabs>
        <w:spacing w:line="420" w:lineRule="exact"/>
        <w:ind w:left="1619" w:leftChars="771"/>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w:t>监理工程师提供的指令，均应采用书面形式。在紧急情况下，监理工程师可发出口头指令，但应在48小时内给予书面确认。对监理工程师的口头指令，承包人应予执行。如果承包人在监理工程师发出口头指令48小时后未收到书面确认，则应在接到口头指令后的7天内向监理工程师发出书面确认函。监理工程师应在承包人发出书面确认函后48小时内给予答复；逾期未予答复的，视为承包人的书面确认函已被认可。</w:t>
      </w:r>
    </w:p>
    <w:p w14:paraId="74EA4802">
      <w:pPr>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23.5  </w:t>
      </w:r>
      <w:r>
        <w:rPr>
          <w:rFonts w:hint="default" w:ascii="Times New Roman" w:hAnsi="Times New Roman" w:cs="Times New Roman"/>
          <w:b/>
          <w:bCs/>
          <w:color w:val="auto"/>
          <w:sz w:val="22"/>
          <w:szCs w:val="22"/>
          <w:highlight w:val="none"/>
          <w:u w:val="dotted"/>
        </w:rPr>
        <w:t xml:space="preserve">                                                                                                        </w:t>
      </w:r>
    </w:p>
    <w:p w14:paraId="252FD30B">
      <w:pPr>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35040" behindDoc="0" locked="0" layoutInCell="1" allowOverlap="1">
                <wp:simplePos x="0" y="0"/>
                <wp:positionH relativeFrom="column">
                  <wp:posOffset>-114300</wp:posOffset>
                </wp:positionH>
                <wp:positionV relativeFrom="paragraph">
                  <wp:posOffset>49530</wp:posOffset>
                </wp:positionV>
                <wp:extent cx="914400" cy="430530"/>
                <wp:effectExtent l="0" t="0" r="0" b="0"/>
                <wp:wrapNone/>
                <wp:docPr id="82" name="文本框 82"/>
                <wp:cNvGraphicFramePr/>
                <a:graphic xmlns:a="http://schemas.openxmlformats.org/drawingml/2006/main">
                  <a:graphicData uri="http://schemas.microsoft.com/office/word/2010/wordprocessingShape">
                    <wps:wsp>
                      <wps:cNvSpPr txBox="1"/>
                      <wps:spPr>
                        <a:xfrm>
                          <a:off x="0" y="0"/>
                          <a:ext cx="914400" cy="430530"/>
                        </a:xfrm>
                        <a:prstGeom prst="rect">
                          <a:avLst/>
                        </a:prstGeom>
                        <a:noFill/>
                        <a:ln>
                          <a:noFill/>
                        </a:ln>
                        <a:effectLst/>
                      </wps:spPr>
                      <wps:txbx>
                        <w:txbxContent>
                          <w:p w14:paraId="18F480F2">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承包人执行监理工程师指令</w:t>
                            </w:r>
                          </w:p>
                        </w:txbxContent>
                      </wps:txbx>
                      <wps:bodyPr wrap="square" upright="1"/>
                    </wps:wsp>
                  </a:graphicData>
                </a:graphic>
              </wp:anchor>
            </w:drawing>
          </mc:Choice>
          <mc:Fallback>
            <w:pict>
              <v:shape id="_x0000_s1026" o:spid="_x0000_s1026" o:spt="202" type="#_x0000_t202" style="position:absolute;left:0pt;margin-left:-9pt;margin-top:3.9pt;height:33.9pt;width:72pt;z-index:251735040;mso-width-relative:page;mso-height-relative:page;" filled="f" stroked="f" coordsize="21600,21600" o:gfxdata="UEsDBAoAAAAAAIdO4kAAAAAAAAAAAAAAAAAEAAAAZHJzL1BLAwQUAAAACACHTuJAlZ3x+tQAAAAI&#10;AQAADwAAAGRycy9kb3ducmV2LnhtbE2Py07DMBBF90j8gzVI7Fo7FQ0lxOkCxBZEeUjspvE0iYjH&#10;Uew24e+ZrmB5dUd3zim3s+/VicbYBbaQLQ0o4jq4jhsL729Piw2omJAd9oHJwg9F2FaXFyUWLkz8&#10;SqddapSMcCzQQpvSUGgd65Y8xmUYiKU7hNFjkjg22o04ybjv9cqYXHvsWD60ONBDS/X37ugtfDwf&#10;vj5vzEvz6NfDFGaj2d9pa6+vMnMPKtGc/o7hjC/oUAnTPhzZRdVbWGQbcUkWbsXg3K9yyXvJ6xx0&#10;Ver/AtUvUEsDBBQAAAAIAIdO4kD2qFIcvAEAAGsDAAAOAAAAZHJzL2Uyb0RvYy54bWytU0tu2zAQ&#10;3RfIHQjuY8qOU6SC5QCFkW6KtEDaA9DUyCLAXzm0JV+gvUFX3XTfc/kcHVGKm6abLLqhhvN5nPdm&#10;tLrtrWEHiKi9q/h8VnAGTvlau13FP3+6u7zhDJN0tTTeQcWPgPx2ffFq1YUSFr71pobICMRh2YWK&#10;tymFUghULViJMx/AUbDx0cpE17gTdZQdoVsjFkXxWnQ+1iF6BYjk3YxBPiHGlwD6ptEKNl7tLbg0&#10;okYwMhElbHVAvs7dNg2o9KFpEBIzFSemKZ/0CNnb4RTrlSx3UYZWq6kF+ZIWnnGyUjt69Ay1kUmy&#10;fdT/QFmtokffpJnyVoxEsiLEYl480+ahlQEyF5Iaw1l0/H+w6v7wMTJdV/xmwZmTliZ++v7t9OPX&#10;6edXRj4SqAtYUt5DoMzUv/U9rc2jH8k58O6baIcvMWIUJ3mPZ3mhT0yR8818uSwooii0vCqur7L8&#10;4k9xiJjegbdsMCoeaXpZVHl4j4kaodTHlOEt5++0MXmCxv3loMTRA3kFpuqBx9jvYKV+20/ktr4+&#10;EreO1qDi+GUvI3C2D1HvWmojcxVDCc0gNzHtyzDkp3eyn/4j6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CVnfH61AAAAAgBAAAPAAAAAAAAAAEAIAAAACIAAABkcnMvZG93bnJldi54bWxQSwECFAAU&#10;AAAACACHTuJA9qhSHLwBAABrAwAADgAAAAAAAAABACAAAAAjAQAAZHJzL2Uyb0RvYy54bWxQSwUG&#10;AAAAAAYABgBZAQAAUQUAAAAA&#10;">
                <v:fill on="f" focussize="0,0"/>
                <v:stroke on="f"/>
                <v:imagedata o:title=""/>
                <o:lock v:ext="edit" aspectratio="f"/>
                <v:textbox>
                  <w:txbxContent>
                    <w:p w14:paraId="18F480F2">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承包人执行监理工程师指令</w:t>
                      </w:r>
                    </w:p>
                  </w:txbxContent>
                </v:textbox>
              </v:shape>
            </w:pict>
          </mc:Fallback>
        </mc:AlternateContent>
      </w:r>
      <w:r>
        <w:rPr>
          <w:rFonts w:hint="default" w:ascii="Times New Roman" w:hAnsi="Times New Roman" w:cs="Times New Roman"/>
          <w:color w:val="auto"/>
          <w:sz w:val="22"/>
          <w:szCs w:val="22"/>
          <w:highlight w:val="none"/>
        </w:rPr>
        <w:t>如果承包人认为监理工程师的指令不合理，应在收到指令后24小时内向监理工程师提出书面报告，监理工程师应在收到承包人报告后24小时内做出修改指令或继续执行原指令的决定，并书面通知承包人。逾期不</w:t>
      </w:r>
      <w:r>
        <w:rPr>
          <w:rFonts w:hint="default" w:ascii="Times New Roman" w:hAnsi="Times New Roman" w:cs="Times New Roman"/>
          <w:color w:val="auto"/>
          <w:sz w:val="22"/>
          <w:szCs w:val="22"/>
          <w:highlight w:val="none"/>
          <w:lang w:eastAsia="zh-CN"/>
        </w:rPr>
        <w:t>作出决定</w:t>
      </w:r>
      <w:r>
        <w:rPr>
          <w:rFonts w:hint="default" w:ascii="Times New Roman" w:hAnsi="Times New Roman" w:cs="Times New Roman"/>
          <w:color w:val="auto"/>
          <w:sz w:val="22"/>
          <w:szCs w:val="22"/>
          <w:highlight w:val="none"/>
        </w:rPr>
        <w:t>的，承包人可不执行监理工程师的指令。</w:t>
      </w:r>
    </w:p>
    <w:p w14:paraId="446FF19A">
      <w:pPr>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23.6</w:t>
      </w:r>
      <w:r>
        <w:rPr>
          <w:rFonts w:hint="default" w:ascii="Times New Roman" w:hAnsi="Times New Roman" w:cs="Times New Roman"/>
          <w:color w:val="auto"/>
          <w:sz w:val="22"/>
          <w:szCs w:val="22"/>
          <w:highlight w:val="none"/>
        </w:rPr>
        <w:t xml:space="preserve">  </w:t>
      </w:r>
      <w:r>
        <w:rPr>
          <w:rFonts w:hint="default" w:ascii="Times New Roman" w:hAnsi="Times New Roman" w:cs="Times New Roman"/>
          <w:color w:val="auto"/>
          <w:sz w:val="22"/>
          <w:szCs w:val="22"/>
          <w:highlight w:val="none"/>
          <w:u w:val="dotted"/>
        </w:rPr>
        <w:t xml:space="preserve">                                                                                                        </w:t>
      </w:r>
    </w:p>
    <w:p w14:paraId="46BAFA0B">
      <w:pPr>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36064" behindDoc="0" locked="0" layoutInCell="1" allowOverlap="1">
                <wp:simplePos x="0" y="0"/>
                <wp:positionH relativeFrom="column">
                  <wp:posOffset>-114300</wp:posOffset>
                </wp:positionH>
                <wp:positionV relativeFrom="paragraph">
                  <wp:posOffset>21590</wp:posOffset>
                </wp:positionV>
                <wp:extent cx="914400" cy="443230"/>
                <wp:effectExtent l="0" t="0" r="0" b="0"/>
                <wp:wrapNone/>
                <wp:docPr id="83" name="文本框 83"/>
                <wp:cNvGraphicFramePr/>
                <a:graphic xmlns:a="http://schemas.openxmlformats.org/drawingml/2006/main">
                  <a:graphicData uri="http://schemas.microsoft.com/office/word/2010/wordprocessingShape">
                    <wps:wsp>
                      <wps:cNvSpPr txBox="1"/>
                      <wps:spPr>
                        <a:xfrm>
                          <a:off x="0" y="0"/>
                          <a:ext cx="914400" cy="443230"/>
                        </a:xfrm>
                        <a:prstGeom prst="rect">
                          <a:avLst/>
                        </a:prstGeom>
                        <a:noFill/>
                        <a:ln>
                          <a:noFill/>
                        </a:ln>
                        <a:effectLst/>
                      </wps:spPr>
                      <wps:txbx>
                        <w:txbxContent>
                          <w:p w14:paraId="77985513">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监理工程师职权委托</w:t>
                            </w:r>
                          </w:p>
                        </w:txbxContent>
                      </wps:txbx>
                      <wps:bodyPr wrap="square" upright="1"/>
                    </wps:wsp>
                  </a:graphicData>
                </a:graphic>
              </wp:anchor>
            </w:drawing>
          </mc:Choice>
          <mc:Fallback>
            <w:pict>
              <v:shape id="_x0000_s1026" o:spid="_x0000_s1026" o:spt="202" type="#_x0000_t202" style="position:absolute;left:0pt;margin-left:-9pt;margin-top:1.7pt;height:34.9pt;width:72pt;z-index:251736064;mso-width-relative:page;mso-height-relative:page;" filled="f" stroked="f" coordsize="21600,21600" o:gfxdata="UEsDBAoAAAAAAIdO4kAAAAAAAAAAAAAAAAAEAAAAZHJzL1BLAwQUAAAACACHTuJApLIZsdYAAAAI&#10;AQAADwAAAGRycy9kb3ducmV2LnhtbE2PQU/CQBSE7yb+h80z8Qa7LQhY+spB41UjAom3pftoG7pv&#10;m+5C6793OelxMpOZb/LNaFtxpd43jhGSqQJBXDrTcIWw+3qbrED4oNno1jEh/JCHTXF/l+vMuIE/&#10;6boNlYgl7DONUIfQZVL6siar/dR1xNE7ud7qEGVfSdPrIZbbVqZKLaTVDceFWnf0UlN53l4swv79&#10;9H2Yq4/q1T51gxuVZPssER8fErUGEWgMf2G44Ud0KCLT0V3YeNEiTJJV/BIQZnMQNz9dRH1EWM5S&#10;kEUu/x8ofgFQSwMEFAAAAAgAh07iQLLZoVC8AQAAawMAAA4AAABkcnMvZTJvRG9jLnhtbK1TS27b&#10;MBDdF+gdCO5ryh8UqWA5QGCkm6ItkPYANDW0CIifcmhLvkB7g6666b7n8jk6ohQnTTdZZEMN5/M4&#10;781ofd3blh0hovGu4vNZwRk45Wvj9hX/+uX2zRVnmKSrZesdVPwEyK83r1+tu1DCwje+rSEyAnFY&#10;dqHiTUqhFAJVA1bizAdwFNQ+WpnoGveijrIjdNuKRVG8FZ2PdYheASJ5t2OQT4jxOYBea6Ng69XB&#10;gksjaoRWJqKEjQnIN7lbrUGlT1ojJNZWnJimfNIjZO+GU2zWstxHGRqjphbkc1p4wslK4+jRC9RW&#10;JskO0fwHZY2KHr1OM+WtGIlkRYjFvHiizV0jA2QuJDWGi+j4crDq4/FzZKau+NWSMyctTfz888f5&#10;15/z7++MfCRQF7CkvLtAmam/8T2tzb0fyTnw7nW0w5cYMYqTvKeLvNAnpsj5br5aFRRRFFqtlotl&#10;ll88FIeI6T14ywaj4pGml0WVxw+YqBFKvU8Z3nL+1rRtnmDr/nFQ4uiBvAJT9cBj7HewUr/rJ3I7&#10;X5+IW0drUHH8dpARODuEaPYNtZG5iqGEZpCbmPZlGPLjO9mP/5HNX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SyGbHWAAAACAEAAA8AAAAAAAAAAQAgAAAAIgAAAGRycy9kb3ducmV2LnhtbFBLAQIU&#10;ABQAAAAIAIdO4kCy2aFQvAEAAGsDAAAOAAAAAAAAAAEAIAAAACUBAABkcnMvZTJvRG9jLnhtbFBL&#10;BQYAAAAABgAGAFkBAABTBQAAAAA=&#10;">
                <v:fill on="f" focussize="0,0"/>
                <v:stroke on="f"/>
                <v:imagedata o:title=""/>
                <o:lock v:ext="edit" aspectratio="f"/>
                <v:textbox>
                  <w:txbxContent>
                    <w:p w14:paraId="77985513">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监理工程师职权委托</w:t>
                      </w:r>
                    </w:p>
                  </w:txbxContent>
                </v:textbox>
              </v:shape>
            </w:pict>
          </mc:Fallback>
        </mc:AlternateContent>
      </w:r>
      <w:r>
        <w:rPr>
          <w:rFonts w:hint="default" w:ascii="Times New Roman" w:hAnsi="Times New Roman" w:cs="Times New Roman"/>
          <w:color w:val="auto"/>
          <w:sz w:val="22"/>
          <w:szCs w:val="22"/>
          <w:highlight w:val="none"/>
        </w:rPr>
        <w:t>监理工程师可按照第21.3款规定授权给其任命的监理工程师代表，亦可将其授权撤回。监理工程师代表行使监理工程师授予的职权，对监理工程师负责。监理工程师代表在监理工程师授予职权范围内工作，监理工程师应予认可，但监理工程师保留因监理工程师代表未反对合同工程的工程质量检查、材料和工程设备使用等工作的错误而否定该类工作，并发出纠正指令的权力。未按照第21.3款规定，任何此类任命或撤回均为无效。</w:t>
      </w:r>
    </w:p>
    <w:p w14:paraId="6E74002E">
      <w:pPr>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23.7  </w:t>
      </w:r>
      <w:r>
        <w:rPr>
          <w:rFonts w:hint="default" w:ascii="Times New Roman" w:hAnsi="Times New Roman" w:cs="Times New Roman"/>
          <w:b/>
          <w:bCs/>
          <w:color w:val="auto"/>
          <w:sz w:val="22"/>
          <w:szCs w:val="22"/>
          <w:highlight w:val="none"/>
          <w:u w:val="dotted"/>
        </w:rPr>
        <w:t xml:space="preserve">                                                                                                        </w:t>
      </w:r>
    </w:p>
    <w:p w14:paraId="2F86DCF4">
      <w:pPr>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37088" behindDoc="0" locked="0" layoutInCell="1" allowOverlap="1">
                <wp:simplePos x="0" y="0"/>
                <wp:positionH relativeFrom="column">
                  <wp:posOffset>-114300</wp:posOffset>
                </wp:positionH>
                <wp:positionV relativeFrom="paragraph">
                  <wp:posOffset>29210</wp:posOffset>
                </wp:positionV>
                <wp:extent cx="914400" cy="610870"/>
                <wp:effectExtent l="0" t="0" r="0" b="0"/>
                <wp:wrapNone/>
                <wp:docPr id="84" name="文本框 84"/>
                <wp:cNvGraphicFramePr/>
                <a:graphic xmlns:a="http://schemas.openxmlformats.org/drawingml/2006/main">
                  <a:graphicData uri="http://schemas.microsoft.com/office/word/2010/wordprocessingShape">
                    <wps:wsp>
                      <wps:cNvSpPr txBox="1"/>
                      <wps:spPr>
                        <a:xfrm>
                          <a:off x="0" y="0"/>
                          <a:ext cx="914400" cy="610870"/>
                        </a:xfrm>
                        <a:prstGeom prst="rect">
                          <a:avLst/>
                        </a:prstGeom>
                        <a:noFill/>
                        <a:ln>
                          <a:noFill/>
                        </a:ln>
                        <a:effectLst/>
                      </wps:spPr>
                      <wps:txbx>
                        <w:txbxContent>
                          <w:p w14:paraId="1B48BD9F">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监理工程师未尽义务或失误的责任</w:t>
                            </w:r>
                          </w:p>
                        </w:txbxContent>
                      </wps:txbx>
                      <wps:bodyPr wrap="square" upright="1"/>
                    </wps:wsp>
                  </a:graphicData>
                </a:graphic>
              </wp:anchor>
            </w:drawing>
          </mc:Choice>
          <mc:Fallback>
            <w:pict>
              <v:shape id="_x0000_s1026" o:spid="_x0000_s1026" o:spt="202" type="#_x0000_t202" style="position:absolute;left:0pt;margin-left:-9pt;margin-top:2.3pt;height:48.1pt;width:72pt;z-index:251737088;mso-width-relative:page;mso-height-relative:page;" filled="f" stroked="f" coordsize="21600,21600" o:gfxdata="UEsDBAoAAAAAAIdO4kAAAAAAAAAAAAAAAAAEAAAAZHJzL1BLAwQUAAAACACHTuJA+Oocz9YAAAAJ&#10;AQAADwAAAGRycy9kb3ducmV2LnhtbE2PwW7CMBBE75X6D9ZW6g3sIBqlIQ4HUK+tSgGpNxMvSUS8&#10;jmJD0r/vcmpvO5rR7JtiPblO3HAIrScNyVyBQKq8banWsP96m2UgQjRkTecJNfxggHX5+FCY3PqR&#10;PvG2i7XgEgq50dDE2OdShqpBZ8Lc90jsnf3gTGQ51NIOZuRy18mFUql0piX+0JgeNw1Wl93VaTi8&#10;n7+PS/VRb91LP/pJSXKvUuvnp0StQESc4l8Y7viMDiUznfyVbBCdhlmS8ZaoYZmCuPuLlPWJD6Uy&#10;kGUh/y8ofwFQSwMEFAAAAAgAh07iQOzI3y+8AQAAawMAAA4AAABkcnMvZTJvRG9jLnhtbK1TS27b&#10;MBDdF8gdCO5ryoGRuoLlAIWRbIq2QNoD0NTQIiB+yqEt+QLtDbrqpvuey+foiFKc3yaLbqjhfB7n&#10;vRmtrnvbsgNENN5VfD4rOAOnfG3cruLfvt68XXKGSbpatt5BxY+A/Hp98WbVhRIufePbGiIjEIdl&#10;FyrepBRKIVA1YCXOfABHQe2jlYmucSfqKDtCt624LIor0flYh+gVIJJ3Mwb5hBhfA+i1Ngo2Xu0t&#10;uDSiRmhlIkrYmIB8nbvVGlT6rDVCYm3FiWnKJz1C9nY4xXoly12UoTFqakG+poVnnKw0jh49Q21k&#10;kmwfzQsoa1T06HWaKW/FSCQrQizmxTNt7hoZIHMhqTGcRcf/B6s+Hb5EZuqKLxecOWlp4qdfP0+/&#10;/57+/GDkI4G6gCXl3QXKTP0H39Pa3PuRnAPvXkc7fIkRozjJezzLC31iipzv54tFQRFFoat5sXyX&#10;5RcPxSFiugVv2WBUPNL0sqjy8BETNUKp9ynDW87fmLbNE2zdEwcljh7IKzBVDzzGfgcr9dt+Irf1&#10;9ZG4dbQGFcfvexmBs32IZtdQG5mrGEpoBrmJaV+GIT++k/34H1n/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PjqHM/WAAAACQEAAA8AAAAAAAAAAQAgAAAAIgAAAGRycy9kb3ducmV2LnhtbFBLAQIU&#10;ABQAAAAIAIdO4kDsyN8vvAEAAGsDAAAOAAAAAAAAAAEAIAAAACUBAABkcnMvZTJvRG9jLnhtbFBL&#10;BQYAAAAABgAGAFkBAABTBQAAAAA=&#10;">
                <v:fill on="f" focussize="0,0"/>
                <v:stroke on="f"/>
                <v:imagedata o:title=""/>
                <o:lock v:ext="edit" aspectratio="f"/>
                <v:textbox>
                  <w:txbxContent>
                    <w:p w14:paraId="1B48BD9F">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监理工程师未尽义务或失误的责任</w:t>
                      </w:r>
                    </w:p>
                  </w:txbxContent>
                </v:textbox>
              </v:shape>
            </w:pict>
          </mc:Fallback>
        </mc:AlternateContent>
      </w:r>
      <w:r>
        <w:rPr>
          <w:rFonts w:hint="default" w:ascii="Times New Roman" w:hAnsi="Times New Roman" w:cs="Times New Roman"/>
          <w:color w:val="auto"/>
          <w:sz w:val="22"/>
          <w:szCs w:val="22"/>
          <w:highlight w:val="none"/>
        </w:rPr>
        <w:t>监理工程师（含其代表）未能正确完成本合同约定的全部义务，或工作出现失误，导致费用的增加和（或）延误的工期，由发包人承担；给承包人造成损失的，发包人应予赔偿。</w:t>
      </w:r>
    </w:p>
    <w:p w14:paraId="2E6CFF04">
      <w:pPr>
        <w:tabs>
          <w:tab w:val="left" w:pos="1260"/>
        </w:tabs>
        <w:spacing w:line="420" w:lineRule="exact"/>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4D44CC0E">
      <w:pPr>
        <w:pStyle w:val="5"/>
        <w:numPr>
          <w:ilvl w:val="0"/>
          <w:numId w:val="0"/>
        </w:numPr>
        <w:tabs>
          <w:tab w:val="left" w:pos="360"/>
          <w:tab w:val="left" w:pos="420"/>
          <w:tab w:val="left" w:pos="1287"/>
        </w:tabs>
        <w:spacing w:line="420" w:lineRule="exact"/>
        <w:rPr>
          <w:rFonts w:hint="default" w:ascii="Times New Roman" w:hAnsi="Times New Roman" w:cs="Times New Roman"/>
          <w:color w:val="auto"/>
          <w:sz w:val="22"/>
          <w:szCs w:val="22"/>
          <w:highlight w:val="none"/>
        </w:rPr>
      </w:pPr>
      <w:bookmarkStart w:id="135" w:name="_Toc21746"/>
      <w:bookmarkStart w:id="136" w:name="_Toc469384004"/>
      <w:r>
        <w:rPr>
          <w:rFonts w:hint="default" w:ascii="Times New Roman" w:hAnsi="Times New Roman" w:cs="Times New Roman"/>
          <w:color w:val="auto"/>
          <w:sz w:val="22"/>
          <w:szCs w:val="22"/>
          <w:highlight w:val="none"/>
        </w:rPr>
        <w:t>24  造价工程师</w:t>
      </w:r>
      <w:bookmarkEnd w:id="135"/>
      <w:bookmarkEnd w:id="136"/>
    </w:p>
    <w:p w14:paraId="46BD46D2">
      <w:pPr>
        <w:tabs>
          <w:tab w:val="left" w:pos="1260"/>
        </w:tabs>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24.1                                                   </w:t>
      </w:r>
    </w:p>
    <w:p w14:paraId="07B2B2A5">
      <w:pPr>
        <w:pStyle w:val="22"/>
        <w:tabs>
          <w:tab w:val="left" w:pos="1260"/>
          <w:tab w:val="left" w:pos="1620"/>
        </w:tabs>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38112" behindDoc="0" locked="0" layoutInCell="1" allowOverlap="1">
                <wp:simplePos x="0" y="0"/>
                <wp:positionH relativeFrom="column">
                  <wp:posOffset>-114300</wp:posOffset>
                </wp:positionH>
                <wp:positionV relativeFrom="paragraph">
                  <wp:posOffset>45720</wp:posOffset>
                </wp:positionV>
                <wp:extent cx="914400" cy="449580"/>
                <wp:effectExtent l="0" t="0" r="0" b="0"/>
                <wp:wrapNone/>
                <wp:docPr id="85" name="文本框 85"/>
                <wp:cNvGraphicFramePr/>
                <a:graphic xmlns:a="http://schemas.openxmlformats.org/drawingml/2006/main">
                  <a:graphicData uri="http://schemas.microsoft.com/office/word/2010/wordprocessingShape">
                    <wps:wsp>
                      <wps:cNvSpPr txBox="1"/>
                      <wps:spPr>
                        <a:xfrm>
                          <a:off x="0" y="0"/>
                          <a:ext cx="914400" cy="449580"/>
                        </a:xfrm>
                        <a:prstGeom prst="rect">
                          <a:avLst/>
                        </a:prstGeom>
                        <a:noFill/>
                        <a:ln>
                          <a:noFill/>
                        </a:ln>
                        <a:effectLst/>
                      </wps:spPr>
                      <wps:txbx>
                        <w:txbxContent>
                          <w:p w14:paraId="70566F6F">
                            <w:pPr>
                              <w:spacing w:line="240" w:lineRule="exact"/>
                              <w:rPr>
                                <w:rFonts w:ascii="楷体_GB2312" w:hAnsi="宋体" w:eastAsia="楷体_GB2312" w:cs="Times New Roman"/>
                                <w:b/>
                                <w:bCs/>
                                <w:color w:val="000000"/>
                                <w:sz w:val="18"/>
                                <w:szCs w:val="18"/>
                              </w:rPr>
                            </w:pPr>
                            <w:r>
                              <w:rPr>
                                <w:rFonts w:hint="eastAsia" w:ascii="楷体_GB2312" w:eastAsia="楷体_GB2312" w:cs="楷体_GB2312"/>
                                <w:b/>
                                <w:bCs/>
                                <w:color w:val="000000"/>
                                <w:sz w:val="18"/>
                                <w:szCs w:val="18"/>
                              </w:rPr>
                              <w:t>发包人对造价工程师授权</w:t>
                            </w:r>
                          </w:p>
                        </w:txbxContent>
                      </wps:txbx>
                      <wps:bodyPr wrap="square" upright="1"/>
                    </wps:wsp>
                  </a:graphicData>
                </a:graphic>
              </wp:anchor>
            </w:drawing>
          </mc:Choice>
          <mc:Fallback>
            <w:pict>
              <v:shape id="_x0000_s1026" o:spid="_x0000_s1026" o:spt="202" type="#_x0000_t202" style="position:absolute;left:0pt;margin-left:-9pt;margin-top:3.6pt;height:35.4pt;width:72pt;z-index:251738112;mso-width-relative:page;mso-height-relative:page;" filled="f" stroked="f" coordsize="21600,21600" o:gfxdata="UEsDBAoAAAAAAIdO4kAAAAAAAAAAAAAAAAAEAAAAZHJzL1BLAwQUAAAACACHTuJAbo5MUNMAAAAI&#10;AQAADwAAAGRycy9kb3ducmV2LnhtbE2PwU7DMBBE70j8g7VI3Fo7EZQSsukBxBVEC0jc3HibRMTr&#10;KHab8PdsT3B8O6PZmXIz+16daIxdYIRsaUAR18F13CC8754Xa1AxWXa2D0wIPxRhU11elLZwYeI3&#10;Om1ToySEY2ER2pSGQutYt+RtXIaBWLRDGL1NgmOj3WgnCfe9zo1ZaW87lg+tHeixpfp7e/QIHy+H&#10;r88b89o8+dthCrPR7O814vVVZh5AJZrTnxnO9aU6VNJpH47souoRFtlatiSEuxzUWc9Xwnthueuq&#10;1P8HVL9QSwMEFAAAAAgAh07iQH2ef5G8AQAAawMAAA4AAABkcnMvZTJvRG9jLnhtbK1TS27bMBDd&#10;F8gdCO5jyYFTOILlAIWRbIK2QNoD0NTQIsBfObQlX6C9QVfddN9z+RwdUYqbppssuqGG83mc92a0&#10;uu2tYQeIqL2r+XxWcgZO+ka7Xc0/f7q7XHKGSbhGGO+g5kdAfru+eLPqQgVXvvWmgcgIxGHVhZq3&#10;KYWqKFC2YAXOfABHQeWjFYmucVc0UXSEbk1xVZZvi87HJkQvAZG8mzHIJ8T4GkCvlJaw8XJvwaUR&#10;NYIRiShhqwPyde5WKZDpg1IIiZmaE9OUT3qE7O1wFuuVqHZRhFbLqQXxmhZecLJCO3r0DLURSbB9&#10;1P9AWS2jR6/STHpbjESyIsRiXr7Q5rEVATIXkhrDWXT8f7Dy/eFjZLqp+fKaMycsTfz0/dvpx6/T&#10;z6+MfCRQF7CivMdAmal/53tamyc/knPg3atohy8xYhQneY9neaFPTJLzZr5YlBSRFFosbq6XWf7i&#10;T3GImO7BWzYYNY80vSyqODxgokYo9SlleMv5O21MnqBxfzkocfRAXoGpeuAx9jtYqd/2E7mtb47E&#10;raM1qDl+2YsInO1D1LuW2shci6GEZpCbmPZlGPLzO9nP/5H1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G6OTFDTAAAACAEAAA8AAAAAAAAAAQAgAAAAIgAAAGRycy9kb3ducmV2LnhtbFBLAQIUABQA&#10;AAAIAIdO4kB9nn+RvAEAAGsDAAAOAAAAAAAAAAEAIAAAACIBAABkcnMvZTJvRG9jLnhtbFBLBQYA&#10;AAAABgAGAFkBAABQBQAAAAA=&#10;">
                <v:fill on="f" focussize="0,0"/>
                <v:stroke on="f"/>
                <v:imagedata o:title=""/>
                <o:lock v:ext="edit" aspectratio="f"/>
                <v:textbox>
                  <w:txbxContent>
                    <w:p w14:paraId="70566F6F">
                      <w:pPr>
                        <w:spacing w:line="240" w:lineRule="exact"/>
                        <w:rPr>
                          <w:rFonts w:ascii="楷体_GB2312" w:hAnsi="宋体" w:eastAsia="楷体_GB2312" w:cs="Times New Roman"/>
                          <w:b/>
                          <w:bCs/>
                          <w:color w:val="000000"/>
                          <w:sz w:val="18"/>
                          <w:szCs w:val="18"/>
                        </w:rPr>
                      </w:pPr>
                      <w:r>
                        <w:rPr>
                          <w:rFonts w:hint="eastAsia" w:ascii="楷体_GB2312" w:eastAsia="楷体_GB2312" w:cs="楷体_GB2312"/>
                          <w:b/>
                          <w:bCs/>
                          <w:color w:val="000000"/>
                          <w:sz w:val="18"/>
                          <w:szCs w:val="18"/>
                        </w:rPr>
                        <w:t>发包人对造价工程师授权</w:t>
                      </w:r>
                    </w:p>
                  </w:txbxContent>
                </v:textbox>
              </v:shape>
            </w:pict>
          </mc:Fallback>
        </mc:AlternateContent>
      </w:r>
      <w:r>
        <w:rPr>
          <w:rFonts w:hint="default" w:ascii="Times New Roman" w:hAnsi="Times New Roman" w:cs="Times New Roman"/>
          <w:color w:val="auto"/>
          <w:sz w:val="22"/>
          <w:szCs w:val="22"/>
          <w:highlight w:val="none"/>
        </w:rPr>
        <w:t>发包人应在专用条款中写明负责合同工程造价专业技术的工程造价咨询人（如有）名称和造价工程师具体人选，并在开工前将造价工程师任命书以书面形式通知承包人，授予其代表发包人履行合同规定职责所需的权力。</w:t>
      </w:r>
    </w:p>
    <w:p w14:paraId="2244883F">
      <w:pPr>
        <w:tabs>
          <w:tab w:val="left" w:pos="1260"/>
        </w:tabs>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24.2  </w:t>
      </w:r>
      <w:r>
        <w:rPr>
          <w:rFonts w:hint="default" w:ascii="Times New Roman" w:hAnsi="Times New Roman" w:cs="Times New Roman"/>
          <w:b/>
          <w:bCs/>
          <w:color w:val="auto"/>
          <w:sz w:val="22"/>
          <w:szCs w:val="22"/>
          <w:highlight w:val="none"/>
          <w:u w:val="dotted"/>
        </w:rPr>
        <w:t xml:space="preserve">                                                                                                        </w:t>
      </w:r>
    </w:p>
    <w:p w14:paraId="6B29D08B">
      <w:pPr>
        <w:tabs>
          <w:tab w:val="left" w:pos="1260"/>
        </w:tabs>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39136" behindDoc="0" locked="0" layoutInCell="1" allowOverlap="1">
                <wp:simplePos x="0" y="0"/>
                <wp:positionH relativeFrom="column">
                  <wp:posOffset>-114300</wp:posOffset>
                </wp:positionH>
                <wp:positionV relativeFrom="paragraph">
                  <wp:posOffset>-1270</wp:posOffset>
                </wp:positionV>
                <wp:extent cx="914400" cy="427990"/>
                <wp:effectExtent l="0" t="0" r="0" b="0"/>
                <wp:wrapNone/>
                <wp:docPr id="86" name="文本框 86"/>
                <wp:cNvGraphicFramePr/>
                <a:graphic xmlns:a="http://schemas.openxmlformats.org/drawingml/2006/main">
                  <a:graphicData uri="http://schemas.microsoft.com/office/word/2010/wordprocessingShape">
                    <wps:wsp>
                      <wps:cNvSpPr txBox="1"/>
                      <wps:spPr>
                        <a:xfrm>
                          <a:off x="0" y="0"/>
                          <a:ext cx="914400" cy="427990"/>
                        </a:xfrm>
                        <a:prstGeom prst="rect">
                          <a:avLst/>
                        </a:prstGeom>
                        <a:noFill/>
                        <a:ln>
                          <a:noFill/>
                        </a:ln>
                        <a:effectLst/>
                      </wps:spPr>
                      <wps:txbx>
                        <w:txbxContent>
                          <w:p w14:paraId="36893A4E">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造价工程师职权</w:t>
                            </w:r>
                          </w:p>
                        </w:txbxContent>
                      </wps:txbx>
                      <wps:bodyPr wrap="square" upright="1"/>
                    </wps:wsp>
                  </a:graphicData>
                </a:graphic>
              </wp:anchor>
            </w:drawing>
          </mc:Choice>
          <mc:Fallback>
            <w:pict>
              <v:shape id="_x0000_s1026" o:spid="_x0000_s1026" o:spt="202" type="#_x0000_t202" style="position:absolute;left:0pt;margin-left:-9pt;margin-top:-0.1pt;height:33.7pt;width:72pt;z-index:251739136;mso-width-relative:page;mso-height-relative:page;" filled="f" stroked="f" coordsize="21600,21600" o:gfxdata="UEsDBAoAAAAAAIdO4kAAAAAAAAAAAAAAAAAEAAAAZHJzL1BLAwQUAAAACACHTuJAnKK2o9UAAAAI&#10;AQAADwAAAGRycy9kb3ducmV2LnhtbE2PwU7DMBBE70j9B2srcWvtRBDaEKeHVlxBtIDUmxtvk4h4&#10;HcVuE/6e7QluO5rR7JtiM7lOXHEIrScNyVKBQKq8banW8HF4WaxAhGjIms4TavjBAJtydleY3PqR&#10;3vG6j7XgEgq50dDE2OdShqpBZ8LS90jsnf3gTGQ51NIOZuRy18lUqUw60xJ/aEyP2war7/3Fafh8&#10;PR+/HtRbvXOP/egnJcmtpdb380Q9g4g4xb8w3PAZHUpmOvkL2SA6DYtkxVsiHymIm59mrE8asqcU&#10;ZFnI/wPKX1BLAwQUAAAACACHTuJAVKMVSrwBAABrAwAADgAAAGRycy9lMm9Eb2MueG1srVNLbtsw&#10;EN0X6B0I7mvJhpHGguUAgZFuirZA2gPQ1NAiwF84tCVfoL1BV91033P5HB1Ripummyy6oYbzeZz3&#10;ZrS+6a1hR4iovav5fFZyBk76Rrt9zb98vntzzRkm4RphvIOanwD5zeb1q3UXKlj41psGIiMQh1UX&#10;at6mFKqiQNmCFTjzARwFlY9WJLrGfdFE0RG6NcWiLK+KzscmRC8BkbzbMcgnxPgSQK+UlrD18mDB&#10;pRE1ghGJKGGrA/JN7lYpkOmjUgiJmZoT05RPeoTs3XAWm7Wo9lGEVsupBfGSFp5xskI7evQCtRVJ&#10;sEPU/0BZLaNHr9JMeluMRLIixGJePtPmvhUBMheSGsNFdPx/sPLD8VNkuqn59RVnTlia+Pn7t/OP&#10;X+efXxn5SKAuYEV594EyU3/re1qbRz+Sc+Ddq2iHLzFiFCd5Txd5oU9MknM1Xy5LikgKLRdvV6ss&#10;f/GnOERM78BbNhg1jzS9LKo4vsdEjVDqY8rwlvN32pg8QeP+clDi6IG8AlP1wGPsd7BSv+sncjvf&#10;nIhbR2tQc3w4iAicHULU+5bayFyLoYRmkJuY9mUY8tM72U//kc1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nKK2o9UAAAAIAQAADwAAAAAAAAABACAAAAAiAAAAZHJzL2Rvd25yZXYueG1sUEsBAhQA&#10;FAAAAAgAh07iQFSjFUq8AQAAawMAAA4AAAAAAAAAAQAgAAAAJAEAAGRycy9lMm9Eb2MueG1sUEsF&#10;BgAAAAAGAAYAWQEAAFIFAAAAAA==&#10;">
                <v:fill on="f" focussize="0,0"/>
                <v:stroke on="f"/>
                <v:imagedata o:title=""/>
                <o:lock v:ext="edit" aspectratio="f"/>
                <v:textbox>
                  <w:txbxContent>
                    <w:p w14:paraId="36893A4E">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造价工程师职权</w:t>
                      </w:r>
                    </w:p>
                  </w:txbxContent>
                </v:textbox>
              </v:shape>
            </w:pict>
          </mc:Fallback>
        </mc:AlternateContent>
      </w:r>
      <w:r>
        <w:rPr>
          <w:rFonts w:hint="default" w:ascii="Times New Roman" w:hAnsi="Times New Roman" w:cs="Times New Roman"/>
          <w:color w:val="auto"/>
          <w:sz w:val="22"/>
          <w:szCs w:val="22"/>
          <w:highlight w:val="none"/>
        </w:rPr>
        <w:t>造价工程师行使合同明文规定和必然隐含的职权，代表发包人负责工程计量和计价，工程进度款的调整和核实，结算价款的编制、调整和复核，签发支付证书，及时向承包人提供合同价款的核实、调整和通知等指令。造价工程师无权免除或变更合同规定的合同任何一方当事人在合同履行期间的</w:t>
      </w:r>
      <w:r>
        <w:rPr>
          <w:rFonts w:hint="default" w:ascii="Times New Roman" w:hAnsi="Times New Roman" w:cs="Times New Roman"/>
          <w:color w:val="auto"/>
          <w:sz w:val="22"/>
          <w:szCs w:val="22"/>
          <w:highlight w:val="none"/>
          <w:lang w:eastAsia="zh-CN"/>
        </w:rPr>
        <w:t>权利</w:t>
      </w:r>
      <w:r>
        <w:rPr>
          <w:rFonts w:hint="default" w:ascii="Times New Roman" w:hAnsi="Times New Roman" w:cs="Times New Roman"/>
          <w:color w:val="auto"/>
          <w:sz w:val="22"/>
          <w:szCs w:val="22"/>
          <w:highlight w:val="none"/>
        </w:rPr>
        <w:t>、义务和责任。</w:t>
      </w:r>
    </w:p>
    <w:p w14:paraId="175D4533">
      <w:pPr>
        <w:tabs>
          <w:tab w:val="left" w:pos="1260"/>
        </w:tabs>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24.3  </w:t>
      </w:r>
      <w:r>
        <w:rPr>
          <w:rFonts w:hint="default" w:ascii="Times New Roman" w:hAnsi="Times New Roman" w:cs="Times New Roman"/>
          <w:b/>
          <w:bCs/>
          <w:color w:val="auto"/>
          <w:sz w:val="22"/>
          <w:szCs w:val="22"/>
          <w:highlight w:val="none"/>
          <w:u w:val="dotted"/>
        </w:rPr>
        <w:t xml:space="preserve">                                                                                                        </w:t>
      </w:r>
    </w:p>
    <w:p w14:paraId="1427DE65">
      <w:pPr>
        <w:tabs>
          <w:tab w:val="left" w:pos="1260"/>
        </w:tabs>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40160" behindDoc="0" locked="0" layoutInCell="1" allowOverlap="1">
                <wp:simplePos x="0" y="0"/>
                <wp:positionH relativeFrom="column">
                  <wp:posOffset>-114300</wp:posOffset>
                </wp:positionH>
                <wp:positionV relativeFrom="paragraph">
                  <wp:posOffset>0</wp:posOffset>
                </wp:positionV>
                <wp:extent cx="914400" cy="510540"/>
                <wp:effectExtent l="0" t="0" r="0" b="0"/>
                <wp:wrapNone/>
                <wp:docPr id="87" name="文本框 87"/>
                <wp:cNvGraphicFramePr/>
                <a:graphic xmlns:a="http://schemas.openxmlformats.org/drawingml/2006/main">
                  <a:graphicData uri="http://schemas.microsoft.com/office/word/2010/wordprocessingShape">
                    <wps:wsp>
                      <wps:cNvSpPr txBox="1"/>
                      <wps:spPr>
                        <a:xfrm>
                          <a:off x="0" y="0"/>
                          <a:ext cx="914400" cy="510540"/>
                        </a:xfrm>
                        <a:prstGeom prst="rect">
                          <a:avLst/>
                        </a:prstGeom>
                        <a:noFill/>
                        <a:ln>
                          <a:noFill/>
                        </a:ln>
                        <a:effectLst/>
                      </wps:spPr>
                      <wps:txbx>
                        <w:txbxContent>
                          <w:p w14:paraId="2951885F">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造价工程师职权限制</w:t>
                            </w:r>
                          </w:p>
                        </w:txbxContent>
                      </wps:txbx>
                      <wps:bodyPr wrap="square" upright="1"/>
                    </wps:wsp>
                  </a:graphicData>
                </a:graphic>
              </wp:anchor>
            </w:drawing>
          </mc:Choice>
          <mc:Fallback>
            <w:pict>
              <v:shape id="_x0000_s1026" o:spid="_x0000_s1026" o:spt="202" type="#_x0000_t202" style="position:absolute;left:0pt;margin-left:-9pt;margin-top:0pt;height:40.2pt;width:72pt;z-index:251740160;mso-width-relative:page;mso-height-relative:page;" filled="f" stroked="f" coordsize="21600,21600" o:gfxdata="UEsDBAoAAAAAAIdO4kAAAAAAAAAAAAAAAAAEAAAAZHJzL1BLAwQUAAAACACHTuJA7u8udtQAAAAH&#10;AQAADwAAAGRycy9kb3ducmV2LnhtbE2PQU/DMAyF70j8h8hI3Lak05hKqbsDiCuIMZC4ZY3XVjRO&#10;1WRr+fd4J7hYz3rWe5/L7ex7daYxdoERsqUBRVwH13GDsH9/XuSgYrLsbB+YEH4owra6vipt4cLE&#10;b3TepUZJCMfCIrQpDYXWsW7J27gMA7F4xzB6m2QdG+1GO0m47/XKmI32tmNpaO1Ajy3V37uTR/h4&#10;OX59rs1r8+TvhinMRrO/14i3N5l5AJVoTn/HcMEXdKiE6RBO7KLqERZZLr8kBJkXe7URcUDIzRp0&#10;Ver//NUvUEsDBBQAAAAIAIdO4kB4PD/PvAEAAGsDAAAOAAAAZHJzL2Uyb0RvYy54bWytU0tu2zAQ&#10;3RfIHQjuY8qB06aC5QCFkWyCtkDaA9DUyCLAXzm0JV+gvUFX3XTfc/kcHVGKmyabLLKhhvN5nPdm&#10;tLzurWF7iKi9q/h8VnAGTvlau23Fv365Ob/iDJN0tTTeQcUPgPx6dfZm2YUSLnzrTQ2REYjDsgsV&#10;b1MKpRCoWrASZz6Ao2Djo5WJrnEr6ig7QrdGXBTFW9H5WIfoFSCSdz0G+YQYXwLom0YrWHu1s+DS&#10;iBrByESUsNUB+Sp32zSg0qemQUjMVJyYpnzSI2RvhlOslrLcRhlaraYW5EtaeMLJSu3o0RPUWibJ&#10;dlE/g7JaRY++STPlrRiJZEWIxbx4os19KwNkLiQ1hpPo+Hqw6uP+c2S6rvjVO86ctDTx488fx19/&#10;jr+/M/KRQF3AkvLuA2Wm/oPvaW0e/EjOgXffRDt8iRGjOMl7OMkLfWKKnO/ni0VBEUWhy3lxucjy&#10;i3/FIWK6BW/ZYFQ80vSyqHJ/h4kaodSHlOEt52+0MXmCxv3noMTRA3kFpuqBx9jvYKV+00/kNr4+&#10;ELeO1qDi+G0nI3C2C1FvW2ojcxVDCc0gNzHtyzDkx3eyH/8jq7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u7y521AAAAAcBAAAPAAAAAAAAAAEAIAAAACIAAABkcnMvZG93bnJldi54bWxQSwECFAAU&#10;AAAACACHTuJAeDw/z7wBAABrAwAADgAAAAAAAAABACAAAAAjAQAAZHJzL2Uyb0RvYy54bWxQSwUG&#10;AAAAAAYABgBZAQAAUQUAAAAA&#10;">
                <v:fill on="f" focussize="0,0"/>
                <v:stroke on="f"/>
                <v:imagedata o:title=""/>
                <o:lock v:ext="edit" aspectratio="f"/>
                <v:textbox>
                  <w:txbxContent>
                    <w:p w14:paraId="2951885F">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造价工程师职权限制</w:t>
                      </w:r>
                    </w:p>
                  </w:txbxContent>
                </v:textbox>
              </v:shape>
            </w:pict>
          </mc:Fallback>
        </mc:AlternateContent>
      </w:r>
      <w:r>
        <w:rPr>
          <w:rFonts w:hint="default" w:ascii="Times New Roman" w:hAnsi="Times New Roman" w:cs="Times New Roman"/>
          <w:color w:val="auto"/>
          <w:sz w:val="22"/>
          <w:szCs w:val="22"/>
          <w:highlight w:val="none"/>
        </w:rPr>
        <w:t>除属于第86条规定的争议外，造价工程师在职权范围内的工作，发包人应予认可，但下列事件应事先取得发包人的专项批准：</w:t>
      </w:r>
    </w:p>
    <w:p w14:paraId="23D5BB51">
      <w:pPr>
        <w:numPr>
          <w:ilvl w:val="0"/>
          <w:numId w:val="10"/>
        </w:numPr>
        <w:tabs>
          <w:tab w:val="left" w:pos="2160"/>
        </w:tabs>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根据第63条规定使用暂列金额；</w:t>
      </w:r>
    </w:p>
    <w:p w14:paraId="4C6E4809">
      <w:pPr>
        <w:numPr>
          <w:ilvl w:val="0"/>
          <w:numId w:val="10"/>
        </w:numPr>
        <w:tabs>
          <w:tab w:val="left" w:pos="2160"/>
        </w:tabs>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根据第64条规定使用计日工；</w:t>
      </w:r>
    </w:p>
    <w:p w14:paraId="76DC2121">
      <w:pPr>
        <w:numPr>
          <w:ilvl w:val="0"/>
          <w:numId w:val="10"/>
        </w:numPr>
        <w:tabs>
          <w:tab w:val="left" w:pos="2160"/>
        </w:tabs>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根据第65条规定使用暂估价；</w:t>
      </w:r>
    </w:p>
    <w:p w14:paraId="12856DEC">
      <w:pPr>
        <w:numPr>
          <w:ilvl w:val="0"/>
          <w:numId w:val="10"/>
        </w:numPr>
        <w:tabs>
          <w:tab w:val="left" w:pos="2160"/>
        </w:tabs>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根据第66条确定的提前竣工奖与误期赔偿费；</w:t>
      </w:r>
    </w:p>
    <w:p w14:paraId="5D803F10">
      <w:pPr>
        <w:numPr>
          <w:ilvl w:val="0"/>
          <w:numId w:val="10"/>
        </w:numPr>
        <w:tabs>
          <w:tab w:val="left" w:pos="2160"/>
        </w:tabs>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根据第67条确定的工程优质费；</w:t>
      </w:r>
    </w:p>
    <w:p w14:paraId="7B1C44A9">
      <w:pPr>
        <w:numPr>
          <w:ilvl w:val="0"/>
          <w:numId w:val="10"/>
        </w:numPr>
        <w:tabs>
          <w:tab w:val="left" w:pos="2160"/>
        </w:tabs>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根据第68.2款规定事件调整的合同价款；</w:t>
      </w:r>
    </w:p>
    <w:p w14:paraId="02E1D296">
      <w:pPr>
        <w:numPr>
          <w:ilvl w:val="0"/>
          <w:numId w:val="10"/>
        </w:numPr>
        <w:tabs>
          <w:tab w:val="left" w:pos="2160"/>
        </w:tabs>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专用条款约定需要发包人批准的其他事项。</w:t>
      </w:r>
    </w:p>
    <w:p w14:paraId="44811478">
      <w:pPr>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24.4  </w:t>
      </w:r>
      <w:r>
        <w:rPr>
          <w:rFonts w:hint="default" w:ascii="Times New Roman" w:hAnsi="Times New Roman" w:cs="Times New Roman"/>
          <w:b/>
          <w:bCs/>
          <w:color w:val="auto"/>
          <w:sz w:val="22"/>
          <w:szCs w:val="22"/>
          <w:highlight w:val="none"/>
          <w:u w:val="dotted"/>
        </w:rPr>
        <w:t xml:space="preserve">                                                                                                        </w:t>
      </w:r>
    </w:p>
    <w:p w14:paraId="16130961">
      <w:pPr>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41184" behindDoc="0" locked="0" layoutInCell="1" allowOverlap="1">
                <wp:simplePos x="0" y="0"/>
                <wp:positionH relativeFrom="column">
                  <wp:posOffset>-114300</wp:posOffset>
                </wp:positionH>
                <wp:positionV relativeFrom="paragraph">
                  <wp:posOffset>0</wp:posOffset>
                </wp:positionV>
                <wp:extent cx="1092200" cy="434340"/>
                <wp:effectExtent l="0" t="0" r="0" b="0"/>
                <wp:wrapNone/>
                <wp:docPr id="88" name="文本框 88"/>
                <wp:cNvGraphicFramePr/>
                <a:graphic xmlns:a="http://schemas.openxmlformats.org/drawingml/2006/main">
                  <a:graphicData uri="http://schemas.microsoft.com/office/word/2010/wordprocessingShape">
                    <wps:wsp>
                      <wps:cNvSpPr txBox="1"/>
                      <wps:spPr>
                        <a:xfrm>
                          <a:off x="0" y="0"/>
                          <a:ext cx="1092200" cy="434340"/>
                        </a:xfrm>
                        <a:prstGeom prst="rect">
                          <a:avLst/>
                        </a:prstGeom>
                        <a:noFill/>
                        <a:ln>
                          <a:noFill/>
                        </a:ln>
                        <a:effectLst/>
                      </wps:spPr>
                      <wps:txbx>
                        <w:txbxContent>
                          <w:p w14:paraId="63CDBE94">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造价工程师指</w:t>
                            </w:r>
                          </w:p>
                          <w:p w14:paraId="41D41C28">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令</w:t>
                            </w:r>
                          </w:p>
                        </w:txbxContent>
                      </wps:txbx>
                      <wps:bodyPr wrap="square" upright="1"/>
                    </wps:wsp>
                  </a:graphicData>
                </a:graphic>
              </wp:anchor>
            </w:drawing>
          </mc:Choice>
          <mc:Fallback>
            <w:pict>
              <v:shape id="_x0000_s1026" o:spid="_x0000_s1026" o:spt="202" type="#_x0000_t202" style="position:absolute;left:0pt;margin-left:-9pt;margin-top:0pt;height:34.2pt;width:86pt;z-index:251741184;mso-width-relative:page;mso-height-relative:page;" filled="f" stroked="f" coordsize="21600,21600" o:gfxdata="UEsDBAoAAAAAAIdO4kAAAAAAAAAAAAAAAAAEAAAAZHJzL1BLAwQUAAAACACHTuJAa8Y3ydUAAAAH&#10;AQAADwAAAGRycy9kb3ducmV2LnhtbE2PQU/DMAyF70j8h8hI3LakqJtKV3cHEFcQYyBxy1qvrdY4&#10;VZOt5d/jneBiPetZ730utrPr1YXG0HlGSJYGFHHl644bhP3HyyIDFaLl2vaeCeGHAmzL25vC5rWf&#10;+J0uu9goCeGQW4Q2xiHXOlQtORuWfiAW7+hHZ6OsY6Pr0U4S7nr9YMxaO9uxNLR2oKeWqtPu7BA+&#10;X4/fX6l5a57dapj8bDS7R414f5eYDahIc/w7hiu+oEMpTAd/5jqoHmGRZPJLRJB5tVepiAPCOktB&#10;l4X+z1/+AlBLAwQUAAAACACHTuJAoC6787sBAABsAwAADgAAAGRycy9lMm9Eb2MueG1srVPNjtMw&#10;EL4j8Q6W7zTZgtASNV1pVS0XBEgLD+A648aS//C4TfoC8AacuHDnufocjJ1sd1kue1hFcibz83m+&#10;byarq9EadoCI2ruWXyxqzsBJ32m3a/nXLzevLjnDJFwnjHfQ8iMgv1q/fLEaQgNL33vTQWQE4rAZ&#10;Qsv7lEJTVSh7sAIXPoCjoPLRikSfcVd1UQyEbk21rOu31eBjF6KXgEjezRTkM2J8CqBXSkvYeLm3&#10;4NKEGsGIRJSw1wH5unSrFMj0SSmExEzLiWkqJ11C9jaf1Xolml0UoddybkE8pYVHnKzQji49Q21E&#10;Emwf9X9QVsvo0au0kN5WE5GiCLG4qB9pc9uLAIULSY3hLDo+H6z8ePgcme5afklzd8LSxE8/f5x+&#10;/Tn9/s7IRwINARvKuw2UmcZrP9La3PmRnJn3qKLNb2LEKE7yHs/ywpiYzEX1uyVtAGeSYm9e01P0&#10;r+6rQ8T0Hrxl2Wh5pPEVVcXhAybqhFLvUvJlzt9oY8oIjfvHQYmTB8oOzNWZyNRwttK4HWd2W98d&#10;idxAe9By/LYXETjbh6h3PbVRyFa5hIZQmpgXJk/54TfZD3+S9V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BrxjfJ1QAAAAcBAAAPAAAAAAAAAAEAIAAAACIAAABkcnMvZG93bnJldi54bWxQSwECFAAU&#10;AAAACACHTuJAoC6787sBAABsAwAADgAAAAAAAAABACAAAAAkAQAAZHJzL2Uyb0RvYy54bWxQSwUG&#10;AAAAAAYABgBZAQAAUQUAAAAA&#10;">
                <v:fill on="f" focussize="0,0"/>
                <v:stroke on="f"/>
                <v:imagedata o:title=""/>
                <o:lock v:ext="edit" aspectratio="f"/>
                <v:textbox>
                  <w:txbxContent>
                    <w:p w14:paraId="63CDBE94">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造价工程师指</w:t>
                      </w:r>
                    </w:p>
                    <w:p w14:paraId="41D41C28">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令</w:t>
                      </w:r>
                    </w:p>
                  </w:txbxContent>
                </v:textbox>
              </v:shape>
            </w:pict>
          </mc:Fallback>
        </mc:AlternateContent>
      </w:r>
      <w:r>
        <w:rPr>
          <w:rFonts w:hint="default" w:ascii="Times New Roman" w:hAnsi="Times New Roman" w:cs="Times New Roman"/>
          <w:color w:val="auto"/>
          <w:sz w:val="22"/>
          <w:szCs w:val="22"/>
          <w:highlight w:val="none"/>
        </w:rPr>
        <w:t>造价工程师应按照合同约定时间向承包人提供实施合同工程的工程造价工作所需的核实、调整和通知等指令。</w:t>
      </w:r>
    </w:p>
    <w:p w14:paraId="0FDE9764">
      <w:pPr>
        <w:tabs>
          <w:tab w:val="left" w:pos="1260"/>
        </w:tabs>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造价工程师提供的指令，均应采用书面形式。在紧急情况下，造价工程师可发出口头指令，但应在48小时内给予书面确认。对造价工程师的口头指令，承包人应予执行。如果承包人在造价工程师发出的口头指令48小时后未收到书面确认，则应在接到口头指令后的7天内向造价工程师发出书面确认函。造价工程师应在承包人发出书面确认函后48小时内给予答复；逾期未予答复的，视为承包人的书面确认函已被认可。</w:t>
      </w:r>
    </w:p>
    <w:p w14:paraId="52D36374">
      <w:pPr>
        <w:tabs>
          <w:tab w:val="left" w:pos="1260"/>
        </w:tabs>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24.5  </w:t>
      </w:r>
      <w:r>
        <w:rPr>
          <w:rFonts w:hint="default" w:ascii="Times New Roman" w:hAnsi="Times New Roman" w:cs="Times New Roman"/>
          <w:b/>
          <w:bCs/>
          <w:color w:val="auto"/>
          <w:sz w:val="22"/>
          <w:szCs w:val="22"/>
          <w:highlight w:val="none"/>
          <w:u w:val="dotted"/>
        </w:rPr>
        <w:t xml:space="preserve">                                                                                                        </w:t>
      </w:r>
    </w:p>
    <w:p w14:paraId="7E68F297">
      <w:pPr>
        <w:tabs>
          <w:tab w:val="left" w:pos="1260"/>
        </w:tabs>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42208" behindDoc="0" locked="0" layoutInCell="1" allowOverlap="1">
                <wp:simplePos x="0" y="0"/>
                <wp:positionH relativeFrom="column">
                  <wp:posOffset>-114300</wp:posOffset>
                </wp:positionH>
                <wp:positionV relativeFrom="paragraph">
                  <wp:posOffset>15240</wp:posOffset>
                </wp:positionV>
                <wp:extent cx="914400" cy="448310"/>
                <wp:effectExtent l="0" t="0" r="0" b="0"/>
                <wp:wrapNone/>
                <wp:docPr id="89" name="文本框 89"/>
                <wp:cNvGraphicFramePr/>
                <a:graphic xmlns:a="http://schemas.openxmlformats.org/drawingml/2006/main">
                  <a:graphicData uri="http://schemas.microsoft.com/office/word/2010/wordprocessingShape">
                    <wps:wsp>
                      <wps:cNvSpPr txBox="1"/>
                      <wps:spPr>
                        <a:xfrm>
                          <a:off x="0" y="0"/>
                          <a:ext cx="914400" cy="448310"/>
                        </a:xfrm>
                        <a:prstGeom prst="rect">
                          <a:avLst/>
                        </a:prstGeom>
                        <a:noFill/>
                        <a:ln>
                          <a:noFill/>
                        </a:ln>
                        <a:effectLst/>
                      </wps:spPr>
                      <wps:txbx>
                        <w:txbxContent>
                          <w:p w14:paraId="30D63C79">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承包人执行造价工程师指令</w:t>
                            </w:r>
                          </w:p>
                        </w:txbxContent>
                      </wps:txbx>
                      <wps:bodyPr wrap="square" upright="1"/>
                    </wps:wsp>
                  </a:graphicData>
                </a:graphic>
              </wp:anchor>
            </w:drawing>
          </mc:Choice>
          <mc:Fallback>
            <w:pict>
              <v:shape id="_x0000_s1026" o:spid="_x0000_s1026" o:spt="202" type="#_x0000_t202" style="position:absolute;left:0pt;margin-left:-9pt;margin-top:1.2pt;height:35.3pt;width:72pt;z-index:251742208;mso-width-relative:page;mso-height-relative:page;" filled="f" stroked="f" coordsize="21600,21600" o:gfxdata="UEsDBAoAAAAAAIdO4kAAAAAAAAAAAAAAAAAEAAAAZHJzL1BLAwQUAAAACACHTuJASqNdRdUAAAAI&#10;AQAADwAAAGRycy9kb3ducmV2LnhtbE2PQU/CQBSE7yb+h80j8Qa7rYhY+8pB41UDKgm3pftoG7pv&#10;m+5C6793OcFxMpOZb/LVaFtxpt43jhGSmQJBXDrTcIXw8/0xXYLwQbPRrWNC+CMPq+L+LteZcQOv&#10;6bwJlYgl7DONUIfQZVL6siar/cx1xNE7uN7qEGVfSdPrIZbbVqZKLaTVDceFWnf0VlN53Jwswu/n&#10;Ybedq6/q3T51gxuVZPsiER8miXoFEWgM1zBc8CM6FJFp705svGgRpskyfgkI6RzExU8XUe8Rnh8V&#10;yCKXtweKf1BLAwQUAAAACACHTuJArKVF4bwBAABrAwAADgAAAGRycy9lMm9Eb2MueG1srVNLbtsw&#10;EN0XyB0I7mPKqVE4guUAhZFuirZA2gPQ1NAiIH7KoS35Au0Nuuqm+57L5+iIUpzfJotuqOF8Hue9&#10;Ga1uetuyA0Q03lV8Pis4A6d8bdyu4t++3l4uOcMkXS1b76DiR0B+s754s+pCCVe+8W0NkRGIw7IL&#10;FW9SCqUQqBqwEmc+gKOg9tHKRNe4E3WUHaHbVlwVxTvR+ViH6BUgknczBvmEGF8D6LU2CjZe7S24&#10;NKJGaGUiStiYgHydu9UaVPqsNUJibcWJaconPUL2djjFeiXLXZShMWpqQb6mhWecrDSOHj1DbWSS&#10;bB/NCyhrVPTodZopb8VIJCtCLObFM23uGhkgcyGpMZxFx/8Hqz4dvkRm6oovrzlz0tLET79+nn7/&#10;Pf35wchHAnUBS8q7C5SZ+ve+p7W59yM5B969jnb4EiNGcZL3eJYX+sQUOa/ni0VBEUWhxWL5dp7l&#10;Fw/FIWL6AN6ywah4pOllUeXhIyZqhFLvU4a3nL81bZsn2LonDkocPZBXYKoeeIz9Dlbqt/1Ebuvr&#10;I3HraA0qjt/3MgJn+xDNrqE2MlcxlNAMchPTvgxDfnwn+/E/sv4H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SqNdRdUAAAAIAQAADwAAAAAAAAABACAAAAAiAAAAZHJzL2Rvd25yZXYueG1sUEsBAhQA&#10;FAAAAAgAh07iQKylReG8AQAAawMAAA4AAAAAAAAAAQAgAAAAJAEAAGRycy9lMm9Eb2MueG1sUEsF&#10;BgAAAAAGAAYAWQEAAFIFAAAAAA==&#10;">
                <v:fill on="f" focussize="0,0"/>
                <v:stroke on="f"/>
                <v:imagedata o:title=""/>
                <o:lock v:ext="edit" aspectratio="f"/>
                <v:textbox>
                  <w:txbxContent>
                    <w:p w14:paraId="30D63C79">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承包人执行造价工程师指令</w:t>
                      </w:r>
                    </w:p>
                  </w:txbxContent>
                </v:textbox>
              </v:shape>
            </w:pict>
          </mc:Fallback>
        </mc:AlternateContent>
      </w:r>
      <w:r>
        <w:rPr>
          <w:rFonts w:hint="default" w:ascii="Times New Roman" w:hAnsi="Times New Roman" w:cs="Times New Roman"/>
          <w:color w:val="auto"/>
          <w:sz w:val="22"/>
          <w:szCs w:val="22"/>
          <w:highlight w:val="none"/>
        </w:rPr>
        <w:t>如果承包人认为造价工程师的指令不合理，应在收到指令后24小时内向造价工程师提出书面报告，造价工程师应在收到承包人报告后24小时内做出修改指令或继续执行原指令的决定，并书面通知承包人。逾期不</w:t>
      </w:r>
      <w:r>
        <w:rPr>
          <w:rFonts w:hint="default" w:ascii="Times New Roman" w:hAnsi="Times New Roman" w:cs="Times New Roman"/>
          <w:color w:val="auto"/>
          <w:sz w:val="22"/>
          <w:szCs w:val="22"/>
          <w:highlight w:val="none"/>
          <w:lang w:eastAsia="zh-CN"/>
        </w:rPr>
        <w:t>作出决定</w:t>
      </w:r>
      <w:r>
        <w:rPr>
          <w:rFonts w:hint="default" w:ascii="Times New Roman" w:hAnsi="Times New Roman" w:cs="Times New Roman"/>
          <w:color w:val="auto"/>
          <w:sz w:val="22"/>
          <w:szCs w:val="22"/>
          <w:highlight w:val="none"/>
        </w:rPr>
        <w:t>的，承包人可不执行造价工程师的指令。</w:t>
      </w:r>
    </w:p>
    <w:p w14:paraId="34A035AC">
      <w:pPr>
        <w:tabs>
          <w:tab w:val="left" w:pos="1260"/>
        </w:tabs>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24.6  </w:t>
      </w:r>
      <w:r>
        <w:rPr>
          <w:rFonts w:hint="default" w:ascii="Times New Roman" w:hAnsi="Times New Roman" w:cs="Times New Roman"/>
          <w:b/>
          <w:bCs/>
          <w:color w:val="auto"/>
          <w:sz w:val="22"/>
          <w:szCs w:val="22"/>
          <w:highlight w:val="none"/>
          <w:u w:val="dotted"/>
        </w:rPr>
        <w:t xml:space="preserve">                                                                                                        </w:t>
      </w:r>
    </w:p>
    <w:p w14:paraId="0B136510">
      <w:pPr>
        <w:tabs>
          <w:tab w:val="left" w:pos="1260"/>
        </w:tabs>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43232" behindDoc="0" locked="0" layoutInCell="1" allowOverlap="1">
                <wp:simplePos x="0" y="0"/>
                <wp:positionH relativeFrom="column">
                  <wp:posOffset>-114300</wp:posOffset>
                </wp:positionH>
                <wp:positionV relativeFrom="paragraph">
                  <wp:posOffset>0</wp:posOffset>
                </wp:positionV>
                <wp:extent cx="914400" cy="594360"/>
                <wp:effectExtent l="0" t="0" r="0" b="0"/>
                <wp:wrapNone/>
                <wp:docPr id="90" name="文本框 90"/>
                <wp:cNvGraphicFramePr/>
                <a:graphic xmlns:a="http://schemas.openxmlformats.org/drawingml/2006/main">
                  <a:graphicData uri="http://schemas.microsoft.com/office/word/2010/wordprocessingShape">
                    <wps:wsp>
                      <wps:cNvSpPr txBox="1"/>
                      <wps:spPr>
                        <a:xfrm>
                          <a:off x="0" y="0"/>
                          <a:ext cx="914400" cy="594360"/>
                        </a:xfrm>
                        <a:prstGeom prst="rect">
                          <a:avLst/>
                        </a:prstGeom>
                        <a:noFill/>
                        <a:ln>
                          <a:noFill/>
                        </a:ln>
                        <a:effectLst/>
                      </wps:spPr>
                      <wps:txbx>
                        <w:txbxContent>
                          <w:p w14:paraId="6C63C690">
                            <w:pPr>
                              <w:spacing w:line="240" w:lineRule="exact"/>
                              <w:rPr>
                                <w:rFonts w:ascii="宋体" w:cs="Times New Roman"/>
                                <w:sz w:val="18"/>
                                <w:szCs w:val="18"/>
                              </w:rPr>
                            </w:pPr>
                            <w:r>
                              <w:rPr>
                                <w:rFonts w:hint="eastAsia" w:ascii="楷体_GB2312" w:hAnsi="宋体" w:eastAsia="楷体_GB2312" w:cs="楷体_GB2312"/>
                                <w:b/>
                                <w:bCs/>
                                <w:color w:val="000000"/>
                                <w:sz w:val="18"/>
                                <w:szCs w:val="18"/>
                              </w:rPr>
                              <w:t>造价工程师职权委托</w:t>
                            </w:r>
                          </w:p>
                        </w:txbxContent>
                      </wps:txbx>
                      <wps:bodyPr wrap="square" upright="1"/>
                    </wps:wsp>
                  </a:graphicData>
                </a:graphic>
              </wp:anchor>
            </w:drawing>
          </mc:Choice>
          <mc:Fallback>
            <w:pict>
              <v:shape id="_x0000_s1026" o:spid="_x0000_s1026" o:spt="202" type="#_x0000_t202" style="position:absolute;left:0pt;margin-left:-9pt;margin-top:0pt;height:46.8pt;width:72pt;z-index:251743232;mso-width-relative:page;mso-height-relative:page;" filled="f" stroked="f" coordsize="21600,21600" o:gfxdata="UEsDBAoAAAAAAIdO4kAAAAAAAAAAAAAAAAAEAAAAZHJzL1BLAwQUAAAACACHTuJASyfpMtUAAAAH&#10;AQAADwAAAGRycy9kb3ducmV2LnhtbE2PT0/DMAzF70h8h8hI3LakA6qt1N0BxBXE+CNxyxqvrWic&#10;qsnW8u3xTnCxnvWs934ut7Pv1YnG2AVGyJYGFHEdXMcNwvvb02INKibLzvaBCeGHImyry4vSFi5M&#10;/EqnXWqUhHAsLEKb0lBoHeuWvI3LMBCLdwijt0nWsdFutJOE+16vjMm1tx1LQ2sHemip/t4dPcLH&#10;8+Hr89a8NI/+bpjCbDT7jUa8vsrMPahEc/o7hjO+oEMlTPtwZBdVj7DI1vJLQpB5tle5iD3C5iYH&#10;XZX6P3/1C1BLAwQUAAAACACHTuJA+OOspLwBAABrAwAADgAAAGRycy9lMm9Eb2MueG1srVNLbtsw&#10;EN0XyB0I7mPKqRPUguUAhZFuirRA2gPQ1NAiIH7KoS35Au0Nuuqm+57L5+iIUtw03WTRDTWcz+O8&#10;N6PVbW9bdoCIxruKz2cFZ+CUr43bVfzzp7vLN5xhkq6WrXdQ8SMgv11fvFp1oYQr3/i2hsgIxGHZ&#10;hYo3KYVSCFQNWIkzH8BRUPtoZaJr3Ik6yo7QbSuuiuJGdD7WIXoFiOTdjEE+IcaXAHqtjYKNV3sL&#10;Lo2oEVqZiBI2JiBf5261BpU+aI2QWFtxYprySY+QvR1OsV7JchdlaIyaWpAvaeEZJyuNo0fPUBuZ&#10;JNtH8w+UNSp69DrNlLdiJJIVIRbz4pk2D40MkLmQ1BjOouP/g1X3h4+RmbriS5LESUsTP33/dvrx&#10;6/TzKyMfCdQFLCnvIVBm6t/6ntbm0Y/kHHj3OtrhS4wYxQnreJYX+sQUOZfzxaKgiKLQ9XLx+iaj&#10;iz/FIWJ6B96ywah4pOllUeXhPSZqhFIfU4a3nL8zbZsn2Lq/HJQ4eiCvwFQ98Bj7HazUb/uJ3NbX&#10;R+LW0RpUHL/sZQTO9iGaXUNtZK5iKKEZ5CamfRmG/PRO9tN/ZP0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SyfpMtUAAAAHAQAADwAAAAAAAAABACAAAAAiAAAAZHJzL2Rvd25yZXYueG1sUEsBAhQA&#10;FAAAAAgAh07iQPjjrKS8AQAAawMAAA4AAAAAAAAAAQAgAAAAJAEAAGRycy9lMm9Eb2MueG1sUEsF&#10;BgAAAAAGAAYAWQEAAFIFAAAAAA==&#10;">
                <v:fill on="f" focussize="0,0"/>
                <v:stroke on="f"/>
                <v:imagedata o:title=""/>
                <o:lock v:ext="edit" aspectratio="f"/>
                <v:textbox>
                  <w:txbxContent>
                    <w:p w14:paraId="6C63C690">
                      <w:pPr>
                        <w:spacing w:line="240" w:lineRule="exact"/>
                        <w:rPr>
                          <w:rFonts w:ascii="宋体" w:cs="Times New Roman"/>
                          <w:sz w:val="18"/>
                          <w:szCs w:val="18"/>
                        </w:rPr>
                      </w:pPr>
                      <w:r>
                        <w:rPr>
                          <w:rFonts w:hint="eastAsia" w:ascii="楷体_GB2312" w:hAnsi="宋体" w:eastAsia="楷体_GB2312" w:cs="楷体_GB2312"/>
                          <w:b/>
                          <w:bCs/>
                          <w:color w:val="000000"/>
                          <w:sz w:val="18"/>
                          <w:szCs w:val="18"/>
                        </w:rPr>
                        <w:t>造价工程师职权委托</w:t>
                      </w:r>
                    </w:p>
                  </w:txbxContent>
                </v:textbox>
              </v:shape>
            </w:pict>
          </mc:Fallback>
        </mc:AlternateContent>
      </w:r>
      <w:r>
        <w:rPr>
          <w:rFonts w:hint="default" w:ascii="Times New Roman" w:hAnsi="Times New Roman" w:cs="Times New Roman"/>
          <w:color w:val="auto"/>
          <w:sz w:val="22"/>
          <w:szCs w:val="22"/>
          <w:highlight w:val="none"/>
        </w:rPr>
        <w:t>造价工程师可按照第21.3款规定授权给其任命的造价工程师代表，亦可将其授权撤回，造价工程师代表行使造价工程师授予的职权，对造价工程师负责。造价工程师代表在造价工程师授予职权范围内工作，造价工程师应予认可，但造价工程师保留因造价工程师代表未反对合同工程的工程计量和计价工作的错误而否定该工作，并发出纠正指令的权力。未按照第21.3款规定，任何此类任命或撤回均为无效。</w:t>
      </w:r>
    </w:p>
    <w:p w14:paraId="5EA5EC89">
      <w:pPr>
        <w:tabs>
          <w:tab w:val="left" w:pos="1260"/>
        </w:tabs>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24.7</w:t>
      </w:r>
      <w:r>
        <w:rPr>
          <w:rFonts w:hint="default" w:ascii="Times New Roman" w:hAnsi="Times New Roman" w:cs="Times New Roman"/>
          <w:color w:val="auto"/>
          <w:sz w:val="22"/>
          <w:szCs w:val="22"/>
          <w:highlight w:val="none"/>
        </w:rPr>
        <w:t xml:space="preserve">  </w:t>
      </w:r>
      <w:r>
        <w:rPr>
          <w:rFonts w:hint="default" w:ascii="Times New Roman" w:hAnsi="Times New Roman" w:cs="Times New Roman"/>
          <w:color w:val="auto"/>
          <w:sz w:val="22"/>
          <w:szCs w:val="22"/>
          <w:highlight w:val="none"/>
          <w:u w:val="dotted"/>
        </w:rPr>
        <w:t xml:space="preserve">                                                                                                        </w:t>
      </w:r>
    </w:p>
    <w:p w14:paraId="27018941">
      <w:pPr>
        <w:tabs>
          <w:tab w:val="left" w:pos="1260"/>
        </w:tabs>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44256" behindDoc="0" locked="0" layoutInCell="1" allowOverlap="1">
                <wp:simplePos x="0" y="0"/>
                <wp:positionH relativeFrom="column">
                  <wp:posOffset>-114300</wp:posOffset>
                </wp:positionH>
                <wp:positionV relativeFrom="paragraph">
                  <wp:posOffset>0</wp:posOffset>
                </wp:positionV>
                <wp:extent cx="914400" cy="594360"/>
                <wp:effectExtent l="0" t="0" r="0" b="0"/>
                <wp:wrapNone/>
                <wp:docPr id="91" name="文本框 91"/>
                <wp:cNvGraphicFramePr/>
                <a:graphic xmlns:a="http://schemas.openxmlformats.org/drawingml/2006/main">
                  <a:graphicData uri="http://schemas.microsoft.com/office/word/2010/wordprocessingShape">
                    <wps:wsp>
                      <wps:cNvSpPr txBox="1"/>
                      <wps:spPr>
                        <a:xfrm>
                          <a:off x="0" y="0"/>
                          <a:ext cx="914400" cy="594360"/>
                        </a:xfrm>
                        <a:prstGeom prst="rect">
                          <a:avLst/>
                        </a:prstGeom>
                        <a:noFill/>
                        <a:ln>
                          <a:noFill/>
                        </a:ln>
                        <a:effectLst/>
                      </wps:spPr>
                      <wps:txbx>
                        <w:txbxContent>
                          <w:p w14:paraId="3FD1EA5C">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造价工程师未尽义务或失误的责任</w:t>
                            </w:r>
                          </w:p>
                        </w:txbxContent>
                      </wps:txbx>
                      <wps:bodyPr wrap="square" upright="1"/>
                    </wps:wsp>
                  </a:graphicData>
                </a:graphic>
              </wp:anchor>
            </w:drawing>
          </mc:Choice>
          <mc:Fallback>
            <w:pict>
              <v:shape id="_x0000_s1026" o:spid="_x0000_s1026" o:spt="202" type="#_x0000_t202" style="position:absolute;left:0pt;margin-left:-9pt;margin-top:0pt;height:46.8pt;width:72pt;z-index:251744256;mso-width-relative:page;mso-height-relative:page;" filled="f" stroked="f" coordsize="21600,21600" o:gfxdata="UEsDBAoAAAAAAIdO4kAAAAAAAAAAAAAAAAAEAAAAZHJzL1BLAwQUAAAACACHTuJASyfpMtUAAAAH&#10;AQAADwAAAGRycy9kb3ducmV2LnhtbE2PT0/DMAzF70h8h8hI3LakA6qt1N0BxBXE+CNxyxqvrWic&#10;qsnW8u3xTnCxnvWs934ut7Pv1YnG2AVGyJYGFHEdXMcNwvvb02INKibLzvaBCeGHImyry4vSFi5M&#10;/EqnXWqUhHAsLEKb0lBoHeuWvI3LMBCLdwijt0nWsdFutJOE+16vjMm1tx1LQ2sHemip/t4dPcLH&#10;8+Hr89a8NI/+bpjCbDT7jUa8vsrMPahEc/o7hjO+oEMlTPtwZBdVj7DI1vJLQpB5tle5iD3C5iYH&#10;XZX6P3/1C1BLAwQUAAAACACHTuJA72qT2r0BAABrAwAADgAAAGRycy9lMm9Eb2MueG1srVNLbtsw&#10;EN0X6B0I7mvJiRvUguUAhZFsgrZA2gPQ1MgiwF84tCVfoL1BV91033P5HB1Sipummyy6oYbzeZz3&#10;ZrS6HoxmBwionK35fFZyBla6Rtldzb98vnnzjjOMwjZCOws1PwLy6/XrV6veV3DhOqcbCIxALFa9&#10;r3kXo6+KAmUHRuDMebAUbF0wItI17IomiJ7QjS4uyvKq6F1ofHASEMm7GYN8QgwvAXRtqyRsnNwb&#10;sHFEDaBFJErYKY98nbttW5DxY9siRKZrTkxjPukRsrfpLNYrUe2C8J2SUwviJS0842SEsvToGWoj&#10;omD7oP6BMkoGh66NM+lMMRLJihCLeflMm/tOeMhcSGr0Z9Hx/8HKD4dPgamm5ss5Z1YYmvjp+7fT&#10;j1+nn18Z+Uig3mNFefeeMuPw3g20No9+JGfiPbTBpC8xYhQneY9neWGITJJzOV8sSopICr1dLi6v&#10;svzFn2IfMN6CMywZNQ80vSyqONxhpEYo9TElvWXdjdI6T1DbvxyUOHogr8BUnXiM/SYrDtthIrd1&#10;zZG49bQGNceHvQjA2d4Hteuojcy1SCU0g9zEtC9pyE/vZD/9R9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Esn6TLVAAAABwEAAA8AAAAAAAAAAQAgAAAAIgAAAGRycy9kb3ducmV2LnhtbFBLAQIU&#10;ABQAAAAIAIdO4kDvapPavQEAAGsDAAAOAAAAAAAAAAEAIAAAACQBAABkcnMvZTJvRG9jLnhtbFBL&#10;BQYAAAAABgAGAFkBAABTBQAAAAA=&#10;">
                <v:fill on="f" focussize="0,0"/>
                <v:stroke on="f"/>
                <v:imagedata o:title=""/>
                <o:lock v:ext="edit" aspectratio="f"/>
                <v:textbox>
                  <w:txbxContent>
                    <w:p w14:paraId="3FD1EA5C">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造价工程师未尽义务或失误的责任</w:t>
                      </w:r>
                    </w:p>
                  </w:txbxContent>
                </v:textbox>
              </v:shape>
            </w:pict>
          </mc:Fallback>
        </mc:AlternateContent>
      </w:r>
      <w:r>
        <w:rPr>
          <w:rFonts w:hint="default" w:ascii="Times New Roman" w:hAnsi="Times New Roman" w:cs="Times New Roman"/>
          <w:color w:val="auto"/>
          <w:sz w:val="22"/>
          <w:szCs w:val="22"/>
          <w:highlight w:val="none"/>
        </w:rPr>
        <w:t>造价工程师（含其代表）未能正确完成本合同约定的全部义务，或工作出现失误，导致费用的增加和（或）延误的工期，由发包人承担；给承包人造成损失的，发包人应予赔偿。</w:t>
      </w:r>
    </w:p>
    <w:p w14:paraId="45F5B6D3">
      <w:pPr>
        <w:tabs>
          <w:tab w:val="left" w:pos="540"/>
          <w:tab w:val="left" w:pos="720"/>
        </w:tabs>
        <w:spacing w:line="420" w:lineRule="exact"/>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4FE2AE40">
      <w:pPr>
        <w:pStyle w:val="5"/>
        <w:numPr>
          <w:ilvl w:val="0"/>
          <w:numId w:val="0"/>
        </w:numPr>
        <w:tabs>
          <w:tab w:val="left" w:pos="360"/>
          <w:tab w:val="left" w:pos="420"/>
          <w:tab w:val="left" w:pos="1287"/>
        </w:tabs>
        <w:spacing w:line="420" w:lineRule="exact"/>
        <w:rPr>
          <w:rFonts w:hint="default" w:ascii="Times New Roman" w:hAnsi="Times New Roman" w:cs="Times New Roman"/>
          <w:color w:val="auto"/>
          <w:sz w:val="22"/>
          <w:szCs w:val="22"/>
          <w:highlight w:val="none"/>
        </w:rPr>
      </w:pPr>
      <w:bookmarkStart w:id="137" w:name="_Toc22285"/>
      <w:bookmarkStart w:id="138" w:name="_Toc469384005"/>
      <w:r>
        <w:rPr>
          <w:rFonts w:hint="default" w:ascii="Times New Roman" w:hAnsi="Times New Roman" w:cs="Times New Roman"/>
          <w:color w:val="auto"/>
          <w:sz w:val="22"/>
          <w:szCs w:val="22"/>
          <w:highlight w:val="none"/>
        </w:rPr>
        <w:t>25  承包人代表</w:t>
      </w:r>
      <w:bookmarkEnd w:id="137"/>
      <w:bookmarkEnd w:id="138"/>
    </w:p>
    <w:p w14:paraId="279AF9C6">
      <w:pPr>
        <w:tabs>
          <w:tab w:val="left" w:pos="540"/>
          <w:tab w:val="left" w:pos="720"/>
        </w:tabs>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25.1                                 </w:t>
      </w:r>
    </w:p>
    <w:p w14:paraId="7958F30D">
      <w:pPr>
        <w:pStyle w:val="22"/>
        <w:tabs>
          <w:tab w:val="left" w:pos="540"/>
          <w:tab w:val="left" w:pos="720"/>
        </w:tabs>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45280" behindDoc="0" locked="0" layoutInCell="1" allowOverlap="1">
                <wp:simplePos x="0" y="0"/>
                <wp:positionH relativeFrom="column">
                  <wp:posOffset>-114300</wp:posOffset>
                </wp:positionH>
                <wp:positionV relativeFrom="paragraph">
                  <wp:posOffset>0</wp:posOffset>
                </wp:positionV>
                <wp:extent cx="914400" cy="419100"/>
                <wp:effectExtent l="0" t="0" r="0" b="0"/>
                <wp:wrapNone/>
                <wp:docPr id="92" name="文本框 92"/>
                <wp:cNvGraphicFramePr/>
                <a:graphic xmlns:a="http://schemas.openxmlformats.org/drawingml/2006/main">
                  <a:graphicData uri="http://schemas.microsoft.com/office/word/2010/wordprocessingShape">
                    <wps:wsp>
                      <wps:cNvSpPr txBox="1"/>
                      <wps:spPr>
                        <a:xfrm>
                          <a:off x="0" y="0"/>
                          <a:ext cx="914400" cy="419100"/>
                        </a:xfrm>
                        <a:prstGeom prst="rect">
                          <a:avLst/>
                        </a:prstGeom>
                        <a:noFill/>
                        <a:ln>
                          <a:noFill/>
                        </a:ln>
                        <a:effectLst/>
                      </wps:spPr>
                      <wps:txbx>
                        <w:txbxContent>
                          <w:p w14:paraId="6E20A046">
                            <w:pPr>
                              <w:spacing w:line="240" w:lineRule="exact"/>
                              <w:rPr>
                                <w:rFonts w:ascii="楷体_GB2312" w:hAnsi="宋体" w:eastAsia="楷体_GB2312" w:cs="Times New Roman"/>
                                <w:b/>
                                <w:bCs/>
                                <w:color w:val="000000"/>
                                <w:sz w:val="18"/>
                                <w:szCs w:val="18"/>
                              </w:rPr>
                            </w:pPr>
                            <w:r>
                              <w:rPr>
                                <w:rFonts w:hint="eastAsia" w:ascii="楷体_GB2312" w:eastAsia="楷体_GB2312" w:cs="楷体_GB2312"/>
                                <w:b/>
                                <w:bCs/>
                                <w:color w:val="000000"/>
                                <w:sz w:val="18"/>
                                <w:szCs w:val="18"/>
                              </w:rPr>
                              <w:t>承包人对其代表授权</w:t>
                            </w:r>
                          </w:p>
                        </w:txbxContent>
                      </wps:txbx>
                      <wps:bodyPr wrap="square" upright="1"/>
                    </wps:wsp>
                  </a:graphicData>
                </a:graphic>
              </wp:anchor>
            </w:drawing>
          </mc:Choice>
          <mc:Fallback>
            <w:pict>
              <v:shape id="_x0000_s1026" o:spid="_x0000_s1026" o:spt="202" type="#_x0000_t202" style="position:absolute;left:0pt;margin-left:-9pt;margin-top:0pt;height:33pt;width:72pt;z-index:251745280;mso-width-relative:page;mso-height-relative:page;" filled="f" stroked="f" coordsize="21600,21600" o:gfxdata="UEsDBAoAAAAAAIdO4kAAAAAAAAAAAAAAAAAEAAAAZHJzL1BLAwQUAAAACACHTuJAaXOqyNQAAAAH&#10;AQAADwAAAGRycy9kb3ducmV2LnhtbE2Py07DMBBF90j8gzVI3bV2KohKyKQLEFsqykNi58bTJCIe&#10;R7HbhL9nuoLNPHRH954pt7Pv1ZnG2AVGyFYGFHEdXMcNwvvb83IDKibLzvaBCeGHImyr66vSFi5M&#10;/ErnfWqUmHAsLEKb0lBoHeuWvI2rMBCLdgyjt0nWsdFutJOY+16vjcm1tx1LQmsHemyp/t6fPMLH&#10;y/Hr89bsmid/N0xhNpr9vUZc3GTmAVSiOf0dwwVf0KESpkM4sYuqR1hmG/klIUi9yOtchgNCLl1X&#10;pf7PX/0CUEsDBBQAAAAIAIdO4kC+917JuQEAAGsDAAAOAAAAZHJzL2Uyb0RvYy54bWytU82O0zAQ&#10;viPxDpbvNElVIRo1XQlVywUB0sIDuM64seQ/PG6TvgC8AScu3HmuPgcTJ9tdlsseuDjj+fk83zeT&#10;zc1gDTtBRO1dw6tFyRk46VvtDg3/8vn21RvOMAnXCuMdNPwMyG+2L19s+lDD0nfetBAZgTis+9Dw&#10;LqVQFwXKDqzAhQ/gKKh8tCLRNR6KNoqe0K0plmX5uuh9bEP0EhDJu5uCfEaMzwH0SmkJOy+PFlya&#10;UCMYkYgSdjog3+ZulQKZPiqFkJhpODFN+aRHyN6PZ7HdiPoQRei0nFsQz2nhCScrtKNHr1A7kQQ7&#10;Rv0PlNUyevQqLaS3xUQkK0IsqvKJNnedCJC5kNQYrqLj/4OVH06fItNtw9dLzpywNPHLj++Xn78v&#10;v74x8pFAfcCa8u4CZabhrR9obe79SM6R96CiHb/EiFGc5D1f5YUhMUnOdbValRSRFFpV64psQi8e&#10;ikPE9A68ZaPR8EjTy6KK03tMU+p9yviW87famDxB4/5yEObkgbwCc/XIY+p3tNKwH2Zye9+eiVtP&#10;a9Bw/HoUETg7hqgPHbWRuRZjCc0g9zvvyzjkx3eyH/8j2z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pc6rI1AAAAAcBAAAPAAAAAAAAAAEAIAAAACIAAABkcnMvZG93bnJldi54bWxQSwECFAAUAAAA&#10;CACHTuJAvvdeybkBAABrAwAADgAAAAAAAAABACAAAAAjAQAAZHJzL2Uyb0RvYy54bWxQSwUGAAAA&#10;AAYABgBZAQAATgUAAAAA&#10;">
                <v:fill on="f" focussize="0,0"/>
                <v:stroke on="f"/>
                <v:imagedata o:title=""/>
                <o:lock v:ext="edit" aspectratio="f"/>
                <v:textbox>
                  <w:txbxContent>
                    <w:p w14:paraId="6E20A046">
                      <w:pPr>
                        <w:spacing w:line="240" w:lineRule="exact"/>
                        <w:rPr>
                          <w:rFonts w:ascii="楷体_GB2312" w:hAnsi="宋体" w:eastAsia="楷体_GB2312" w:cs="Times New Roman"/>
                          <w:b/>
                          <w:bCs/>
                          <w:color w:val="000000"/>
                          <w:sz w:val="18"/>
                          <w:szCs w:val="18"/>
                        </w:rPr>
                      </w:pPr>
                      <w:r>
                        <w:rPr>
                          <w:rFonts w:hint="eastAsia" w:ascii="楷体_GB2312" w:eastAsia="楷体_GB2312" w:cs="楷体_GB2312"/>
                          <w:b/>
                          <w:bCs/>
                          <w:color w:val="000000"/>
                          <w:sz w:val="18"/>
                          <w:szCs w:val="18"/>
                        </w:rPr>
                        <w:t>承包人对其代表授权</w:t>
                      </w:r>
                    </w:p>
                  </w:txbxContent>
                </v:textbox>
              </v:shape>
            </w:pict>
          </mc:Fallback>
        </mc:AlternateContent>
      </w:r>
      <w:r>
        <w:rPr>
          <w:rFonts w:hint="default" w:ascii="Times New Roman" w:hAnsi="Times New Roman" w:cs="Times New Roman"/>
          <w:color w:val="auto"/>
          <w:sz w:val="22"/>
          <w:szCs w:val="22"/>
          <w:highlight w:val="none"/>
        </w:rPr>
        <w:t>承包人应依据第21.2款规定在专用条款中写明承包人代表具体人选，同时在开工前将承包人代表任命书以书面形式通知发包人，授予其代表承包人履行合同规定职责所需的一切权力。</w:t>
      </w:r>
    </w:p>
    <w:p w14:paraId="183BF44E">
      <w:pPr>
        <w:tabs>
          <w:tab w:val="left" w:pos="540"/>
          <w:tab w:val="left" w:pos="720"/>
          <w:tab w:val="left" w:pos="1260"/>
          <w:tab w:val="left" w:pos="1440"/>
        </w:tabs>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25.2  </w:t>
      </w:r>
      <w:r>
        <w:rPr>
          <w:rFonts w:hint="default" w:ascii="Times New Roman" w:hAnsi="Times New Roman" w:cs="Times New Roman"/>
          <w:b/>
          <w:bCs/>
          <w:color w:val="auto"/>
          <w:sz w:val="22"/>
          <w:szCs w:val="22"/>
          <w:highlight w:val="none"/>
          <w:u w:val="dotted"/>
        </w:rPr>
        <w:t xml:space="preserve">                                                                                                        </w:t>
      </w:r>
    </w:p>
    <w:p w14:paraId="10BBB050">
      <w:pPr>
        <w:tabs>
          <w:tab w:val="left" w:pos="540"/>
          <w:tab w:val="left" w:pos="720"/>
          <w:tab w:val="left" w:pos="1260"/>
          <w:tab w:val="left" w:pos="1440"/>
        </w:tabs>
        <w:spacing w:line="420" w:lineRule="exact"/>
        <w:ind w:left="1619" w:leftChars="771" w:firstLine="2"/>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46304" behindDoc="0" locked="0" layoutInCell="1" allowOverlap="1">
                <wp:simplePos x="0" y="0"/>
                <wp:positionH relativeFrom="column">
                  <wp:posOffset>-114300</wp:posOffset>
                </wp:positionH>
                <wp:positionV relativeFrom="paragraph">
                  <wp:posOffset>7620</wp:posOffset>
                </wp:positionV>
                <wp:extent cx="1028700" cy="396240"/>
                <wp:effectExtent l="0" t="0" r="0" b="0"/>
                <wp:wrapNone/>
                <wp:docPr id="93" name="文本框 93"/>
                <wp:cNvGraphicFramePr/>
                <a:graphic xmlns:a="http://schemas.openxmlformats.org/drawingml/2006/main">
                  <a:graphicData uri="http://schemas.microsoft.com/office/word/2010/wordprocessingShape">
                    <wps:wsp>
                      <wps:cNvSpPr txBox="1"/>
                      <wps:spPr>
                        <a:xfrm>
                          <a:off x="0" y="0"/>
                          <a:ext cx="1028700" cy="396240"/>
                        </a:xfrm>
                        <a:prstGeom prst="rect">
                          <a:avLst/>
                        </a:prstGeom>
                        <a:noFill/>
                        <a:ln>
                          <a:noFill/>
                        </a:ln>
                        <a:effectLst/>
                      </wps:spPr>
                      <wps:txbx>
                        <w:txbxContent>
                          <w:p w14:paraId="4057B496">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承包人代表职</w:t>
                            </w:r>
                          </w:p>
                          <w:p w14:paraId="5C7AA916">
                            <w:pPr>
                              <w:spacing w:line="240" w:lineRule="exact"/>
                              <w:rPr>
                                <w:rFonts w:ascii="宋体" w:cs="Times New Roman"/>
                                <w:sz w:val="18"/>
                                <w:szCs w:val="18"/>
                              </w:rPr>
                            </w:pPr>
                            <w:r>
                              <w:rPr>
                                <w:rFonts w:hint="eastAsia" w:ascii="楷体_GB2312" w:hAnsi="宋体" w:eastAsia="楷体_GB2312" w:cs="楷体_GB2312"/>
                                <w:b/>
                                <w:bCs/>
                                <w:color w:val="000000"/>
                                <w:sz w:val="18"/>
                                <w:szCs w:val="18"/>
                              </w:rPr>
                              <w:t>权</w:t>
                            </w:r>
                          </w:p>
                        </w:txbxContent>
                      </wps:txbx>
                      <wps:bodyPr wrap="square" upright="1"/>
                    </wps:wsp>
                  </a:graphicData>
                </a:graphic>
              </wp:anchor>
            </w:drawing>
          </mc:Choice>
          <mc:Fallback>
            <w:pict>
              <v:shape id="_x0000_s1026" o:spid="_x0000_s1026" o:spt="202" type="#_x0000_t202" style="position:absolute;left:0pt;margin-left:-9pt;margin-top:0.6pt;height:31.2pt;width:81pt;z-index:251746304;mso-width-relative:page;mso-height-relative:page;" filled="f" stroked="f" coordsize="21600,21600" o:gfxdata="UEsDBAoAAAAAAIdO4kAAAAAAAAAAAAAAAAAEAAAAZHJzL1BLAwQUAAAACACHTuJA+MnwRtUAAAAI&#10;AQAADwAAAGRycy9kb3ducmV2LnhtbE2Py27CMBBF95X4B2uQugM7NI1oGocFqNui0ofUnYmHJGo8&#10;jmJDwt93WLXLqzO6c26xmVwnLjiE1pOGZKlAIFXetlRr+Hh/WaxBhGjIms4TarhigE05uytMbv1I&#10;b3g5xFpwCYXcaGhi7HMpQ9WgM2HpeyRmJz84EzkOtbSDGbncdXKlVCadaYk/NKbHbYPVz+HsNHy+&#10;nr6/UrWvd+6xH/2kJLknqfX9PFHPICJO8e8YbvqsDiU7Hf2ZbBCdhkWy5i2RwQrEjacp56OG7CED&#10;WRby/4DyF1BLAwQUAAAACACHTuJAXyFNxL0BAABsAwAADgAAAGRycy9lMm9Eb2MueG1srVNLbtsw&#10;EN0XyB0I7mMpTpAmguUAhZFsirZAmgPQ1MgiwF85tCVfoL1BV91033P5HB1SipsmmyyyoYbzeZz3&#10;ZrS4GYxmOwionK352azkDKx0jbKbmj98vT294gyjsI3QzkLN94D8ZnnybtH7Cuauc7qBwAjEYtX7&#10;mncx+qooUHZgBM6cB0vB1gUjIl3DpmiC6And6GJelpdF70Ljg5OASN7VGOQTYngNoGtbJWHl5NaA&#10;jSNqAC0iUcJOeeTL3G3bgoyf2xYhMl1zYhrzSY+QvU5nsVyIahOE75ScWhCvaeEZJyOUpUePUCsR&#10;BdsG9QLKKBkcujbOpDPFSCQrQizOymfa3HfCQ+ZCUqM/io5vBys/7b4EppqaX59zZoWhiR9+/jj8&#10;+nP4/Z2RjwTqPVaUd+8pMw4f3EBr8+hHcibeQxtM+hIjRnGSd3+UF4bIZCoq51fvSwpJip1fX84v&#10;sv7Fv2ofMN6BMywZNQ80vqyq2H3ESJ1Q6mNKesy6W6V1HqG2/zkocfRA3oGpOhEZG05WHNbDxG7t&#10;mj2R62kPao7ftiIAZ1sf1KajNjLZIpXQEHIT08KkKT+9k/30J1n+B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PjJ8EbVAAAACAEAAA8AAAAAAAAAAQAgAAAAIgAAAGRycy9kb3ducmV2LnhtbFBLAQIU&#10;ABQAAAAIAIdO4kBfIU3EvQEAAGwDAAAOAAAAAAAAAAEAIAAAACQBAABkcnMvZTJvRG9jLnhtbFBL&#10;BQYAAAAABgAGAFkBAABTBQAAAAA=&#10;">
                <v:fill on="f" focussize="0,0"/>
                <v:stroke on="f"/>
                <v:imagedata o:title=""/>
                <o:lock v:ext="edit" aspectratio="f"/>
                <v:textbox>
                  <w:txbxContent>
                    <w:p w14:paraId="4057B496">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承包人代表职</w:t>
                      </w:r>
                    </w:p>
                    <w:p w14:paraId="5C7AA916">
                      <w:pPr>
                        <w:spacing w:line="240" w:lineRule="exact"/>
                        <w:rPr>
                          <w:rFonts w:ascii="宋体" w:cs="Times New Roman"/>
                          <w:sz w:val="18"/>
                          <w:szCs w:val="18"/>
                        </w:rPr>
                      </w:pPr>
                      <w:r>
                        <w:rPr>
                          <w:rFonts w:hint="eastAsia" w:ascii="楷体_GB2312" w:hAnsi="宋体" w:eastAsia="楷体_GB2312" w:cs="楷体_GB2312"/>
                          <w:b/>
                          <w:bCs/>
                          <w:color w:val="000000"/>
                          <w:sz w:val="18"/>
                          <w:szCs w:val="18"/>
                        </w:rPr>
                        <w:t>权</w:t>
                      </w:r>
                    </w:p>
                  </w:txbxContent>
                </v:textbox>
              </v:shape>
            </w:pict>
          </mc:Fallback>
        </mc:AlternateContent>
      </w:r>
      <w:r>
        <w:rPr>
          <w:rFonts w:hint="default" w:ascii="Times New Roman" w:hAnsi="Times New Roman" w:cs="Times New Roman"/>
          <w:color w:val="auto"/>
          <w:sz w:val="22"/>
          <w:szCs w:val="22"/>
          <w:highlight w:val="none"/>
        </w:rPr>
        <w:t>承包人代表应代表承包人履行合同规定的职责、行使合同明文约定或必然隐含的权力，对承包人负责。承包人代表在承包人授予职权范围内的工作，承包人应予认可。</w:t>
      </w:r>
    </w:p>
    <w:p w14:paraId="2E9E5C02">
      <w:pPr>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25.3  </w:t>
      </w:r>
      <w:r>
        <w:rPr>
          <w:rFonts w:hint="default" w:ascii="Times New Roman" w:hAnsi="Times New Roman" w:cs="Times New Roman"/>
          <w:b/>
          <w:bCs/>
          <w:color w:val="auto"/>
          <w:sz w:val="22"/>
          <w:szCs w:val="22"/>
          <w:highlight w:val="none"/>
          <w:u w:val="dotted"/>
        </w:rPr>
        <w:t xml:space="preserve">                                                                                                        </w:t>
      </w:r>
    </w:p>
    <w:p w14:paraId="7563E685">
      <w:pPr>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47328" behindDoc="0" locked="0" layoutInCell="1" allowOverlap="1">
                <wp:simplePos x="0" y="0"/>
                <wp:positionH relativeFrom="column">
                  <wp:posOffset>-114300</wp:posOffset>
                </wp:positionH>
                <wp:positionV relativeFrom="paragraph">
                  <wp:posOffset>0</wp:posOffset>
                </wp:positionV>
                <wp:extent cx="914400" cy="487680"/>
                <wp:effectExtent l="0" t="0" r="0" b="0"/>
                <wp:wrapNone/>
                <wp:docPr id="94" name="文本框 94"/>
                <wp:cNvGraphicFramePr/>
                <a:graphic xmlns:a="http://schemas.openxmlformats.org/drawingml/2006/main">
                  <a:graphicData uri="http://schemas.microsoft.com/office/word/2010/wordprocessingShape">
                    <wps:wsp>
                      <wps:cNvSpPr txBox="1"/>
                      <wps:spPr>
                        <a:xfrm>
                          <a:off x="0" y="0"/>
                          <a:ext cx="914400" cy="487680"/>
                        </a:xfrm>
                        <a:prstGeom prst="rect">
                          <a:avLst/>
                        </a:prstGeom>
                        <a:noFill/>
                        <a:ln>
                          <a:noFill/>
                        </a:ln>
                        <a:effectLst/>
                      </wps:spPr>
                      <wps:txbx>
                        <w:txbxContent>
                          <w:p w14:paraId="7A85D629">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承包人代表临时任命人职权</w:t>
                            </w:r>
                          </w:p>
                        </w:txbxContent>
                      </wps:txbx>
                      <wps:bodyPr wrap="square" upright="1"/>
                    </wps:wsp>
                  </a:graphicData>
                </a:graphic>
              </wp:anchor>
            </w:drawing>
          </mc:Choice>
          <mc:Fallback>
            <w:pict>
              <v:shape id="_x0000_s1026" o:spid="_x0000_s1026" o:spt="202" type="#_x0000_t202" style="position:absolute;left:0pt;margin-left:-9pt;margin-top:0pt;height:38.4pt;width:72pt;z-index:251747328;mso-width-relative:page;mso-height-relative:page;" filled="f" stroked="f" coordsize="21600,21600" o:gfxdata="UEsDBAoAAAAAAIdO4kAAAAAAAAAAAAAAAAAEAAAAZHJzL1BLAwQUAAAACACHTuJAcu3RXtUAAAAH&#10;AQAADwAAAGRycy9kb3ducmV2LnhtbE2PQU/DMAyF70j8h8hI3LakE5Su1N0BxBXEBki7Za3XVjRO&#10;1WRr+fd4J7hYz3rWe5+Lzex6daYxdJ4RkqUBRVz5uuMG4WP3sshAhWi5tr1nQvihAJvy+qqwee0n&#10;fqfzNjZKQjjkFqGNcci1DlVLzoalH4jFO/rR2Sjr2Oh6tJOEu16vjEm1sx1LQ2sHemqp+t6eHMLn&#10;63H/dWfemmd3P0x+NprdWiPe3iTmEVSkOf4dwwVf0KEUpoM/cR1Uj7BIMvklIsi82KtUxAHhIc1A&#10;l4X+z1/+AlBLAwQUAAAACACHTuJAtQOKEbwBAABrAwAADgAAAGRycy9lMm9Eb2MueG1srVNLbtsw&#10;EN0XyB0I7mPJgZE6guUAhZFsgrZA2gPQ1NAiwF85tCVfoL1BV91033P5HB1Ripummyy6oYbzeZz3&#10;ZrS67a1hB4iovav5fFZyBk76RrtdzT9/urtccoZJuEYY76DmR0B+u754s+pCBVe+9aaByAjEYdWF&#10;mrcphaooULZgBc58AEdB5aMVia5xVzRRdIRuTXFVltdF52MTopeASN7NGOQTYnwNoFdKS9h4ubfg&#10;0ogawYhElLDVAfk6d6sUyPRBKYTETM2JaconPUL2djiL9UpUuyhCq+XUgnhNCy84WaEdPXqG2ogk&#10;2D7qf6CsltGjV2kmvS1GIlkRYjEvX2jz2IoAmQtJjeEsOv4/WPn+8DEy3dT8ZsGZE5Ymfvr+7fTj&#10;1+nnV0Y+EqgLWFHeY6DM1L/zPa3Nkx/JOfDuVbTDlxgxipO8x7O80CcmyXkzXyxKikgKLZZvr5dZ&#10;/uJPcYiY7sFbNhg1jzS9LKo4PGCiRij1KWV4y/k7bUyeoHF/OShx9EBegal64DH2O1ip3/YTua1v&#10;jsStozWoOX7Ziwic7UPUu5bayFyLoYRmkJuY9mUY8vM72c//kf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cu3RXtUAAAAHAQAADwAAAAAAAAABACAAAAAiAAAAZHJzL2Rvd25yZXYueG1sUEsBAhQA&#10;FAAAAAgAh07iQLUDihG8AQAAawMAAA4AAAAAAAAAAQAgAAAAJAEAAGRycy9lMm9Eb2MueG1sUEsF&#10;BgAAAAAGAAYAWQEAAFIFAAAAAA==&#10;">
                <v:fill on="f" focussize="0,0"/>
                <v:stroke on="f"/>
                <v:imagedata o:title=""/>
                <o:lock v:ext="edit" aspectratio="f"/>
                <v:textbox>
                  <w:txbxContent>
                    <w:p w14:paraId="7A85D629">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承包人代表临时任命人职权</w:t>
                      </w:r>
                    </w:p>
                  </w:txbxContent>
                </v:textbox>
              </v:shape>
            </w:pict>
          </mc:Fallback>
        </mc:AlternateContent>
      </w:r>
      <w:r>
        <w:rPr>
          <w:rFonts w:hint="default" w:ascii="Times New Roman" w:hAnsi="Times New Roman" w:cs="Times New Roman"/>
          <w:color w:val="auto"/>
          <w:sz w:val="22"/>
          <w:szCs w:val="22"/>
          <w:highlight w:val="none"/>
        </w:rPr>
        <w:t>如果承包人代表在合同履行期间确需暂离现场，则应在监理工程师同意下，按照第21.4款规定授权给其任命的合格人选，亦可将其授权撤回。任命的人选行使承包人代表授予的职权，对承包人代表负责。该人选在承包人代表授予职权范围内的工作，承包人代表应予认可，但承包人代表保留因该人选未曾对实施、完成合同工程工作错误加以反对的失误而否定该工作，并发出纠正通知的权力。未按照第21.4款规定，任何此类任命或撤回均为无效。</w:t>
      </w:r>
    </w:p>
    <w:p w14:paraId="1029357D">
      <w:pPr>
        <w:spacing w:line="420" w:lineRule="exact"/>
        <w:rPr>
          <w:rFonts w:hint="default" w:ascii="Times New Roman" w:hAnsi="Times New Roman" w:cs="Times New Roman"/>
          <w:b/>
          <w:bCs/>
          <w:color w:val="auto"/>
          <w:sz w:val="22"/>
          <w:szCs w:val="22"/>
          <w:highlight w:val="none"/>
        </w:rPr>
      </w:pPr>
    </w:p>
    <w:p w14:paraId="4B946D49">
      <w:pPr>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25.4  </w:t>
      </w:r>
      <w:r>
        <w:rPr>
          <w:rFonts w:hint="default" w:ascii="Times New Roman" w:hAnsi="Times New Roman" w:cs="Times New Roman"/>
          <w:b/>
          <w:bCs/>
          <w:color w:val="auto"/>
          <w:sz w:val="22"/>
          <w:szCs w:val="22"/>
          <w:highlight w:val="none"/>
          <w:u w:val="dotted"/>
        </w:rPr>
        <w:t xml:space="preserve">                                                                                                        </w:t>
      </w:r>
    </w:p>
    <w:p w14:paraId="7868EEA7">
      <w:pPr>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48352" behindDoc="0" locked="0" layoutInCell="1" allowOverlap="1">
                <wp:simplePos x="0" y="0"/>
                <wp:positionH relativeFrom="column">
                  <wp:posOffset>-114300</wp:posOffset>
                </wp:positionH>
                <wp:positionV relativeFrom="paragraph">
                  <wp:posOffset>0</wp:posOffset>
                </wp:positionV>
                <wp:extent cx="914400" cy="762000"/>
                <wp:effectExtent l="0" t="0" r="0" b="0"/>
                <wp:wrapNone/>
                <wp:docPr id="95" name="文本框 95"/>
                <wp:cNvGraphicFramePr/>
                <a:graphic xmlns:a="http://schemas.openxmlformats.org/drawingml/2006/main">
                  <a:graphicData uri="http://schemas.microsoft.com/office/word/2010/wordprocessingShape">
                    <wps:wsp>
                      <wps:cNvSpPr txBox="1"/>
                      <wps:spPr>
                        <a:xfrm>
                          <a:off x="0" y="0"/>
                          <a:ext cx="914400" cy="762000"/>
                        </a:xfrm>
                        <a:prstGeom prst="rect">
                          <a:avLst/>
                        </a:prstGeom>
                        <a:noFill/>
                        <a:ln>
                          <a:noFill/>
                        </a:ln>
                        <a:effectLst/>
                      </wps:spPr>
                      <wps:txbx>
                        <w:txbxContent>
                          <w:p w14:paraId="5E7AC454">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紧急情况时承包人代表采取措施及双方责任</w:t>
                            </w:r>
                          </w:p>
                        </w:txbxContent>
                      </wps:txbx>
                      <wps:bodyPr wrap="square" upright="1"/>
                    </wps:wsp>
                  </a:graphicData>
                </a:graphic>
              </wp:anchor>
            </w:drawing>
          </mc:Choice>
          <mc:Fallback>
            <w:pict>
              <v:shape id="_x0000_s1026" o:spid="_x0000_s1026" o:spt="202" type="#_x0000_t202" style="position:absolute;left:0pt;margin-left:-9pt;margin-top:0pt;height:60pt;width:72pt;z-index:251748352;mso-width-relative:page;mso-height-relative:page;" filled="f" stroked="f" coordsize="21600,21600" o:gfxdata="UEsDBAoAAAAAAIdO4kAAAAAAAAAAAAAAAAAEAAAAZHJzL1BLAwQUAAAACACHTuJA9rvZW9QAAAAI&#10;AQAADwAAAGRycy9kb3ducmV2LnhtbE2PT0/DMAzF70h8h8hIu21JJ5hGaboDiCsT44/EzWu8tqJx&#10;qiZby7fHPcHFetaznn+v2E2+UxcaYhvYQrYyoIir4FquLby/PS+3oGJCdtgFJgs/FGFXXl8VmLsw&#10;8itdDqlWEsIxRwtNSn2udawa8hhXoScW7xQGj0nWodZuwFHCfafXxmy0x5blQ4M9PTZUfR/O3sLH&#10;y+nr89bs6yd/149hMpr9vbZ2cZOZB1CJpvR3DDO+oEMpTMdwZhdVZ2GZbaVLsiBzttcbEcdZGAO6&#10;LPT/AuUvUEsDBBQAAAAIAIdO4kCfTq/evAEAAGsDAAAOAAAAZHJzL2Uyb0RvYy54bWytU82O0zAQ&#10;viPxDpbv1OlqWdio6UqoWi4IkBYewHXGjaX4B4/bpC8Ab8CJC3eeq8/B2MmWZbnsgYsznp/P830z&#10;Wd2MtmcHiGi8a/hyUXEGTvnWuF3DP3+6ffGaM0zStbL3Dhp+BOQ36+fPVkOo4cJ3vm8hMgJxWA+h&#10;4V1KoRYCVQdW4sIHcBTUPlqZ6Bp3oo1yIHTbi4uquhKDj22IXgEieTdTkM+I8SmAXmujYOPV3oJL&#10;E2qEXiaihJ0JyNelW61BpQ9aIyTWN5yYpnLSI2Rv8ynWK1nvogydUXML8iktPOJkpXH06BlqI5Nk&#10;+2j+gbJGRY9ep4XyVkxEiiLEYlk90uaukwEKF5Iaw1l0/H+w6v3hY2Smbfj1S86ctDTx0/dvpx+/&#10;Tj+/MvKRQEPAmvLuAmWm8Y0faW3u/UjOzHvU0eYvMWIUJ3mPZ3lhTEyR83p5eVlRRFHo1RXtQpFf&#10;/CkOEdNb8JZlo+GRpldElYd3mKgRSr1PyW85f2v6vkywd385KHHyQFmBuTrzmPrNVhq340xu69sj&#10;cRtoDRqOX/YyAmf7EM2uozYKV5FLaAaliXlf8pAf3sl++I+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2u9lb1AAAAAgBAAAPAAAAAAAAAAEAIAAAACIAAABkcnMvZG93bnJldi54bWxQSwECFAAU&#10;AAAACACHTuJAn06v3rwBAABrAwAADgAAAAAAAAABACAAAAAjAQAAZHJzL2Uyb0RvYy54bWxQSwUG&#10;AAAAAAYABgBZAQAAUQUAAAAA&#10;">
                <v:fill on="f" focussize="0,0"/>
                <v:stroke on="f"/>
                <v:imagedata o:title=""/>
                <o:lock v:ext="edit" aspectratio="f"/>
                <v:textbox>
                  <w:txbxContent>
                    <w:p w14:paraId="5E7AC454">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紧急情况时承包人代表采取措施及双方责任</w:t>
                      </w:r>
                    </w:p>
                  </w:txbxContent>
                </v:textbox>
              </v:shape>
            </w:pict>
          </mc:Fallback>
        </mc:AlternateContent>
      </w:r>
      <w:r>
        <w:rPr>
          <w:rFonts w:hint="default" w:ascii="Times New Roman" w:hAnsi="Times New Roman" w:cs="Times New Roman"/>
          <w:color w:val="auto"/>
          <w:sz w:val="22"/>
          <w:szCs w:val="22"/>
          <w:highlight w:val="none"/>
        </w:rPr>
        <w:t>承包人代表按照经发包人认可的施工组织设计和监理工程师发出的指令组织施工。在紧急情况下，且无法与监理工程师取得联系时，承包人代表应立即采取保证人员生命和工程、财产安全的有效措施，并在采取措施后48小时内向监理工程师提交书面报告，通知发包人。属于发包人或第三方责任的，其发生的费用和（或）延误的工期由发包人承担，并支付承包人合理利润；属于承包人责任的，其发生的费用和（或）延误的工期由承包人承担。</w:t>
      </w:r>
    </w:p>
    <w:p w14:paraId="30F7A1FC">
      <w:pPr>
        <w:pStyle w:val="15"/>
        <w:tabs>
          <w:tab w:val="left" w:pos="540"/>
        </w:tabs>
        <w:adjustRightInd w:val="0"/>
        <w:snapToGrid w:val="0"/>
        <w:spacing w:line="420" w:lineRule="exact"/>
        <w:ind w:right="-240"/>
        <w:rPr>
          <w:rFonts w:hint="default" w:ascii="Times New Roman" w:hAnsi="Times New Roman" w:cs="Times New Roman"/>
          <w:b/>
          <w:bCs/>
          <w:color w:val="auto"/>
          <w:sz w:val="22"/>
          <w:szCs w:val="22"/>
          <w:highlight w:val="none"/>
          <w:u w:val="single"/>
        </w:rPr>
      </w:pPr>
      <w:bookmarkStart w:id="139" w:name="_Toc468936969"/>
      <w:r>
        <w:rPr>
          <w:rFonts w:hint="default" w:ascii="Times New Roman" w:hAnsi="Times New Roman" w:cs="Times New Roman"/>
          <w:b/>
          <w:bCs/>
          <w:color w:val="auto"/>
          <w:sz w:val="22"/>
          <w:szCs w:val="22"/>
          <w:highlight w:val="none"/>
          <w:u w:val="single"/>
        </w:rPr>
        <w:t xml:space="preserve">                                                                                                             </w:t>
      </w:r>
    </w:p>
    <w:p w14:paraId="4F9AE4FA">
      <w:pPr>
        <w:pStyle w:val="15"/>
        <w:tabs>
          <w:tab w:val="left" w:pos="540"/>
        </w:tabs>
        <w:adjustRightInd w:val="0"/>
        <w:snapToGrid w:val="0"/>
        <w:spacing w:line="420" w:lineRule="exact"/>
        <w:ind w:right="-240"/>
        <w:outlineLvl w:val="2"/>
        <w:rPr>
          <w:rFonts w:hint="default" w:ascii="Times New Roman" w:hAnsi="Times New Roman" w:cs="Times New Roman"/>
          <w:b/>
          <w:bCs/>
          <w:color w:val="auto"/>
          <w:sz w:val="22"/>
          <w:szCs w:val="22"/>
          <w:highlight w:val="none"/>
        </w:rPr>
      </w:pPr>
      <w:bookmarkStart w:id="140" w:name="_Toc11512"/>
      <w:bookmarkStart w:id="141" w:name="_Toc469384006"/>
      <w:r>
        <w:rPr>
          <w:rFonts w:hint="default" w:ascii="Times New Roman" w:hAnsi="Times New Roman" w:cs="Times New Roman"/>
          <w:b/>
          <w:bCs/>
          <w:color w:val="auto"/>
          <w:sz w:val="22"/>
          <w:szCs w:val="22"/>
          <w:highlight w:val="none"/>
        </w:rPr>
        <w:t>26  指定分包</w:t>
      </w:r>
      <w:bookmarkEnd w:id="139"/>
      <w:r>
        <w:rPr>
          <w:rFonts w:hint="default" w:ascii="Times New Roman" w:hAnsi="Times New Roman" w:cs="Times New Roman"/>
          <w:b/>
          <w:bCs/>
          <w:color w:val="auto"/>
          <w:sz w:val="22"/>
          <w:szCs w:val="22"/>
          <w:highlight w:val="none"/>
        </w:rPr>
        <w:t>人</w:t>
      </w:r>
      <w:bookmarkEnd w:id="140"/>
      <w:bookmarkEnd w:id="141"/>
    </w:p>
    <w:p w14:paraId="3AB2FDCE">
      <w:pPr>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26.1 </w:t>
      </w:r>
    </w:p>
    <w:p w14:paraId="6D5FBEDC">
      <w:pPr>
        <w:pStyle w:val="15"/>
        <w:adjustRightInd w:val="0"/>
        <w:snapToGrid w:val="0"/>
        <w:spacing w:line="420" w:lineRule="exact"/>
        <w:ind w:left="1978" w:leftChars="942"/>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49376" behindDoc="0" locked="0" layoutInCell="1" allowOverlap="1">
                <wp:simplePos x="0" y="0"/>
                <wp:positionH relativeFrom="column">
                  <wp:posOffset>-114300</wp:posOffset>
                </wp:positionH>
                <wp:positionV relativeFrom="paragraph">
                  <wp:posOffset>60325</wp:posOffset>
                </wp:positionV>
                <wp:extent cx="914400" cy="693420"/>
                <wp:effectExtent l="0" t="0" r="0" b="0"/>
                <wp:wrapNone/>
                <wp:docPr id="96" name="文本框 96"/>
                <wp:cNvGraphicFramePr/>
                <a:graphic xmlns:a="http://schemas.openxmlformats.org/drawingml/2006/main">
                  <a:graphicData uri="http://schemas.microsoft.com/office/word/2010/wordprocessingShape">
                    <wps:wsp>
                      <wps:cNvSpPr txBox="1"/>
                      <wps:spPr>
                        <a:xfrm>
                          <a:off x="0" y="0"/>
                          <a:ext cx="914400" cy="693420"/>
                        </a:xfrm>
                        <a:prstGeom prst="rect">
                          <a:avLst/>
                        </a:prstGeom>
                        <a:noFill/>
                        <a:ln>
                          <a:noFill/>
                        </a:ln>
                        <a:effectLst/>
                      </wps:spPr>
                      <wps:txbx>
                        <w:txbxContent>
                          <w:p w14:paraId="5D5CB438">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指定分包人工作</w:t>
                            </w:r>
                          </w:p>
                        </w:txbxContent>
                      </wps:txbx>
                      <wps:bodyPr wrap="square" upright="1"/>
                    </wps:wsp>
                  </a:graphicData>
                </a:graphic>
              </wp:anchor>
            </w:drawing>
          </mc:Choice>
          <mc:Fallback>
            <w:pict>
              <v:shape id="_x0000_s1026" o:spid="_x0000_s1026" o:spt="202" type="#_x0000_t202" style="position:absolute;left:0pt;margin-left:-9pt;margin-top:4.75pt;height:54.6pt;width:72pt;z-index:251749376;mso-width-relative:page;mso-height-relative:page;" filled="f" stroked="f" coordsize="21600,21600" o:gfxdata="UEsDBAoAAAAAAIdO4kAAAAAAAAAAAAAAAAAEAAAAZHJzL1BLAwQUAAAACACHTuJARey6tdYAAAAJ&#10;AQAADwAAAGRycy9kb3ducmV2LnhtbE2PzW7CMBCE75X6DtZW4gZ2ED8hxOHQqtdWBVqJm4mXJGq8&#10;jmJD0rfvcmpvO5rR7Df5bnStuGEfGk8akpkCgVR621Cl4Xh4naYgQjRkTesJNfxggF3x+JCbzPqB&#10;PvC2j5XgEgqZ0VDH2GVShrJGZ8LMd0jsXXzvTGTZV9L2ZuBy18q5UivpTEP8oTYdPtdYfu+vTsPn&#10;2+X0tVDv1YtbdoMflSS3kVpPnhK1BRFxjH9huOMzOhTMdPZXskG0GqZJyluihs0SxN2fr1if+UjS&#10;Ncgil/8XFL9QSwMEFAAAAAgAh07iQGHpyvO8AQAAawMAAA4AAABkcnMvZTJvRG9jLnhtbK1TzY7T&#10;MBC+I/EOlu80aakqGjVdCVXLBQHSwgO4zrix5D88bpO+ALwBJy7cea4+BxMn212Wyx64OOP5+Tzf&#10;N5PNTW8NO0FE7V3N57OSM3DSN9odav7l8+2rN5xhEq4Rxjuo+RmQ32xfvth0oYKFb71pIDICcVh1&#10;oeZtSqEqCpQtWIEzH8BRUPloRaJrPBRNFB2hW1MsynJVdD42IXoJiOTdjUE+IcbnAHqltISdl0cL&#10;Lo2oEYxIRAlbHZBvc7dKgUwflUJIzNScmKZ80iNk74ez2G5EdYgitFpOLYjntPCEkxXa0aNXqJ1I&#10;gh2j/gfKahk9epVm0ttiJJIVIRbz8ok2d60IkLmQ1BiuouP/g5UfTp8i003N1yvOnLA08cuP75ef&#10;vy+/vjHykUBdwIry7gJlpv6t72lt7v1IzoF3r6IdvsSIUZzkPV/lhT4xSc71fLksKSIptFq/Xi6y&#10;/MVDcYiY3oG3bDBqHml6WVRxeo+JGqHU+5ThLedvtTF5gsb95aDE0QN5BabqgcfY72Clft9P5Pa+&#10;ORO3jtag5vj1KCJwdgxRH1pqI3MthhKaQW5i2pdhyI/vZD/+R7Z/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EXsurXWAAAACQEAAA8AAAAAAAAAAQAgAAAAIgAAAGRycy9kb3ducmV2LnhtbFBLAQIU&#10;ABQAAAAIAIdO4kBh6crzvAEAAGsDAAAOAAAAAAAAAAEAIAAAACUBAABkcnMvZTJvRG9jLnhtbFBL&#10;BQYAAAAABgAGAFkBAABTBQAAAAA=&#10;">
                <v:fill on="f" focussize="0,0"/>
                <v:stroke on="f"/>
                <v:imagedata o:title=""/>
                <o:lock v:ext="edit" aspectratio="f"/>
                <v:textbox>
                  <w:txbxContent>
                    <w:p w14:paraId="5D5CB438">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指定分包人工作</w:t>
                      </w:r>
                    </w:p>
                  </w:txbxContent>
                </v:textbox>
              </v:shape>
            </w:pict>
          </mc:Fallback>
        </mc:AlternateContent>
      </w:r>
      <w:r>
        <w:rPr>
          <w:rFonts w:hint="default" w:ascii="Times New Roman" w:hAnsi="Times New Roman" w:cs="Times New Roman"/>
          <w:color w:val="auto"/>
          <w:sz w:val="22"/>
          <w:szCs w:val="22"/>
          <w:highlight w:val="none"/>
        </w:rPr>
        <w:t>指定分包人是指发包人事先指定的从事下列工作之一的分包人：</w:t>
      </w:r>
    </w:p>
    <w:p w14:paraId="5282554C">
      <w:pPr>
        <w:pStyle w:val="15"/>
        <w:widowControl/>
        <w:adjustRightInd w:val="0"/>
        <w:snapToGrid w:val="0"/>
        <w:spacing w:line="420" w:lineRule="exact"/>
        <w:ind w:left="1978"/>
        <w:jc w:val="lef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（1）根据专用条款的约定，发包人依法事先指定的实施、完成部分永久工程的分包人；</w:t>
      </w:r>
    </w:p>
    <w:p w14:paraId="184B9B40">
      <w:pPr>
        <w:pStyle w:val="15"/>
        <w:widowControl/>
        <w:adjustRightInd w:val="0"/>
        <w:snapToGrid w:val="0"/>
        <w:spacing w:line="420" w:lineRule="exact"/>
        <w:ind w:left="1978" w:leftChars="942" w:firstLine="15" w:firstLineChars="7"/>
        <w:jc w:val="lef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（2）根据专用条款的约定，发包人选定的提供合同工程材料、工程设备和服务的分包人。</w:t>
      </w:r>
    </w:p>
    <w:p w14:paraId="429C21DC">
      <w:pPr>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26.2  </w:t>
      </w:r>
      <w:r>
        <w:rPr>
          <w:rFonts w:hint="default" w:ascii="Times New Roman" w:hAnsi="Times New Roman" w:cs="Times New Roman"/>
          <w:b/>
          <w:bCs/>
          <w:color w:val="auto"/>
          <w:sz w:val="22"/>
          <w:szCs w:val="22"/>
          <w:highlight w:val="none"/>
          <w:u w:val="dotted"/>
        </w:rPr>
        <w:t xml:space="preserve">                                                                             </w:t>
      </w:r>
    </w:p>
    <w:p w14:paraId="1C4999D8">
      <w:pPr>
        <w:pStyle w:val="15"/>
        <w:widowControl/>
        <w:adjustRightInd w:val="0"/>
        <w:snapToGrid w:val="0"/>
        <w:spacing w:line="420" w:lineRule="exact"/>
        <w:ind w:left="1978" w:leftChars="942" w:firstLine="2" w:firstLineChars="1"/>
        <w:jc w:val="lef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50400" behindDoc="0" locked="0" layoutInCell="1" allowOverlap="1">
                <wp:simplePos x="0" y="0"/>
                <wp:positionH relativeFrom="column">
                  <wp:posOffset>-114300</wp:posOffset>
                </wp:positionH>
                <wp:positionV relativeFrom="paragraph">
                  <wp:posOffset>0</wp:posOffset>
                </wp:positionV>
                <wp:extent cx="1028700" cy="627380"/>
                <wp:effectExtent l="0" t="0" r="0" b="0"/>
                <wp:wrapNone/>
                <wp:docPr id="115" name="文本框 115"/>
                <wp:cNvGraphicFramePr/>
                <a:graphic xmlns:a="http://schemas.openxmlformats.org/drawingml/2006/main">
                  <a:graphicData uri="http://schemas.microsoft.com/office/word/2010/wordprocessingShape">
                    <wps:wsp>
                      <wps:cNvSpPr txBox="1"/>
                      <wps:spPr>
                        <a:xfrm>
                          <a:off x="0" y="0"/>
                          <a:ext cx="1028700" cy="627380"/>
                        </a:xfrm>
                        <a:prstGeom prst="rect">
                          <a:avLst/>
                        </a:prstGeom>
                        <a:noFill/>
                        <a:ln>
                          <a:noFill/>
                        </a:ln>
                        <a:effectLst/>
                      </wps:spPr>
                      <wps:txbx>
                        <w:txbxContent>
                          <w:p w14:paraId="5470A109">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承包人对指定分包人的接受</w:t>
                            </w:r>
                          </w:p>
                        </w:txbxContent>
                      </wps:txbx>
                      <wps:bodyPr wrap="square" upright="1"/>
                    </wps:wsp>
                  </a:graphicData>
                </a:graphic>
              </wp:anchor>
            </w:drawing>
          </mc:Choice>
          <mc:Fallback>
            <w:pict>
              <v:shape id="_x0000_s1026" o:spid="_x0000_s1026" o:spt="202" type="#_x0000_t202" style="position:absolute;left:0pt;margin-left:-9pt;margin-top:0pt;height:49.4pt;width:81pt;z-index:251750400;mso-width-relative:page;mso-height-relative:page;" filled="f" stroked="f" coordsize="21600,21600" o:gfxdata="UEsDBAoAAAAAAIdO4kAAAAAAAAAAAAAAAAAEAAAAZHJzL1BLAwQUAAAACACHTuJABoDsBtQAAAAH&#10;AQAADwAAAGRycy9kb3ducmV2LnhtbE2PT0/DMAzF70h8h8hI3LakqKCu1N0BxBXE+CNxyxqvrWic&#10;qsnW8u3xTnCxnvWs936utosf1Imm2AdGyNYGFHETXM8twvvb06oAFZNlZ4fAhPBDEbb15UVlSxdm&#10;fqXTLrVKQjiWFqFLaSy1jk1H3sZ1GInFO4TJ2yTr1Go32VnC/aBvjLnT3vYsDZ0d6aGj5nt39Agf&#10;z4evz9y8tI/+dpzDYjT7jUa8vsrMPahES/o7hjO+oEMtTPtwZBfVgLDKCvklIcg823kuYo+wKQrQ&#10;daX/89e/UEsDBBQAAAAIAIdO4kDDDHazvAEAAG4DAAAOAAAAZHJzL2Uyb0RvYy54bWytU0tu2zAQ&#10;3RfIHQjuY8kumhiC5QCFkW6KtkDaA9DUyCLAXzm0JV+gvUFX3XTfc/kcHVKK89tk0Q01nM/jvDej&#10;1c1gNDtAQOVszeezkjOw0jXK7mr+7evt5ZIzjMI2QjsLNT8C8pv1xZtV7ytYuM7pBgIjEItV72ve&#10;xeirokDZgRE4cx4sBVsXjIh0DbuiCaIndKOLRVleFb0LjQ9OAiJ5N2OQT4jhNYCubZWEjZN7AzaO&#10;qAG0iEQJO+WRr3O3bQsyfm5bhMh0zYlpzCc9QvY2ncV6JapdEL5TcmpBvKaFZ5yMUJYePUNtRBRs&#10;H9QLKKNkcOjaOJPOFCORrAixmJfPtLnrhIfMhaRGfxYd/x+s/HT4EphqaBPm7zizwtDIT79+nn7/&#10;Pf35wZKTJOo9VpR55yk3Du/dQOn3fiRnYj60waQvcWIUJ4GPZ4FhiEymonKxvC4pJCl2tbh+u8wT&#10;KB6qfcD4AZxhyah5oAFmXcXhI0bqhFLvU9Jj1t0qrfMQtX3ioMTRA3kLpupEZGw4WXHYDhO7rWuO&#10;RK6nTag5ft+LAJztfVC7jtrIZItUQmPITUwrk+b8+E72499k/Q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GgOwG1AAAAAcBAAAPAAAAAAAAAAEAIAAAACIAAABkcnMvZG93bnJldi54bWxQSwECFAAU&#10;AAAACACHTuJAwwx2s7wBAABuAwAADgAAAAAAAAABACAAAAAjAQAAZHJzL2Uyb0RvYy54bWxQSwUG&#10;AAAAAAYABgBZAQAAUQUAAAAA&#10;">
                <v:fill on="f" focussize="0,0"/>
                <v:stroke on="f"/>
                <v:imagedata o:title=""/>
                <o:lock v:ext="edit" aspectratio="f"/>
                <v:textbox>
                  <w:txbxContent>
                    <w:p w14:paraId="5470A109">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承包人对指定分包人的接受</w:t>
                      </w:r>
                    </w:p>
                  </w:txbxContent>
                </v:textbox>
              </v:shape>
            </w:pict>
          </mc:Fallback>
        </mc:AlternateContent>
      </w:r>
      <w:r>
        <w:rPr>
          <w:rFonts w:hint="default" w:ascii="Times New Roman" w:hAnsi="Times New Roman" w:cs="Times New Roman"/>
          <w:color w:val="auto"/>
          <w:sz w:val="22"/>
          <w:szCs w:val="22"/>
          <w:highlight w:val="none"/>
        </w:rPr>
        <w:t>指定分包人属于承包人的分包人，发包人不应要求承包人有义务接受承包人有理由反对的任何指定分包人。</w:t>
      </w:r>
    </w:p>
    <w:p w14:paraId="74168BC5">
      <w:pPr>
        <w:spacing w:line="420" w:lineRule="exact"/>
        <w:rPr>
          <w:rFonts w:hint="default" w:ascii="Times New Roman" w:hAnsi="Times New Roman" w:cs="Times New Roman"/>
          <w:b/>
          <w:bCs/>
          <w:color w:val="auto"/>
          <w:sz w:val="22"/>
          <w:szCs w:val="22"/>
          <w:highlight w:val="none"/>
          <w:u w:val="dotted"/>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51424" behindDoc="0" locked="0" layoutInCell="1" allowOverlap="1">
                <wp:simplePos x="0" y="0"/>
                <wp:positionH relativeFrom="column">
                  <wp:posOffset>-114300</wp:posOffset>
                </wp:positionH>
                <wp:positionV relativeFrom="paragraph">
                  <wp:posOffset>237490</wp:posOffset>
                </wp:positionV>
                <wp:extent cx="1028700" cy="699135"/>
                <wp:effectExtent l="0" t="0" r="0" b="0"/>
                <wp:wrapNone/>
                <wp:docPr id="97" name="文本框 97"/>
                <wp:cNvGraphicFramePr/>
                <a:graphic xmlns:a="http://schemas.openxmlformats.org/drawingml/2006/main">
                  <a:graphicData uri="http://schemas.microsoft.com/office/word/2010/wordprocessingShape">
                    <wps:wsp>
                      <wps:cNvSpPr txBox="1"/>
                      <wps:spPr>
                        <a:xfrm>
                          <a:off x="0" y="0"/>
                          <a:ext cx="1028700" cy="699135"/>
                        </a:xfrm>
                        <a:prstGeom prst="rect">
                          <a:avLst/>
                        </a:prstGeom>
                        <a:noFill/>
                        <a:ln>
                          <a:noFill/>
                        </a:ln>
                        <a:effectLst/>
                      </wps:spPr>
                      <wps:txbx>
                        <w:txbxContent>
                          <w:p w14:paraId="356E78A6">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指定分包工程款结算与支付</w:t>
                            </w:r>
                          </w:p>
                        </w:txbxContent>
                      </wps:txbx>
                      <wps:bodyPr wrap="square" upright="1"/>
                    </wps:wsp>
                  </a:graphicData>
                </a:graphic>
              </wp:anchor>
            </w:drawing>
          </mc:Choice>
          <mc:Fallback>
            <w:pict>
              <v:shape id="_x0000_s1026" o:spid="_x0000_s1026" o:spt="202" type="#_x0000_t202" style="position:absolute;left:0pt;margin-left:-9pt;margin-top:18.7pt;height:55.05pt;width:81pt;z-index:251751424;mso-width-relative:page;mso-height-relative:page;" filled="f" stroked="f" coordsize="21600,21600" o:gfxdata="UEsDBAoAAAAAAIdO4kAAAAAAAAAAAAAAAAAEAAAAZHJzL1BLAwQUAAAACACHTuJAO8sHLtgAAAAK&#10;AQAADwAAAGRycy9kb3ducmV2LnhtbE2PzU7DMBCE70h9B2uRuLV2SkpLiNMDiCsV5Ufi5sbbJCJe&#10;R7HbhLdnc2pvuzuj2W/y7ehaccY+NJ40JAsFAqn0tqFKw+fH63wDIkRD1rSeUMMfBtgWs5vcZNYP&#10;9I7nfawEh1DIjIY6xi6TMpQ1OhMWvkNi7eh7ZyKvfSVtbwYOd61cKvUgnWmIP9Smw+cay9/9yWn4&#10;ejv+fKdqV724VTf4UUlyj1Lru9tEPYGIOMaLGSZ8RoeCmQ7+RDaIVsM82XCXqOF+nYKYDGnKh8M0&#10;rFcgi1xeVyj+AVBLAwQUAAAACACHTuJAI1OOM7wBAABsAwAADgAAAGRycy9lMm9Eb2MueG1srVNL&#10;btswEN0X6B0I7mvKLprEguUAhZFuirZAmgPQ1MgiwF85tCVfoL1BV91033P5HB1KipsmmyyyoYbz&#10;eZz3ZrS67q1hB4iovav4fFZwBk75Wrtdxe++3ry54gyTdLU03kHFj4D8ev361aoLJSx8600NkRGI&#10;w7ILFW9TCqUQqFqwEmc+gKNg46OVia5xJ+ooO0K3RiyK4kJ0PtYhegWI5N2MQT4hxucA+qbRCjZe&#10;7S24NKJGMDIRJWx1QL4eum0aUOlz0yAkZipOTNNw0iNkb/Mp1itZ7qIMrVZTC/I5LTziZKV29OgZ&#10;aiOTZPuon0BZraJH36SZ8laMRAZFiMW8eKTNbSsDDFxIagxn0fHlYNWnw5fIdF3x5SVnTlqa+Onn&#10;j9OvP6ff3xn5SKAuYEl5t4EyU//e97Q2934kZ+bdN9HmLzFiFCd5j2d5oU9M5aJicXVZUEhR7GK5&#10;nL99l2HEv+oQMX0Ab1k2Kh5pfIOq8vAR05h6n5Ifc/5GGzOM0Lj/HIQ5emDYgak6Exkbzlbqt/3E&#10;buvrI5HraA8qjt/2MgJn+xD1rqU2BrIil9AQhn6nhclTfngn++FPsv4L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O8sHLtgAAAAKAQAADwAAAAAAAAABACAAAAAiAAAAZHJzL2Rvd25yZXYueG1sUEsB&#10;AhQAFAAAAAgAh07iQCNTjjO8AQAAbAMAAA4AAAAAAAAAAQAgAAAAJwEAAGRycy9lMm9Eb2MueG1s&#10;UEsFBgAAAAAGAAYAWQEAAFUFAAAAAA==&#10;">
                <v:fill on="f" focussize="0,0"/>
                <v:stroke on="f"/>
                <v:imagedata o:title=""/>
                <o:lock v:ext="edit" aspectratio="f"/>
                <v:textbox>
                  <w:txbxContent>
                    <w:p w14:paraId="356E78A6">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指定分包工程款结算与支付</w:t>
                      </w:r>
                    </w:p>
                  </w:txbxContent>
                </v:textbox>
              </v:shape>
            </w:pict>
          </mc:Fallback>
        </mc:AlternateContent>
      </w:r>
      <w:r>
        <w:rPr>
          <w:rFonts w:hint="default" w:ascii="Times New Roman" w:hAnsi="Times New Roman" w:cs="Times New Roman"/>
          <w:b/>
          <w:bCs/>
          <w:color w:val="auto"/>
          <w:sz w:val="22"/>
          <w:szCs w:val="22"/>
          <w:highlight w:val="none"/>
        </w:rPr>
        <w:t xml:space="preserve">26.3  </w:t>
      </w:r>
      <w:r>
        <w:rPr>
          <w:rFonts w:hint="default" w:ascii="Times New Roman" w:hAnsi="Times New Roman" w:cs="Times New Roman"/>
          <w:b/>
          <w:bCs/>
          <w:color w:val="auto"/>
          <w:sz w:val="22"/>
          <w:szCs w:val="22"/>
          <w:highlight w:val="none"/>
          <w:u w:val="dotted"/>
        </w:rPr>
        <w:t xml:space="preserve">                                                                              </w:t>
      </w:r>
    </w:p>
    <w:p w14:paraId="402C7DFB">
      <w:pPr>
        <w:pStyle w:val="15"/>
        <w:widowControl/>
        <w:adjustRightInd w:val="0"/>
        <w:snapToGrid w:val="0"/>
        <w:spacing w:line="420" w:lineRule="exact"/>
        <w:ind w:firstLine="1760" w:firstLineChars="800"/>
        <w:jc w:val="lef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发包人应按照合同的约定向承包人支付指定分包人的分包工程配合费。</w:t>
      </w:r>
    </w:p>
    <w:p w14:paraId="2F854256">
      <w:pPr>
        <w:pStyle w:val="15"/>
        <w:widowControl/>
        <w:adjustRightInd w:val="0"/>
        <w:snapToGrid w:val="0"/>
        <w:spacing w:line="420" w:lineRule="exact"/>
        <w:ind w:left="1978"/>
        <w:jc w:val="lef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指定分包工程款的结算与支付，按照第7.4款办理。</w:t>
      </w:r>
    </w:p>
    <w:p w14:paraId="423E6E44">
      <w:pPr>
        <w:spacing w:line="420" w:lineRule="exact"/>
        <w:rPr>
          <w:rFonts w:hint="default" w:ascii="Times New Roman" w:hAnsi="Times New Roman" w:cs="Times New Roman"/>
          <w:b/>
          <w:bCs/>
          <w:color w:val="auto"/>
          <w:sz w:val="22"/>
          <w:szCs w:val="22"/>
          <w:highlight w:val="none"/>
          <w:u w:val="dotted"/>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52448" behindDoc="0" locked="0" layoutInCell="1" allowOverlap="1">
                <wp:simplePos x="0" y="0"/>
                <wp:positionH relativeFrom="column">
                  <wp:posOffset>-66675</wp:posOffset>
                </wp:positionH>
                <wp:positionV relativeFrom="paragraph">
                  <wp:posOffset>199390</wp:posOffset>
                </wp:positionV>
                <wp:extent cx="1133475" cy="791845"/>
                <wp:effectExtent l="0" t="0" r="0" b="0"/>
                <wp:wrapNone/>
                <wp:docPr id="98" name="文本框 98"/>
                <wp:cNvGraphicFramePr/>
                <a:graphic xmlns:a="http://schemas.openxmlformats.org/drawingml/2006/main">
                  <a:graphicData uri="http://schemas.microsoft.com/office/word/2010/wordprocessingShape">
                    <wps:wsp>
                      <wps:cNvSpPr txBox="1"/>
                      <wps:spPr>
                        <a:xfrm>
                          <a:off x="0" y="0"/>
                          <a:ext cx="1133475" cy="791845"/>
                        </a:xfrm>
                        <a:prstGeom prst="rect">
                          <a:avLst/>
                        </a:prstGeom>
                        <a:noFill/>
                        <a:ln>
                          <a:noFill/>
                        </a:ln>
                        <a:effectLst/>
                      </wps:spPr>
                      <wps:txbx>
                        <w:txbxContent>
                          <w:p w14:paraId="1CE1C9D8">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承包人对指定</w:t>
                            </w:r>
                          </w:p>
                          <w:p w14:paraId="6FF3154C">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分包工程的义</w:t>
                            </w:r>
                          </w:p>
                          <w:p w14:paraId="06DAB35A">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务</w:t>
                            </w:r>
                          </w:p>
                          <w:p w14:paraId="45C680AD">
                            <w:pPr>
                              <w:rPr>
                                <w:rFonts w:ascii="楷体_GB2312" w:hAnsi="宋体" w:eastAsia="楷体_GB2312" w:cs="Times New Roman"/>
                                <w:b/>
                                <w:bCs/>
                                <w:color w:val="000000"/>
                              </w:rPr>
                            </w:pPr>
                          </w:p>
                          <w:p w14:paraId="4559784E">
                            <w:pPr>
                              <w:rPr>
                                <w:rFonts w:cs="Times New Roman"/>
                              </w:rPr>
                            </w:pPr>
                          </w:p>
                          <w:p w14:paraId="09811243">
                            <w:pPr>
                              <w:rPr>
                                <w:rFonts w:cs="Times New Roman"/>
                              </w:rPr>
                            </w:pPr>
                          </w:p>
                        </w:txbxContent>
                      </wps:txbx>
                      <wps:bodyPr wrap="square" upright="1"/>
                    </wps:wsp>
                  </a:graphicData>
                </a:graphic>
              </wp:anchor>
            </w:drawing>
          </mc:Choice>
          <mc:Fallback>
            <w:pict>
              <v:shape id="_x0000_s1026" o:spid="_x0000_s1026" o:spt="202" type="#_x0000_t202" style="position:absolute;left:0pt;margin-left:-5.25pt;margin-top:15.7pt;height:62.35pt;width:89.25pt;z-index:251752448;mso-width-relative:page;mso-height-relative:page;" filled="f" stroked="f" coordsize="21600,21600" o:gfxdata="UEsDBAoAAAAAAIdO4kAAAAAAAAAAAAAAAAAEAAAAZHJzL1BLAwQUAAAACACHTuJACUyCL9cAAAAK&#10;AQAADwAAAGRycy9kb3ducmV2LnhtbE2PTU/DMAyG70j8h8hI3LYksFZbaboDiCuI8SHtljVeW9E4&#10;VZOt5d/jneBmy49eP2+5nX0vzjjGLpABvVQgkOrgOmoMfLw/L9YgYrLkbB8IDfxghG11fVXawoWJ&#10;3vC8S43gEIqFNdCmNBRSxrpFb+MyDEh8O4bR28Tr2Eg32onDfS/vlMqltx3xh9YO+Nhi/b07eQOf&#10;L8f910q9Nk8+G6YwK0l+I425vdHqAUTCOf3BcNFndajY6RBO5KLoDSy0yhg1cK9XIC5AvuZyBx6y&#10;XIOsSvm/QvULUEsDBBQAAAAIAIdO4kCdb6LqvQEAAGwDAAAOAAAAZHJzL2Uyb0RvYy54bWytU0uO&#10;EzEQ3SNxB8t74mQ+zEwrnZFQNGwQIA0cwHFXpy35h8tJdy4AN2DFhj3nyjkou3vCMGxmwcZdrs9z&#10;vVfVy9vBGraHiNq7mi9mc87AKd9ot6355093r645wyRdI413UPMDIL9dvXyx7EMFZ77zpoHICMRh&#10;1YeadymFSghUHViJMx/AUbD10cpE17gVTZQ9oVsjzubz16L3sQnRK0Ak73oM8gkxPgfQt61WsPZq&#10;Z8GlETWCkYkoYacD8lXptm1BpQ9ti5CYqTkxTeWkR8je5FOslrLaRhk6raYW5HNaeMLJSu3o0RPU&#10;WibJdlH/A2W1ih59m2bKWzESKYoQi8X8iTb3nQxQuJDUGE6i4/+DVe/3HyPTTc1vaO5OWpr48fu3&#10;449fx59fGflIoD5gRXn3gTLT8MYPtDYPfiRn5j200eYvMWIUJ3kPJ3lhSEzlosX5+cXVJWeKYlc3&#10;i+uLywwj/lSHiOkteMuyUfNI4yuqyv07TGPqQ0p+zPk7bUwZoXF/OQhz9EDZgak6ExkbzlYaNsPE&#10;buObA5HraQ9qjl92MgJnuxD1tqM2ClmRS2gIpd9pYfKUH9/JfvyTrH4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CUyCL9cAAAAKAQAADwAAAAAAAAABACAAAAAiAAAAZHJzL2Rvd25yZXYueG1sUEsB&#10;AhQAFAAAAAgAh07iQJ1vouq9AQAAbAMAAA4AAAAAAAAAAQAgAAAAJgEAAGRycy9lMm9Eb2MueG1s&#10;UEsFBgAAAAAGAAYAWQEAAFUFAAAAAA==&#10;">
                <v:fill on="f" focussize="0,0"/>
                <v:stroke on="f"/>
                <v:imagedata o:title=""/>
                <o:lock v:ext="edit" aspectratio="f"/>
                <v:textbox>
                  <w:txbxContent>
                    <w:p w14:paraId="1CE1C9D8">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承包人对指定</w:t>
                      </w:r>
                    </w:p>
                    <w:p w14:paraId="6FF3154C">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分包工程的义</w:t>
                      </w:r>
                    </w:p>
                    <w:p w14:paraId="06DAB35A">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务</w:t>
                      </w:r>
                    </w:p>
                    <w:p w14:paraId="45C680AD">
                      <w:pPr>
                        <w:rPr>
                          <w:rFonts w:ascii="楷体_GB2312" w:hAnsi="宋体" w:eastAsia="楷体_GB2312" w:cs="Times New Roman"/>
                          <w:b/>
                          <w:bCs/>
                          <w:color w:val="000000"/>
                        </w:rPr>
                      </w:pPr>
                    </w:p>
                    <w:p w14:paraId="4559784E">
                      <w:pPr>
                        <w:rPr>
                          <w:rFonts w:cs="Times New Roman"/>
                        </w:rPr>
                      </w:pPr>
                    </w:p>
                    <w:p w14:paraId="09811243">
                      <w:pPr>
                        <w:rPr>
                          <w:rFonts w:cs="Times New Roman"/>
                        </w:rPr>
                      </w:pPr>
                    </w:p>
                  </w:txbxContent>
                </v:textbox>
              </v:shape>
            </w:pict>
          </mc:Fallback>
        </mc:AlternateContent>
      </w:r>
      <w:r>
        <w:rPr>
          <w:rFonts w:hint="default" w:ascii="Times New Roman" w:hAnsi="Times New Roman" w:cs="Times New Roman"/>
          <w:b/>
          <w:bCs/>
          <w:color w:val="auto"/>
          <w:sz w:val="22"/>
          <w:szCs w:val="22"/>
          <w:highlight w:val="none"/>
        </w:rPr>
        <w:t>26.4</w:t>
      </w:r>
      <w:r>
        <w:rPr>
          <w:rFonts w:hint="default" w:ascii="Times New Roman" w:hAnsi="Times New Roman" w:cs="Times New Roman"/>
          <w:b/>
          <w:bCs/>
          <w:color w:val="auto"/>
          <w:sz w:val="22"/>
          <w:szCs w:val="22"/>
          <w:highlight w:val="none"/>
          <w:u w:val="dotted"/>
        </w:rPr>
        <w:t xml:space="preserve">                                                                               </w:t>
      </w:r>
    </w:p>
    <w:p w14:paraId="212E1CE9">
      <w:pPr>
        <w:pStyle w:val="15"/>
        <w:widowControl/>
        <w:tabs>
          <w:tab w:val="left" w:pos="1260"/>
        </w:tabs>
        <w:adjustRightInd w:val="0"/>
        <w:snapToGrid w:val="0"/>
        <w:spacing w:line="420" w:lineRule="exact"/>
        <w:ind w:left="1978" w:leftChars="942" w:firstLine="1"/>
        <w:jc w:val="lef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指定分包人应按照分包合同的约定对承包人负责。承包人有义务协助、配合指定分包人实施分包工程。</w:t>
      </w:r>
    </w:p>
    <w:p w14:paraId="7F7B6C50">
      <w:pPr>
        <w:spacing w:line="420" w:lineRule="exact"/>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3015B19B">
      <w:pPr>
        <w:pStyle w:val="15"/>
        <w:tabs>
          <w:tab w:val="left" w:pos="540"/>
        </w:tabs>
        <w:adjustRightInd w:val="0"/>
        <w:snapToGrid w:val="0"/>
        <w:spacing w:before="240" w:beforeLines="100" w:line="420" w:lineRule="exact"/>
        <w:outlineLvl w:val="2"/>
        <w:rPr>
          <w:rFonts w:hint="default" w:ascii="Times New Roman" w:hAnsi="Times New Roman" w:cs="Times New Roman"/>
          <w:b/>
          <w:bCs/>
          <w:color w:val="auto"/>
          <w:sz w:val="22"/>
          <w:szCs w:val="22"/>
          <w:highlight w:val="none"/>
        </w:rPr>
      </w:pPr>
      <w:bookmarkStart w:id="142" w:name="_Toc11698"/>
      <w:bookmarkStart w:id="143" w:name="_Toc469384007"/>
      <w:r>
        <w:rPr>
          <w:rFonts w:hint="default" w:ascii="Times New Roman" w:hAnsi="Times New Roman" w:cs="Times New Roman"/>
          <w:b/>
          <w:bCs/>
          <w:color w:val="auto"/>
          <w:sz w:val="22"/>
          <w:szCs w:val="22"/>
          <w:highlight w:val="none"/>
        </w:rPr>
        <w:t>27  承包人劳务</w:t>
      </w:r>
      <w:bookmarkEnd w:id="142"/>
      <w:bookmarkEnd w:id="143"/>
    </w:p>
    <w:p w14:paraId="18ACE84B">
      <w:pPr>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27.1   </w:t>
      </w:r>
    </w:p>
    <w:p w14:paraId="2AD2F407">
      <w:pPr>
        <w:widowControl/>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53472" behindDoc="0" locked="0" layoutInCell="1" allowOverlap="1">
                <wp:simplePos x="0" y="0"/>
                <wp:positionH relativeFrom="column">
                  <wp:posOffset>-114300</wp:posOffset>
                </wp:positionH>
                <wp:positionV relativeFrom="paragraph">
                  <wp:posOffset>8255</wp:posOffset>
                </wp:positionV>
                <wp:extent cx="914400" cy="692150"/>
                <wp:effectExtent l="0" t="0" r="0" b="0"/>
                <wp:wrapNone/>
                <wp:docPr id="99" name="文本框 99"/>
                <wp:cNvGraphicFramePr/>
                <a:graphic xmlns:a="http://schemas.openxmlformats.org/drawingml/2006/main">
                  <a:graphicData uri="http://schemas.microsoft.com/office/word/2010/wordprocessingShape">
                    <wps:wsp>
                      <wps:cNvSpPr txBox="1"/>
                      <wps:spPr>
                        <a:xfrm>
                          <a:off x="0" y="0"/>
                          <a:ext cx="914400" cy="692150"/>
                        </a:xfrm>
                        <a:prstGeom prst="rect">
                          <a:avLst/>
                        </a:prstGeom>
                        <a:noFill/>
                        <a:ln>
                          <a:noFill/>
                        </a:ln>
                        <a:effectLst/>
                      </wps:spPr>
                      <wps:txbx>
                        <w:txbxContent>
                          <w:p w14:paraId="0C5040B4">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承包人提交施工机构安排报告</w:t>
                            </w:r>
                          </w:p>
                        </w:txbxContent>
                      </wps:txbx>
                      <wps:bodyPr wrap="square" upright="1"/>
                    </wps:wsp>
                  </a:graphicData>
                </a:graphic>
              </wp:anchor>
            </w:drawing>
          </mc:Choice>
          <mc:Fallback>
            <w:pict>
              <v:shape id="_x0000_s1026" o:spid="_x0000_s1026" o:spt="202" type="#_x0000_t202" style="position:absolute;left:0pt;margin-left:-9pt;margin-top:0.65pt;height:54.5pt;width:72pt;z-index:251753472;mso-width-relative:page;mso-height-relative:page;" filled="f" stroked="f" coordsize="21600,21600" o:gfxdata="UEsDBAoAAAAAAIdO4kAAAAAAAAAAAAAAAAAEAAAAZHJzL1BLAwQUAAAACACHTuJAQ7OqwtUAAAAJ&#10;AQAADwAAAGRycy9kb3ducmV2LnhtbE2PzU7DMBCE70i8g7VI3Np1WqhKiNMDiGsR5Ufi5sbbJCJe&#10;R7HbpG/P9gS3HX2j2ZliM/lOnWiIbWAD2VyDIq6Ca7k28PH+MluDismys11gMnCmCJvy+qqwuQsj&#10;v9Fpl2olIRxza6BJqc8RY9WQt3EeemJhhzB4m0QONbrBjhLuO1xovUJvW5YPje3pqaHqZ3f0Bj63&#10;h++vO/1aP/v7fgyTRvYPaMztTaYfQSWa0p8ZLvWlOpTSaR+O7KLqDMyytWxJApagLnyxEr2XI9NL&#10;wLLA/wvKX1BLAwQUAAAACACHTuJAYW80sbwBAABrAwAADgAAAGRycy9lMm9Eb2MueG1srVNLbtsw&#10;EN0XyB0I7mvJRhrUguUAhZFsirZA2gPQ1NAiwF85tCVfoL1BV91033P5HB1RivPbZNENNZzP47w3&#10;o9V1bw07QETtXc3ns5IzcNI32u1q/u3rzdv3nGESrhHGO6j5EZBfry/erLpQwcK33jQQGYE4rLpQ&#10;8zalUBUFyhaswJkP4CiofLQi0TXuiiaKjtCtKRZleVV0PjYhegmI5N2MQT4hxtcAeqW0hI2Xewsu&#10;jagRjEhECVsdkK9zt0qBTJ+VQkjM1JyYpnzSI2Rvh7NYr0S1iyK0Wk4tiNe08IyTFdrRo2eojUiC&#10;7aN+AWW1jB69SjPpbTESyYoQi3n5TJu7VgTIXEhqDGfR8f/Byk+HL5HppubLJWdOWJr46dfP0++/&#10;pz8/GPlIoC5gRXl3gTJT/8H3tDb3fiTnwLtX0Q5fYsQoTvIez/JCn5gk53J+eVlSRFLoarmYv8vy&#10;Fw/FIWK6BW/ZYNQ80vSyqOLwERM1Qqn3KcNbzt9oY/IEjXvioMTRA3kFpuqBx9jvYKV+20/ktr45&#10;EreO1qDm+H0vInC2D1HvWmojcy2GEppBbmLal2HIj+9kP/5H1v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Q7OqwtUAAAAJAQAADwAAAAAAAAABACAAAAAiAAAAZHJzL2Rvd25yZXYueG1sUEsBAhQA&#10;FAAAAAgAh07iQGFvNLG8AQAAawMAAA4AAAAAAAAAAQAgAAAAJAEAAGRycy9lMm9Eb2MueG1sUEsF&#10;BgAAAAAGAAYAWQEAAFIFAAAAAA==&#10;">
                <v:fill on="f" focussize="0,0"/>
                <v:stroke on="f"/>
                <v:imagedata o:title=""/>
                <o:lock v:ext="edit" aspectratio="f"/>
                <v:textbox>
                  <w:txbxContent>
                    <w:p w14:paraId="0C5040B4">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承包人提交施工机构安排报告</w:t>
                      </w:r>
                    </w:p>
                  </w:txbxContent>
                </v:textbox>
              </v:shape>
            </w:pict>
          </mc:Fallback>
        </mc:AlternateContent>
      </w:r>
      <w:r>
        <w:rPr>
          <w:rFonts w:hint="default" w:ascii="Times New Roman" w:hAnsi="Times New Roman" w:cs="Times New Roman"/>
          <w:color w:val="auto"/>
          <w:sz w:val="22"/>
          <w:szCs w:val="22"/>
          <w:highlight w:val="none"/>
        </w:rPr>
        <w:t>承包人应在接到开工令后28天内，向监理工程师提交承包人在施工场地的管理机构以及人员安排报告，并附上投标文件中的“主要人员一览表”。报告内容应包括管理机构的设置、各主要岗位的技术和管理人员名单及其资格，以及各工种技术工人的安排情况等。</w:t>
      </w:r>
    </w:p>
    <w:p w14:paraId="5ECDCF02">
      <w:pPr>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27.2 </w:t>
      </w:r>
      <w:r>
        <w:rPr>
          <w:rFonts w:hint="default" w:ascii="Times New Roman" w:hAnsi="Times New Roman" w:cs="Times New Roman"/>
          <w:b/>
          <w:bCs/>
          <w:color w:val="auto"/>
          <w:sz w:val="22"/>
          <w:szCs w:val="22"/>
          <w:highlight w:val="none"/>
          <w:u w:val="dotted"/>
        </w:rPr>
        <w:t xml:space="preserve">                                                                                 </w:t>
      </w:r>
      <w:r>
        <w:rPr>
          <w:rFonts w:hint="default" w:ascii="Times New Roman" w:hAnsi="Times New Roman" w:cs="Times New Roman"/>
          <w:b/>
          <w:bCs/>
          <w:color w:val="auto"/>
          <w:sz w:val="22"/>
          <w:szCs w:val="22"/>
          <w:highlight w:val="none"/>
        </w:rPr>
        <w:t xml:space="preserve">   </w:t>
      </w:r>
    </w:p>
    <w:p w14:paraId="38663AC0">
      <w:pPr>
        <w:widowControl/>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54496" behindDoc="0" locked="0" layoutInCell="1" allowOverlap="1">
                <wp:simplePos x="0" y="0"/>
                <wp:positionH relativeFrom="column">
                  <wp:posOffset>-114300</wp:posOffset>
                </wp:positionH>
                <wp:positionV relativeFrom="paragraph">
                  <wp:posOffset>8255</wp:posOffset>
                </wp:positionV>
                <wp:extent cx="914400" cy="396240"/>
                <wp:effectExtent l="0" t="0" r="0" b="0"/>
                <wp:wrapNone/>
                <wp:docPr id="100" name="文本框 100"/>
                <wp:cNvGraphicFramePr/>
                <a:graphic xmlns:a="http://schemas.openxmlformats.org/drawingml/2006/main">
                  <a:graphicData uri="http://schemas.microsoft.com/office/word/2010/wordprocessingShape">
                    <wps:wsp>
                      <wps:cNvSpPr txBox="1"/>
                      <wps:spPr>
                        <a:xfrm>
                          <a:off x="0" y="0"/>
                          <a:ext cx="914400" cy="396240"/>
                        </a:xfrm>
                        <a:prstGeom prst="rect">
                          <a:avLst/>
                        </a:prstGeom>
                        <a:noFill/>
                        <a:ln>
                          <a:noFill/>
                        </a:ln>
                        <a:effectLst/>
                      </wps:spPr>
                      <wps:txbx>
                        <w:txbxContent>
                          <w:p w14:paraId="3AE24DE6">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承包人人员的雇佣</w:t>
                            </w:r>
                          </w:p>
                        </w:txbxContent>
                      </wps:txbx>
                      <wps:bodyPr wrap="square" upright="1"/>
                    </wps:wsp>
                  </a:graphicData>
                </a:graphic>
              </wp:anchor>
            </w:drawing>
          </mc:Choice>
          <mc:Fallback>
            <w:pict>
              <v:shape id="_x0000_s1026" o:spid="_x0000_s1026" o:spt="202" type="#_x0000_t202" style="position:absolute;left:0pt;margin-left:-9pt;margin-top:0.65pt;height:31.2pt;width:72pt;z-index:251754496;mso-width-relative:page;mso-height-relative:page;" filled="f" stroked="f" coordsize="21600,21600" o:gfxdata="UEsDBAoAAAAAAIdO4kAAAAAAAAAAAAAAAAAEAAAAZHJzL1BLAwQUAAAACACHTuJAlrdoltUAAAAI&#10;AQAADwAAAGRycy9kb3ducmV2LnhtbE2PQU/CQBCF7yb+h82QeIPdglas3XLQeJWISsJt6Q5tQ3e2&#10;6S60/nuGkxxfvsmb7+Wr0bXijH1oPGlIZgoEUultQ5WGn++P6RJEiIasaT2hhj8MsCru73KTWT/Q&#10;F543sRJcQiEzGuoYu0zKUNboTJj5DonZwffORI59JW1vBi53rZwrlUpnGuIPtenwrcbyuDk5Db+f&#10;h932Ua2rd/fUDX5UktyL1PphkqhXEBHH+H8MV31Wh4Kd9v5ENohWwzRZ8pbIYAHiyucp572GdPEM&#10;ssjl7YDiAlBLAwQUAAAACACHTuJAd5/o5rsBAABtAwAADgAAAGRycy9lMm9Eb2MueG1srVNLjtsw&#10;DN0XmDsI2k/spMGgY8QZoAimm6ItMO0BFJmKBVifikrsXKC9QVfddN9z5RylZE/mt5lFNzJFUo98&#10;j/TqZjAdO0BA7WzN57OSM7DSNdruav7t6+3lO84wCtuIzlmo+RGQ36wv3qx6X8HCta5rIDACsVj1&#10;vuZtjL4qCpQtGIEz58FSULlgRKRr2BVNED2hm65YlOVV0bvQ+OAkIJJ3Mwb5hBheA+iU0hI2Tu4N&#10;2DiiBuhEJErYao98nbtVCmT8rBRCZF3NiWnMJxUhe5vOYr0S1S4I32o5tSBe08IzTkZoS0XPUBsR&#10;BdsH/QLKaBkcOhVn0pliJJIVIRbz8pk2d63wkLmQ1OjPouP/g5WfDl8C0w1tQkmaWGFo5KdfP0+/&#10;/57+/GDJSRL1HivKvPOUG4f3bqD0ez+SMzEfVDDpS5wYxQnseBYYhsgkOa/ny2UqIyn09vpqsczo&#10;xcNjHzB+AGdYMmoeaH5ZVnH4iJEaodT7lFTLulvddXmGnX3ioMTRA3kJpteJx9hvsuKwHSZyW9cc&#10;iVtPi1Bz/L4XATjb+6B3LbWRuRbpCU0hNzFtTBrz4zvZj/+S9T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CWt2iW1QAAAAgBAAAPAAAAAAAAAAEAIAAAACIAAABkcnMvZG93bnJldi54bWxQSwECFAAU&#10;AAAACACHTuJAd5/o5rsBAABtAwAADgAAAAAAAAABACAAAAAkAQAAZHJzL2Uyb0RvYy54bWxQSwUG&#10;AAAAAAYABgBZAQAAUQUAAAAA&#10;">
                <v:fill on="f" focussize="0,0"/>
                <v:stroke on="f"/>
                <v:imagedata o:title=""/>
                <o:lock v:ext="edit" aspectratio="f"/>
                <v:textbox>
                  <w:txbxContent>
                    <w:p w14:paraId="3AE24DE6">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承包人人员的雇佣</w:t>
                      </w:r>
                    </w:p>
                  </w:txbxContent>
                </v:textbox>
              </v:shape>
            </w:pict>
          </mc:Fallback>
        </mc:AlternateContent>
      </w:r>
      <w:r>
        <w:rPr>
          <w:rFonts w:hint="default" w:ascii="Times New Roman" w:hAnsi="Times New Roman" w:cs="Times New Roman"/>
          <w:color w:val="auto"/>
          <w:sz w:val="22"/>
          <w:szCs w:val="22"/>
          <w:highlight w:val="none"/>
        </w:rPr>
        <w:t>承包人除应雇佣投标文件中“主要人员一览表”中指明的人员外，也可以雇佣经监理工程师批准的其他人员，但不得从发包人或服务于发包人的人员中雇佣人员。</w:t>
      </w:r>
    </w:p>
    <w:p w14:paraId="24DF05BC">
      <w:pPr>
        <w:tabs>
          <w:tab w:val="left" w:pos="1620"/>
        </w:tabs>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27.3  </w:t>
      </w:r>
      <w:r>
        <w:rPr>
          <w:rFonts w:hint="default" w:ascii="Times New Roman" w:hAnsi="Times New Roman" w:cs="Times New Roman"/>
          <w:b/>
          <w:bCs/>
          <w:color w:val="auto"/>
          <w:sz w:val="22"/>
          <w:szCs w:val="22"/>
          <w:highlight w:val="none"/>
          <w:u w:val="dotted"/>
        </w:rPr>
        <w:t xml:space="preserve">                                                                                                        </w:t>
      </w:r>
    </w:p>
    <w:p w14:paraId="3F7A2909">
      <w:pPr>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55520" behindDoc="0" locked="0" layoutInCell="1" allowOverlap="1">
                <wp:simplePos x="0" y="0"/>
                <wp:positionH relativeFrom="column">
                  <wp:posOffset>-114300</wp:posOffset>
                </wp:positionH>
                <wp:positionV relativeFrom="paragraph">
                  <wp:posOffset>59690</wp:posOffset>
                </wp:positionV>
                <wp:extent cx="914400" cy="495300"/>
                <wp:effectExtent l="0" t="0" r="0" b="0"/>
                <wp:wrapNone/>
                <wp:docPr id="102" name="文本框 102"/>
                <wp:cNvGraphicFramePr/>
                <a:graphic xmlns:a="http://schemas.openxmlformats.org/drawingml/2006/main">
                  <a:graphicData uri="http://schemas.microsoft.com/office/word/2010/wordprocessingShape">
                    <wps:wsp>
                      <wps:cNvSpPr txBox="1"/>
                      <wps:spPr>
                        <a:xfrm>
                          <a:off x="0" y="0"/>
                          <a:ext cx="914400" cy="495300"/>
                        </a:xfrm>
                        <a:prstGeom prst="rect">
                          <a:avLst/>
                        </a:prstGeom>
                        <a:noFill/>
                        <a:ln>
                          <a:noFill/>
                        </a:ln>
                        <a:effectLst/>
                      </wps:spPr>
                      <wps:txbx>
                        <w:txbxContent>
                          <w:p w14:paraId="19D64DA0">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承包人对雇员应做的工作</w:t>
                            </w:r>
                          </w:p>
                        </w:txbxContent>
                      </wps:txbx>
                      <wps:bodyPr wrap="square" upright="1"/>
                    </wps:wsp>
                  </a:graphicData>
                </a:graphic>
              </wp:anchor>
            </w:drawing>
          </mc:Choice>
          <mc:Fallback>
            <w:pict>
              <v:shape id="_x0000_s1026" o:spid="_x0000_s1026" o:spt="202" type="#_x0000_t202" style="position:absolute;left:0pt;margin-left:-9pt;margin-top:4.7pt;height:39pt;width:72pt;z-index:251755520;mso-width-relative:page;mso-height-relative:page;" filled="f" stroked="f" coordsize="21600,21600" o:gfxdata="UEsDBAoAAAAAAIdO4kAAAAAAAAAAAAAAAAAEAAAAZHJzL1BLAwQUAAAACACHTuJAwVgKKNUAAAAI&#10;AQAADwAAAGRycy9kb3ducmV2LnhtbE2PwU7DMBBE70j9B2uRuLV2qtCmIZseiriCaAsSNzfeJhHx&#10;OordJvw97gmOoxnNvCm2k+3ElQbfOkZIFgoEceVMyzXC8fAyz0D4oNnozjEh/JCHbTm7K3Ru3Mjv&#10;dN2HWsQS9rlGaELocyl91ZDVfuF64uid3WB1iHKopRn0GMttJ5dKraTVLceFRve0a6j63l8swsfr&#10;+eszVW/1s33sRzcpyXYjER/uE/UEItAU/sJww4/oUEamk7uw8aJDmCdZ/BIQNimIm79cRX1CyNYp&#10;yLKQ/w+Uv1BLAwQUAAAACACHTuJA59xlcbsBAABtAwAADgAAAGRycy9lMm9Eb2MueG1srVNLbtsw&#10;EN0XyB0I7mPJjls0guUAhZFsirZAmgPQ1MgiwF85tCVfoL1BV91033P5HB1Sipummyy6oYbzeZz3&#10;ZrS6GYxmBwionK35fFZyBla6RtldzR8+316+5QyjsI3QzkLNj4D8Zn3xatX7Chauc7qBwAjEYtX7&#10;mncx+qooUHZgBM6cB0vB1gUjIl3DrmiC6And6GJRlm+K3oXGBycBkbybMcgnxPASQNe2SsLGyb0B&#10;G0fUAFpEooSd8sjXudu2BRk/ti1CZLrmxDTmkx4he5vOYr0S1S4I3yk5tSBe0sIzTkYoS4+eoTYi&#10;CrYP6h8oo2Rw6No4k84UI5GsCLGYl8+0ue+Eh8yFpEZ/Fh3/H6z8cPgUmGpoE8oFZ1YYGvnp+7fT&#10;j1+nn19ZcpJEvceKMu895cbhnRso/dGP5EzMhzaY9CVOjOIk8PEsMAyRSXJez5fLkiKSQsvr11dk&#10;E3rxp9gHjHfgDEtGzQPNL8sqDu8xjqmPKekt626V1nmG2v7lIMzRA3kJpurEY+w3WXHYDhO5rWuO&#10;xK2nRag5ftmLAJztfVC7jtrIXItUQlPI/U4bk8b89E72079k/R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BWAoo1QAAAAgBAAAPAAAAAAAAAAEAIAAAACIAAABkcnMvZG93bnJldi54bWxQSwECFAAU&#10;AAAACACHTuJA59xlcbsBAABtAwAADgAAAAAAAAABACAAAAAkAQAAZHJzL2Uyb0RvYy54bWxQSwUG&#10;AAAAAAYABgBZAQAAUQUAAAAA&#10;">
                <v:fill on="f" focussize="0,0"/>
                <v:stroke on="f"/>
                <v:imagedata o:title=""/>
                <o:lock v:ext="edit" aspectratio="f"/>
                <v:textbox>
                  <w:txbxContent>
                    <w:p w14:paraId="19D64DA0">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承包人对雇员应做的工作</w:t>
                      </w:r>
                    </w:p>
                  </w:txbxContent>
                </v:textbox>
              </v:shape>
            </w:pict>
          </mc:Fallback>
        </mc:AlternateContent>
      </w:r>
      <w:r>
        <w:rPr>
          <w:rFonts w:hint="default" w:ascii="Times New Roman" w:hAnsi="Times New Roman" w:cs="Times New Roman"/>
          <w:color w:val="auto"/>
          <w:sz w:val="22"/>
          <w:szCs w:val="22"/>
          <w:highlight w:val="none"/>
        </w:rPr>
        <w:t>承包人应完善雇员的劳务注册手续，并与雇员订立劳动合同，明确双方的权利和义务。雇佣期间，承包人应做好下列工作：</w:t>
      </w:r>
    </w:p>
    <w:p w14:paraId="0F3A6468">
      <w:pPr>
        <w:tabs>
          <w:tab w:val="left" w:pos="1080"/>
          <w:tab w:val="left" w:pos="2160"/>
        </w:tabs>
        <w:spacing w:line="420" w:lineRule="exact"/>
        <w:ind w:left="1619"/>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(1)负责为雇员提供必要的食宿及各种生活设施，采取合理的卫生、劳动保护和安全防护措施，保证雇员的健康和安全；</w:t>
      </w:r>
    </w:p>
    <w:p w14:paraId="32740F90">
      <w:pPr>
        <w:tabs>
          <w:tab w:val="left" w:pos="1080"/>
          <w:tab w:val="left" w:pos="2160"/>
        </w:tabs>
        <w:spacing w:line="420" w:lineRule="exact"/>
        <w:ind w:left="1680" w:leftChars="8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(2)保障雇员的合法权利和人身安全，及时采取有效措施抢救和治疗施工中受伤害的雇员；</w:t>
      </w:r>
    </w:p>
    <w:p w14:paraId="73951C67">
      <w:pPr>
        <w:tabs>
          <w:tab w:val="left" w:pos="2160"/>
        </w:tabs>
        <w:spacing w:line="420" w:lineRule="exact"/>
        <w:ind w:left="1617"/>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(3)充分考虑和保障雇员的休息时间和法定节假日休假时间，尊重雇员的宗教信仰和风俗习惯；</w:t>
      </w:r>
    </w:p>
    <w:p w14:paraId="1E9C6860">
      <w:pPr>
        <w:tabs>
          <w:tab w:val="left" w:pos="1080"/>
          <w:tab w:val="left" w:pos="2160"/>
        </w:tabs>
        <w:spacing w:line="420" w:lineRule="exact"/>
        <w:ind w:left="1617"/>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(4)在施工现场主要出入口处设榜公布雇员工资发放时间和投诉电话，以及合同工程中标价格、进度款支付情况。</w:t>
      </w:r>
    </w:p>
    <w:p w14:paraId="045FD5C8">
      <w:pPr>
        <w:tabs>
          <w:tab w:val="left" w:pos="1080"/>
          <w:tab w:val="left" w:pos="2160"/>
        </w:tabs>
        <w:spacing w:line="420" w:lineRule="exact"/>
        <w:ind w:left="1617"/>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(5)督促雇员和发包人现场人员应佩戴由合同双方当事人共同盖章、签发的工作证上岗；</w:t>
      </w:r>
    </w:p>
    <w:p w14:paraId="02701DF3">
      <w:pPr>
        <w:tabs>
          <w:tab w:val="left" w:pos="1080"/>
          <w:tab w:val="left" w:pos="2160"/>
        </w:tabs>
        <w:spacing w:line="420" w:lineRule="exact"/>
        <w:ind w:left="1619"/>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(6)办理雇员的意外伤害等一切保险，处理雇员因工伤亡事故的善后事宜。</w:t>
      </w:r>
    </w:p>
    <w:p w14:paraId="20C4FAE8">
      <w:pPr>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27.4  </w:t>
      </w:r>
      <w:r>
        <w:rPr>
          <w:rFonts w:hint="default" w:ascii="Times New Roman" w:hAnsi="Times New Roman" w:cs="Times New Roman"/>
          <w:b/>
          <w:bCs/>
          <w:color w:val="auto"/>
          <w:sz w:val="22"/>
          <w:szCs w:val="22"/>
          <w:highlight w:val="none"/>
          <w:u w:val="dotted"/>
        </w:rPr>
        <w:t xml:space="preserve">                                                                                                        </w:t>
      </w:r>
    </w:p>
    <w:p w14:paraId="7AEEBBC5">
      <w:pPr>
        <w:pStyle w:val="22"/>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56544" behindDoc="0" locked="0" layoutInCell="1" allowOverlap="1">
                <wp:simplePos x="0" y="0"/>
                <wp:positionH relativeFrom="column">
                  <wp:posOffset>-114300</wp:posOffset>
                </wp:positionH>
                <wp:positionV relativeFrom="paragraph">
                  <wp:posOffset>0</wp:posOffset>
                </wp:positionV>
                <wp:extent cx="914400" cy="693420"/>
                <wp:effectExtent l="0" t="0" r="0" b="0"/>
                <wp:wrapNone/>
                <wp:docPr id="101" name="文本框 101"/>
                <wp:cNvGraphicFramePr/>
                <a:graphic xmlns:a="http://schemas.openxmlformats.org/drawingml/2006/main">
                  <a:graphicData uri="http://schemas.microsoft.com/office/word/2010/wordprocessingShape">
                    <wps:wsp>
                      <wps:cNvSpPr txBox="1"/>
                      <wps:spPr>
                        <a:xfrm>
                          <a:off x="0" y="0"/>
                          <a:ext cx="914400" cy="693420"/>
                        </a:xfrm>
                        <a:prstGeom prst="rect">
                          <a:avLst/>
                        </a:prstGeom>
                        <a:noFill/>
                        <a:ln>
                          <a:noFill/>
                        </a:ln>
                        <a:effectLst/>
                      </wps:spPr>
                      <wps:txbx>
                        <w:txbxContent>
                          <w:p w14:paraId="1C7AE275">
                            <w:pPr>
                              <w:spacing w:line="240" w:lineRule="exact"/>
                              <w:rPr>
                                <w:rFonts w:ascii="楷体_GB2312" w:hAnsi="宋体" w:eastAsia="楷体_GB2312" w:cs="Times New Roman"/>
                                <w:b/>
                                <w:bCs/>
                                <w:color w:val="000000"/>
                                <w:sz w:val="18"/>
                                <w:szCs w:val="18"/>
                              </w:rPr>
                            </w:pPr>
                            <w:r>
                              <w:rPr>
                                <w:rFonts w:hint="eastAsia" w:ascii="楷体_GB2312" w:eastAsia="楷体_GB2312" w:cs="楷体_GB2312"/>
                                <w:b/>
                                <w:bCs/>
                                <w:color w:val="000000"/>
                                <w:sz w:val="18"/>
                                <w:szCs w:val="18"/>
                              </w:rPr>
                              <w:t>承包人特殊时间施工的批准</w:t>
                            </w:r>
                          </w:p>
                        </w:txbxContent>
                      </wps:txbx>
                      <wps:bodyPr wrap="square" upright="1"/>
                    </wps:wsp>
                  </a:graphicData>
                </a:graphic>
              </wp:anchor>
            </w:drawing>
          </mc:Choice>
          <mc:Fallback>
            <w:pict>
              <v:shape id="_x0000_s1026" o:spid="_x0000_s1026" o:spt="202" type="#_x0000_t202" style="position:absolute;left:0pt;margin-left:-9pt;margin-top:0pt;height:54.6pt;width:72pt;z-index:251756544;mso-width-relative:page;mso-height-relative:page;" filled="f" stroked="f" coordsize="21600,21600" o:gfxdata="UEsDBAoAAAAAAIdO4kAAAAAAAAAAAAAAAAAEAAAAZHJzL1BLAwQUAAAACACHTuJAjlEVM9QAAAAI&#10;AQAADwAAAGRycy9kb3ducmV2LnhtbE2PQU/DMAyF70j8h8hI3DanFUxbaboDiCuIMZC4ZY3XVjRO&#10;1WRr+fd4J7hYz3rW8/fK7ex7daYxdoENZEsNirgOruPGwP79ebEGFZNlZ/vAZOCHImyr66vSFi5M&#10;/EbnXWqUhHAsrIE2paFAjHVL3sZlGIjFO4bR2yTr2KAb7SThvsdc6xV627F8aO1Ajy3V37uTN/Dx&#10;cvz6vNOvzZO/H6Ywa2S/QWNubzL9ACrRnP6O4YIv6FAJ0yGc2EXVG1hka+mSDMi82PlKxEGE3uSA&#10;VYn/C1S/UEsDBBQAAAAIAIdO4kC6bLChvAEAAG0DAAAOAAAAZHJzL2Uyb0RvYy54bWytU0tu2zAQ&#10;3RfIHQjuY8muETSC5QCFkW6KtkDaA9DU0CIgfsqhLfkC7Q266qb7nsvn6JBSnN8mi26o4Xwe570Z&#10;rW4G07EDBNTO1nw+KzkDK12j7a7m377eXr7jDKOwjeichZofAfnN+uLNqvcVLFzrugYCIxCLVe9r&#10;3sboq6JA2YIROHMeLAWVC0ZEuoZd0QTRE7rpikVZXhW9C40PTgIieTdjkE+I4TWATiktYePk3oCN&#10;I2qATkSihK32yNe5W6VAxs9KIUTW1ZyYxnzSI2Rv01msV6LaBeFbLacWxGtaeMbJCG3p0TPURkTB&#10;9kG/gDJaBodOxZl0phiJZEWIxbx8ps1dKzxkLiQ1+rPo+P9g5afDl8B0Q5tQzjmzwtDIT79+nn7/&#10;Pf35wZKTJOo9VpR55yk3Du/dQOn3fiRnYj6oYNKXODGKk8DHs8AwRCbJeT1fLkuKSApdXb9dLvIA&#10;iodiHzB+AGdYMmoeaH5ZVnH4iJEaodT7lPSWdbe66/IMO/vEQYmjB/ISTNWJx9hvsuKwHSZyW9cc&#10;iVtPi1Bz/L4XATjb+6B3LbWRuRaphKaQm5g2Jo358Z3sx3/J+h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COURUz1AAAAAgBAAAPAAAAAAAAAAEAIAAAACIAAABkcnMvZG93bnJldi54bWxQSwECFAAU&#10;AAAACACHTuJAumywobwBAABtAwAADgAAAAAAAAABACAAAAAjAQAAZHJzL2Uyb0RvYy54bWxQSwUG&#10;AAAAAAYABgBZAQAAUQUAAAAA&#10;">
                <v:fill on="f" focussize="0,0"/>
                <v:stroke on="f"/>
                <v:imagedata o:title=""/>
                <o:lock v:ext="edit" aspectratio="f"/>
                <v:textbox>
                  <w:txbxContent>
                    <w:p w14:paraId="1C7AE275">
                      <w:pPr>
                        <w:spacing w:line="240" w:lineRule="exact"/>
                        <w:rPr>
                          <w:rFonts w:ascii="楷体_GB2312" w:hAnsi="宋体" w:eastAsia="楷体_GB2312" w:cs="Times New Roman"/>
                          <w:b/>
                          <w:bCs/>
                          <w:color w:val="000000"/>
                          <w:sz w:val="18"/>
                          <w:szCs w:val="18"/>
                        </w:rPr>
                      </w:pPr>
                      <w:r>
                        <w:rPr>
                          <w:rFonts w:hint="eastAsia" w:ascii="楷体_GB2312" w:eastAsia="楷体_GB2312" w:cs="楷体_GB2312"/>
                          <w:b/>
                          <w:bCs/>
                          <w:color w:val="000000"/>
                          <w:sz w:val="18"/>
                          <w:szCs w:val="18"/>
                        </w:rPr>
                        <w:t>承包人特殊时间施工的批准</w:t>
                      </w:r>
                    </w:p>
                  </w:txbxContent>
                </v:textbox>
              </v:shape>
            </w:pict>
          </mc:Fallback>
        </mc:AlternateContent>
      </w:r>
      <w:r>
        <w:rPr>
          <w:rFonts w:hint="default" w:ascii="Times New Roman" w:hAnsi="Times New Roman" w:cs="Times New Roman"/>
          <w:color w:val="auto"/>
          <w:sz w:val="22"/>
          <w:szCs w:val="22"/>
          <w:highlight w:val="none"/>
        </w:rPr>
        <w:t>承包人如需在法定节假日施工，应经监理工程师同意；如需在夜间施工，除应经监理工程师同意外，还应经有关部门批准。此类情况，均不得超过法律规定的限度，并应按照法律规定给予雇员补休或付酬。如无特殊原因，只要在不影响工程质量、施工安全、周围环境的情况下，监理工程师应予同意。但为抢救生命、保护财产，或为工程安全、质量而不可避免的作业，则无需事先经监理工程师同意。</w:t>
      </w:r>
    </w:p>
    <w:p w14:paraId="48BC3C5A">
      <w:pPr>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27.5  </w:t>
      </w:r>
      <w:r>
        <w:rPr>
          <w:rFonts w:hint="default" w:ascii="Times New Roman" w:hAnsi="Times New Roman" w:cs="Times New Roman"/>
          <w:b/>
          <w:bCs/>
          <w:color w:val="auto"/>
          <w:sz w:val="22"/>
          <w:szCs w:val="22"/>
          <w:highlight w:val="none"/>
          <w:u w:val="dotted"/>
        </w:rPr>
        <w:t xml:space="preserve">                                                                                                        </w:t>
      </w:r>
    </w:p>
    <w:p w14:paraId="404A500C">
      <w:pPr>
        <w:pStyle w:val="22"/>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57568" behindDoc="0" locked="0" layoutInCell="1" allowOverlap="1">
                <wp:simplePos x="0" y="0"/>
                <wp:positionH relativeFrom="column">
                  <wp:posOffset>-114300</wp:posOffset>
                </wp:positionH>
                <wp:positionV relativeFrom="paragraph">
                  <wp:posOffset>0</wp:posOffset>
                </wp:positionV>
                <wp:extent cx="914400" cy="480695"/>
                <wp:effectExtent l="0" t="0" r="0" b="0"/>
                <wp:wrapNone/>
                <wp:docPr id="103" name="文本框 103"/>
                <wp:cNvGraphicFramePr/>
                <a:graphic xmlns:a="http://schemas.openxmlformats.org/drawingml/2006/main">
                  <a:graphicData uri="http://schemas.microsoft.com/office/word/2010/wordprocessingShape">
                    <wps:wsp>
                      <wps:cNvSpPr txBox="1"/>
                      <wps:spPr>
                        <a:xfrm>
                          <a:off x="0" y="0"/>
                          <a:ext cx="914400" cy="480695"/>
                        </a:xfrm>
                        <a:prstGeom prst="rect">
                          <a:avLst/>
                        </a:prstGeom>
                        <a:noFill/>
                        <a:ln>
                          <a:noFill/>
                        </a:ln>
                        <a:effectLst/>
                      </wps:spPr>
                      <wps:txbx>
                        <w:txbxContent>
                          <w:p w14:paraId="37477555">
                            <w:pPr>
                              <w:spacing w:line="240" w:lineRule="exact"/>
                              <w:rPr>
                                <w:rFonts w:ascii="楷体_GB2312" w:hAnsi="宋体" w:eastAsia="楷体_GB2312" w:cs="Times New Roman"/>
                                <w:b/>
                                <w:bCs/>
                                <w:color w:val="000000"/>
                                <w:sz w:val="18"/>
                                <w:szCs w:val="18"/>
                              </w:rPr>
                            </w:pPr>
                            <w:r>
                              <w:rPr>
                                <w:rFonts w:hint="eastAsia" w:ascii="楷体_GB2312" w:eastAsia="楷体_GB2312" w:cs="楷体_GB2312"/>
                                <w:b/>
                                <w:bCs/>
                                <w:color w:val="000000"/>
                                <w:sz w:val="18"/>
                                <w:szCs w:val="18"/>
                              </w:rPr>
                              <w:t>承包人向雇员支付劳务工资</w:t>
                            </w:r>
                          </w:p>
                        </w:txbxContent>
                      </wps:txbx>
                      <wps:bodyPr wrap="square" upright="1"/>
                    </wps:wsp>
                  </a:graphicData>
                </a:graphic>
              </wp:anchor>
            </w:drawing>
          </mc:Choice>
          <mc:Fallback>
            <w:pict>
              <v:shape id="_x0000_s1026" o:spid="_x0000_s1026" o:spt="202" type="#_x0000_t202" style="position:absolute;left:0pt;margin-left:-9pt;margin-top:0pt;height:37.85pt;width:72pt;z-index:251757568;mso-width-relative:page;mso-height-relative:page;" filled="f" stroked="f" coordsize="21600,21600" o:gfxdata="UEsDBAoAAAAAAIdO4kAAAAAAAAAAAAAAAAAEAAAAZHJzL1BLAwQUAAAACACHTuJAdjbnstUAAAAH&#10;AQAADwAAAGRycy9kb3ducmV2LnhtbE2PT0/DMAzF70h8h8hI3LakE/tDqbsDiCuIDZC4ZY3XVjRO&#10;1WRr+fZ4J7hYz3rWez8X28l36kxDbAMjZHMDirgKruUa4X3/PNuAismys11gQvihCNvy+qqwuQsj&#10;v9F5l2olIRxzi9Ck1Odax6ohb+M89MTiHcPgbZJ1qLUb7CjhvtMLY1ba25alobE9PTZUfe9OHuHj&#10;5fj1eWde6ye/7McwGc3+XiPe3mTmAVSiKf0dwwVf0KEUpkM4sYuqQ5hlG/klIci82IuViAPCerkG&#10;XRb6P3/5C1BLAwQUAAAACACHTuJAjBwnmLwBAABtAwAADgAAAGRycy9lMm9Eb2MueG1srVNLbtsw&#10;EN0X6B0I7mPKiRskguUAhZFuirZAmgPQ1MgiwF85tCVfoL1BV91033P5HB1KivPpJotuqOF8Hue9&#10;GS1vemvYHiJq7yo+nxWcgVO+1m5b8fuvt2dXnGGSrpbGO6j4AZDfrN6+WXahhHPfelNDZATisOxC&#10;xduUQikEqhasxJkP4CjY+GhlomvcijrKjtCtEedFcSk6H+sQvQJE8q7HIJ8Q42sAfdNoBWuvdhZc&#10;GlEjGJmIErY6IF8N3TYNqPS5aRASMxUnpmk46RGyN/kUq6Ust1GGVqupBfmaFl5wslI7evQEtZZJ&#10;sl3U/0BZraJH36SZ8laMRAZFiMW8eKHNXSsDDFxIagwn0fH/wapP+y+R6Zo2objgzElLIz/+/HH8&#10;9ef4+zvLTpKoC1hS5l2g3NS/9z2lP/iRnJl530Sbv8SJUZwEPpwEhj4xRc7r+WJRUERRaHFVXF6/&#10;yyjisThETB/AW5aNikea3yCr3H/ENKY+pOS3nL/VxgwzNO6ZgzBHDwxLMFVnHmO/2Ur9pp/IbXx9&#10;IG4dLULF8dtORuBsF6LettTGwFXkEprC0O+0MXnMT+9kP/1LV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djbnstUAAAAHAQAADwAAAAAAAAABACAAAAAiAAAAZHJzL2Rvd25yZXYueG1sUEsBAhQA&#10;FAAAAAgAh07iQIwcJ5i8AQAAbQMAAA4AAAAAAAAAAQAgAAAAJAEAAGRycy9lMm9Eb2MueG1sUEsF&#10;BgAAAAAGAAYAWQEAAFIFAAAAAA==&#10;">
                <v:fill on="f" focussize="0,0"/>
                <v:stroke on="f"/>
                <v:imagedata o:title=""/>
                <o:lock v:ext="edit" aspectratio="f"/>
                <v:textbox>
                  <w:txbxContent>
                    <w:p w14:paraId="37477555">
                      <w:pPr>
                        <w:spacing w:line="240" w:lineRule="exact"/>
                        <w:rPr>
                          <w:rFonts w:ascii="楷体_GB2312" w:hAnsi="宋体" w:eastAsia="楷体_GB2312" w:cs="Times New Roman"/>
                          <w:b/>
                          <w:bCs/>
                          <w:color w:val="000000"/>
                          <w:sz w:val="18"/>
                          <w:szCs w:val="18"/>
                        </w:rPr>
                      </w:pPr>
                      <w:r>
                        <w:rPr>
                          <w:rFonts w:hint="eastAsia" w:ascii="楷体_GB2312" w:eastAsia="楷体_GB2312" w:cs="楷体_GB2312"/>
                          <w:b/>
                          <w:bCs/>
                          <w:color w:val="000000"/>
                          <w:sz w:val="18"/>
                          <w:szCs w:val="18"/>
                        </w:rPr>
                        <w:t>承包人向雇员支付劳务工资</w:t>
                      </w:r>
                    </w:p>
                  </w:txbxContent>
                </v:textbox>
              </v:shape>
            </w:pict>
          </mc:Fallback>
        </mc:AlternateContent>
      </w:r>
      <w:r>
        <w:rPr>
          <w:rFonts w:hint="default" w:ascii="Times New Roman" w:hAnsi="Times New Roman" w:cs="Times New Roman"/>
          <w:color w:val="auto"/>
          <w:sz w:val="22"/>
          <w:szCs w:val="22"/>
          <w:highlight w:val="none"/>
        </w:rPr>
        <w:t>承包人应按照时足额向雇员支付劳务工资，并不低于当地最低工资标准。因承包人拖欠其雇员工资而造成群体性示威、游行等一切后果，由承包人承担。对发包人造成损失和（或）导致工期延误的，应赔偿发包人的损失，工期不予顺延。</w:t>
      </w:r>
    </w:p>
    <w:p w14:paraId="4F3ED26C">
      <w:pPr>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27.6  </w:t>
      </w:r>
      <w:r>
        <w:rPr>
          <w:rFonts w:hint="default" w:ascii="Times New Roman" w:hAnsi="Times New Roman" w:cs="Times New Roman"/>
          <w:b/>
          <w:bCs/>
          <w:color w:val="auto"/>
          <w:sz w:val="22"/>
          <w:szCs w:val="22"/>
          <w:highlight w:val="none"/>
          <w:u w:val="dotted"/>
        </w:rPr>
        <w:t xml:space="preserve">                                                                                                        </w:t>
      </w:r>
    </w:p>
    <w:p w14:paraId="56223CC1">
      <w:pPr>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58592" behindDoc="0" locked="0" layoutInCell="1" allowOverlap="1">
                <wp:simplePos x="0" y="0"/>
                <wp:positionH relativeFrom="column">
                  <wp:posOffset>-114300</wp:posOffset>
                </wp:positionH>
                <wp:positionV relativeFrom="paragraph">
                  <wp:posOffset>0</wp:posOffset>
                </wp:positionV>
                <wp:extent cx="914400" cy="891540"/>
                <wp:effectExtent l="0" t="0" r="0" b="0"/>
                <wp:wrapNone/>
                <wp:docPr id="104" name="文本框 104"/>
                <wp:cNvGraphicFramePr/>
                <a:graphic xmlns:a="http://schemas.openxmlformats.org/drawingml/2006/main">
                  <a:graphicData uri="http://schemas.microsoft.com/office/word/2010/wordprocessingShape">
                    <wps:wsp>
                      <wps:cNvSpPr txBox="1"/>
                      <wps:spPr>
                        <a:xfrm>
                          <a:off x="0" y="0"/>
                          <a:ext cx="914400" cy="891540"/>
                        </a:xfrm>
                        <a:prstGeom prst="rect">
                          <a:avLst/>
                        </a:prstGeom>
                        <a:noFill/>
                        <a:ln>
                          <a:noFill/>
                        </a:ln>
                        <a:effectLst/>
                      </wps:spPr>
                      <wps:txbx>
                        <w:txbxContent>
                          <w:p w14:paraId="5E06BDF3">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承包人向工地派遣雇员的要求</w:t>
                            </w:r>
                          </w:p>
                        </w:txbxContent>
                      </wps:txbx>
                      <wps:bodyPr wrap="square" upright="1"/>
                    </wps:wsp>
                  </a:graphicData>
                </a:graphic>
              </wp:anchor>
            </w:drawing>
          </mc:Choice>
          <mc:Fallback>
            <w:pict>
              <v:shape id="_x0000_s1026" o:spid="_x0000_s1026" o:spt="202" type="#_x0000_t202" style="position:absolute;left:0pt;margin-left:-9pt;margin-top:0pt;height:70.2pt;width:72pt;z-index:251758592;mso-width-relative:page;mso-height-relative:page;" filled="f" stroked="f" coordsize="21600,21600" o:gfxdata="UEsDBAoAAAAAAIdO4kAAAAAAAAAAAAAAAAAEAAAAZHJzL1BLAwQUAAAACACHTuJA0rOMRNQAAAAI&#10;AQAADwAAAGRycy9kb3ducmV2LnhtbE2PQU/DMAyF70j8h8hI3DanU5lGaboDiCuIMZC4ZY3XVjRO&#10;1WRr+fd4J7hYz3rW8/fK7ex7daYxdoENZEsNirgOruPGwP79ebEBFZNlZ/vAZOCHImyr66vSFi5M&#10;/EbnXWqUhHAsrIE2paFAjHVL3sZlGIjFO4bR2yTr2KAb7SThvseV1mv0tmP50NqBHluqv3cnb+Dj&#10;5fj1mevX5snfDVOYNbK/R2NubzL9ACrRnP6O4YIv6FAJ0yGc2EXVG1hkG+mSDMi82Ku1iIOIXOeA&#10;VYn/C1S/UEsDBBQAAAAIAIdO4kD8Vf54vAEAAG0DAAAOAAAAZHJzL2Uyb0RvYy54bWytU0tu2zAQ&#10;3RfIHQjua8mBGySC5QCBkWyKpkDaA9DUyCLAXzm0JV+gvUFX3XTfc/kcHVKKk6abLLKhhvN5nPdm&#10;tLwejGZ7CKicrfl8VnIGVrpG2W3Nv365fX/JGUZhG6GdhZofAPn16uzdsvcVnLvO6QYCIxCLVe9r&#10;3sXoq6JA2YEROHMeLAVbF4yIdA3bogmiJ3Sji/OyvCh6FxofnARE8q7HIJ8Qw2sAXdsqCWsndwZs&#10;HFEDaBGJEnbKI1/lbtsWZLxvW4TIdM2JacwnPUL2Jp3FaimqbRC+U3JqQbymhRecjFCWHj1BrUUU&#10;bBfUf1BGyeDQtXEmnSlGIlkRYjEvX2jz0AkPmQtJjf4kOr4drPy0/xyYamgTygVnVhga+fHnj+Ov&#10;P8ff31lykkS9x4oyHzzlxuHGDZT+6EdyJuZDG0z6EidGcRL4cBIYhsgkOa/mi0VJEUmhy6v5h0Ue&#10;QPFU7APGO3CGJaPmgeaXZRX7jxipEUp9TElvWXertM4z1PYfByWOHshLMFUnHmO/yYrDZpjIbVxz&#10;IG49LULN8dtOBOBs54PadtRG5lqkEppCbmLamDTm53eyn/8lq7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Ss4xE1AAAAAgBAAAPAAAAAAAAAAEAIAAAACIAAABkcnMvZG93bnJldi54bWxQSwECFAAU&#10;AAAACACHTuJA/FX+eLwBAABtAwAADgAAAAAAAAABACAAAAAjAQAAZHJzL2Uyb0RvYy54bWxQSwUG&#10;AAAAAAYABgBZAQAAUQUAAAAA&#10;">
                <v:fill on="f" focussize="0,0"/>
                <v:stroke on="f"/>
                <v:imagedata o:title=""/>
                <o:lock v:ext="edit" aspectratio="f"/>
                <v:textbox>
                  <w:txbxContent>
                    <w:p w14:paraId="5E06BDF3">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承包人向工地派遣雇员的要求</w:t>
                      </w:r>
                    </w:p>
                  </w:txbxContent>
                </v:textbox>
              </v:shape>
            </w:pict>
          </mc:Fallback>
        </mc:AlternateContent>
      </w:r>
      <w:r>
        <w:rPr>
          <w:rFonts w:hint="default" w:ascii="Times New Roman" w:hAnsi="Times New Roman" w:cs="Times New Roman"/>
          <w:color w:val="auto"/>
          <w:sz w:val="22"/>
          <w:szCs w:val="22"/>
          <w:highlight w:val="none"/>
        </w:rPr>
        <w:t>承包人的雇员应是在行业或职业内具有相应资格、技能和经验的人员。承包人应向施工场地派遣足够数量的下列雇员：</w:t>
      </w:r>
    </w:p>
    <w:p w14:paraId="375C44DB">
      <w:pPr>
        <w:numPr>
          <w:ilvl w:val="1"/>
          <w:numId w:val="11"/>
        </w:numPr>
        <w:tabs>
          <w:tab w:val="left" w:pos="2160"/>
          <w:tab w:val="left" w:pos="2340"/>
        </w:tabs>
        <w:spacing w:line="420" w:lineRule="exact"/>
        <w:ind w:left="1619" w:leftChars="771"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 xml:space="preserve">具有相应资格的专业技工和合格的普工； </w:t>
      </w:r>
    </w:p>
    <w:p w14:paraId="5A72C014">
      <w:pPr>
        <w:numPr>
          <w:ilvl w:val="1"/>
          <w:numId w:val="11"/>
        </w:numPr>
        <w:tabs>
          <w:tab w:val="left" w:pos="2160"/>
          <w:tab w:val="left" w:pos="2340"/>
        </w:tabs>
        <w:spacing w:line="420" w:lineRule="exact"/>
        <w:ind w:left="1619" w:leftChars="771"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具有相应施工经验的技术人员；</w:t>
      </w:r>
    </w:p>
    <w:p w14:paraId="5797FC24">
      <w:pPr>
        <w:numPr>
          <w:ilvl w:val="1"/>
          <w:numId w:val="11"/>
        </w:numPr>
        <w:tabs>
          <w:tab w:val="left" w:pos="2160"/>
          <w:tab w:val="left" w:pos="2340"/>
        </w:tabs>
        <w:spacing w:line="420" w:lineRule="exact"/>
        <w:ind w:left="1619" w:leftChars="771"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具有相应岗位资格的各级管理人员。</w:t>
      </w:r>
    </w:p>
    <w:p w14:paraId="4B386130">
      <w:pPr>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27.7  </w:t>
      </w:r>
      <w:r>
        <w:rPr>
          <w:rFonts w:hint="default" w:ascii="Times New Roman" w:hAnsi="Times New Roman" w:cs="Times New Roman"/>
          <w:b/>
          <w:bCs/>
          <w:color w:val="auto"/>
          <w:sz w:val="22"/>
          <w:szCs w:val="22"/>
          <w:highlight w:val="none"/>
          <w:u w:val="dotted"/>
        </w:rPr>
        <w:t xml:space="preserve">                                                                                                        </w:t>
      </w:r>
    </w:p>
    <w:p w14:paraId="2B160130">
      <w:pPr>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59616" behindDoc="0" locked="0" layoutInCell="1" allowOverlap="1">
                <wp:simplePos x="0" y="0"/>
                <wp:positionH relativeFrom="column">
                  <wp:posOffset>-114300</wp:posOffset>
                </wp:positionH>
                <wp:positionV relativeFrom="paragraph">
                  <wp:posOffset>0</wp:posOffset>
                </wp:positionV>
                <wp:extent cx="914400" cy="511175"/>
                <wp:effectExtent l="0" t="0" r="0" b="0"/>
                <wp:wrapNone/>
                <wp:docPr id="105" name="文本框 105"/>
                <wp:cNvGraphicFramePr/>
                <a:graphic xmlns:a="http://schemas.openxmlformats.org/drawingml/2006/main">
                  <a:graphicData uri="http://schemas.microsoft.com/office/word/2010/wordprocessingShape">
                    <wps:wsp>
                      <wps:cNvSpPr txBox="1"/>
                      <wps:spPr>
                        <a:xfrm>
                          <a:off x="0" y="0"/>
                          <a:ext cx="914400" cy="511175"/>
                        </a:xfrm>
                        <a:prstGeom prst="rect">
                          <a:avLst/>
                        </a:prstGeom>
                        <a:noFill/>
                        <a:ln>
                          <a:noFill/>
                        </a:ln>
                        <a:effectLst/>
                      </wps:spPr>
                      <wps:txbx>
                        <w:txbxContent>
                          <w:p w14:paraId="7A71C960">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承包人雇员安排和撤换</w:t>
                            </w:r>
                          </w:p>
                        </w:txbxContent>
                      </wps:txbx>
                      <wps:bodyPr wrap="square" upright="1"/>
                    </wps:wsp>
                  </a:graphicData>
                </a:graphic>
              </wp:anchor>
            </w:drawing>
          </mc:Choice>
          <mc:Fallback>
            <w:pict>
              <v:shape id="_x0000_s1026" o:spid="_x0000_s1026" o:spt="202" type="#_x0000_t202" style="position:absolute;left:0pt;margin-left:-9pt;margin-top:0pt;height:40.25pt;width:72pt;z-index:251759616;mso-width-relative:page;mso-height-relative:page;" filled="f" stroked="f" coordsize="21600,21600" o:gfxdata="UEsDBAoAAAAAAIdO4kAAAAAAAAAAAAAAAAAEAAAAZHJzL1BLAwQUAAAACACHTuJAtm/ModQAAAAH&#10;AQAADwAAAGRycy9kb3ducmV2LnhtbE2PQU/DMAyF70j8h8hI3LakE5tKqbsDiCuIMZC4ZY3XVjRO&#10;1WRr+fd4J7hYz3rWe5/L7ex7daYxdoERsqUBRVwH13GDsH9/XuSgYrLsbB+YEH4owra6vipt4cLE&#10;b3TepUZJCMfCIrQpDYXWsW7J27gMA7F4xzB6m2QdG+1GO0m47/XKmI32tmNpaO1Ajy3V37uTR/h4&#10;OX593pnX5smvhynMRrO/14i3N5l5AJVoTn/HcMEXdKiE6RBO7KLqERZZLr8kBJkXe7URcUDIzRp0&#10;Ver//NUvUEsDBBQAAAAIAIdO4kACzscAvAEAAG0DAAAOAAAAZHJzL2Uyb0RvYy54bWytU0tu2zAQ&#10;3RfIHQjua0lBkraC5QCFkWyKtkCaA9DU0CIgfsqhLfkC6Q266qb7nsvn6JBS3DTdZNENNZzP47w3&#10;o+X1aHq2h4Da2YZXi5IzsNK12m4bfv/l5vVbzjAK24reWWj4AZBfr85eLQdfw7nrXN9CYARisR58&#10;w7sYfV0UKDswAhfOg6WgcsGISNewLdogBkI3fXFellfF4ELrg5OASN71FOQzYngJoFNKS1g7uTNg&#10;44QaoBeRKGGnPfJV7lYpkPGTUgiR9Q0npjGf9AjZm3QWq6Wot0H4Tsu5BfGSFp5xMkJbevQEtRZR&#10;sF3Q/0AZLYNDp+JCOlNMRLIixKIqn2lz1wkPmQtJjf4kOv4/WPlx/zkw3dImlJecWWFo5Mfv344/&#10;fh1/PrDkJIkGjzVl3nnKjeN7N1L6ox/JmZiPKpj0JU6M4iTw4SQwjJFJcr6rLi5KikgKXVZV9Saj&#10;F3+KfcB4C86wZDQ80PyyrGL/ASM1QqmPKekt62503+cZ9vYvByVOHshLMFcnHlO/yYrjZpzJbVx7&#10;IG4DLULD8etOBOBs54PedtRG5lqkEppCbmLemDTmp3eyn/4lq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C2b8yh1AAAAAcBAAAPAAAAAAAAAAEAIAAAACIAAABkcnMvZG93bnJldi54bWxQSwECFAAU&#10;AAAACACHTuJAAs7HALwBAABtAwAADgAAAAAAAAABACAAAAAjAQAAZHJzL2Uyb0RvYy54bWxQSwUG&#10;AAAAAAYABgBZAQAAUQUAAAAA&#10;">
                <v:fill on="f" focussize="0,0"/>
                <v:stroke on="f"/>
                <v:imagedata o:title=""/>
                <o:lock v:ext="edit" aspectratio="f"/>
                <v:textbox>
                  <w:txbxContent>
                    <w:p w14:paraId="7A71C960">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承包人雇员安排和撤换</w:t>
                      </w:r>
                    </w:p>
                  </w:txbxContent>
                </v:textbox>
              </v:shape>
            </w:pict>
          </mc:Fallback>
        </mc:AlternateContent>
      </w:r>
      <w:r>
        <w:rPr>
          <w:rFonts w:hint="default" w:ascii="Times New Roman" w:hAnsi="Times New Roman" w:cs="Times New Roman"/>
          <w:color w:val="auto"/>
          <w:sz w:val="22"/>
          <w:szCs w:val="22"/>
          <w:highlight w:val="none"/>
        </w:rPr>
        <w:t>承包人安排在施工场地的雇员应保持相对稳定，但有下列行为的任何承包人雇员，监理工程师可要求承包人将其撤换：</w:t>
      </w:r>
    </w:p>
    <w:p w14:paraId="2E9C338D">
      <w:pPr>
        <w:numPr>
          <w:ilvl w:val="0"/>
          <w:numId w:val="12"/>
        </w:numPr>
        <w:tabs>
          <w:tab w:val="left" w:pos="2160"/>
        </w:tabs>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经常行为不当，或工作漫不经心；</w:t>
      </w:r>
    </w:p>
    <w:p w14:paraId="56E302C7">
      <w:pPr>
        <w:numPr>
          <w:ilvl w:val="0"/>
          <w:numId w:val="12"/>
        </w:numPr>
        <w:tabs>
          <w:tab w:val="left" w:pos="2160"/>
        </w:tabs>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无能力履行义务或玩忽职守；</w:t>
      </w:r>
    </w:p>
    <w:p w14:paraId="2590A8A9">
      <w:pPr>
        <w:numPr>
          <w:ilvl w:val="0"/>
          <w:numId w:val="12"/>
        </w:numPr>
        <w:tabs>
          <w:tab w:val="left" w:pos="2160"/>
        </w:tabs>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不遵守合同的约定；</w:t>
      </w:r>
    </w:p>
    <w:p w14:paraId="7FA5E583">
      <w:pPr>
        <w:numPr>
          <w:ilvl w:val="0"/>
          <w:numId w:val="12"/>
        </w:numPr>
        <w:tabs>
          <w:tab w:val="left" w:pos="2160"/>
        </w:tabs>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有损安全、健康和不利于环境保护的行为。</w:t>
      </w:r>
    </w:p>
    <w:p w14:paraId="4ACBDCEE">
      <w:pPr>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27.8  </w:t>
      </w:r>
      <w:r>
        <w:rPr>
          <w:rFonts w:hint="default" w:ascii="Times New Roman" w:hAnsi="Times New Roman" w:cs="Times New Roman"/>
          <w:b/>
          <w:bCs/>
          <w:color w:val="auto"/>
          <w:sz w:val="22"/>
          <w:szCs w:val="22"/>
          <w:highlight w:val="none"/>
          <w:u w:val="dotted"/>
        </w:rPr>
        <w:t xml:space="preserve">                                                                                                        </w:t>
      </w:r>
    </w:p>
    <w:p w14:paraId="23B2F9F5">
      <w:pPr>
        <w:pStyle w:val="22"/>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60640" behindDoc="0" locked="0" layoutInCell="1" allowOverlap="1">
                <wp:simplePos x="0" y="0"/>
                <wp:positionH relativeFrom="column">
                  <wp:posOffset>-114300</wp:posOffset>
                </wp:positionH>
                <wp:positionV relativeFrom="paragraph">
                  <wp:posOffset>0</wp:posOffset>
                </wp:positionV>
                <wp:extent cx="914400" cy="434975"/>
                <wp:effectExtent l="0" t="0" r="0" b="0"/>
                <wp:wrapNone/>
                <wp:docPr id="106" name="文本框 106"/>
                <wp:cNvGraphicFramePr/>
                <a:graphic xmlns:a="http://schemas.openxmlformats.org/drawingml/2006/main">
                  <a:graphicData uri="http://schemas.microsoft.com/office/word/2010/wordprocessingShape">
                    <wps:wsp>
                      <wps:cNvSpPr txBox="1"/>
                      <wps:spPr>
                        <a:xfrm>
                          <a:off x="0" y="0"/>
                          <a:ext cx="914400" cy="434975"/>
                        </a:xfrm>
                        <a:prstGeom prst="rect">
                          <a:avLst/>
                        </a:prstGeom>
                        <a:noFill/>
                        <a:ln>
                          <a:noFill/>
                        </a:ln>
                        <a:effectLst/>
                      </wps:spPr>
                      <wps:txbx>
                        <w:txbxContent>
                          <w:p w14:paraId="2B352832">
                            <w:pPr>
                              <w:spacing w:line="240" w:lineRule="exact"/>
                              <w:rPr>
                                <w:rFonts w:ascii="楷体_GB2312" w:hAnsi="宋体" w:eastAsia="楷体_GB2312" w:cs="Times New Roman"/>
                                <w:b/>
                                <w:bCs/>
                                <w:color w:val="000000"/>
                                <w:sz w:val="18"/>
                                <w:szCs w:val="18"/>
                              </w:rPr>
                            </w:pPr>
                            <w:r>
                              <w:rPr>
                                <w:rFonts w:hint="eastAsia" w:ascii="楷体_GB2312" w:eastAsia="楷体_GB2312" w:cs="楷体_GB2312"/>
                                <w:b/>
                                <w:bCs/>
                                <w:color w:val="000000"/>
                                <w:sz w:val="18"/>
                                <w:szCs w:val="18"/>
                              </w:rPr>
                              <w:t>承包人对雇员的保护</w:t>
                            </w:r>
                          </w:p>
                        </w:txbxContent>
                      </wps:txbx>
                      <wps:bodyPr wrap="square" upright="1"/>
                    </wps:wsp>
                  </a:graphicData>
                </a:graphic>
              </wp:anchor>
            </w:drawing>
          </mc:Choice>
          <mc:Fallback>
            <w:pict>
              <v:shape id="_x0000_s1026" o:spid="_x0000_s1026" o:spt="202" type="#_x0000_t202" style="position:absolute;left:0pt;margin-left:-9pt;margin-top:0pt;height:34.25pt;width:72pt;z-index:251760640;mso-width-relative:page;mso-height-relative:page;" filled="f" stroked="f" coordsize="21600,21600" o:gfxdata="UEsDBAoAAAAAAIdO4kAAAAAAAAAAAAAAAAAEAAAAZHJzL1BLAwQUAAAACACHTuJAtLXY79UAAAAH&#10;AQAADwAAAGRycy9kb3ducmV2LnhtbE2PQU/DMAyF70j8h8hI3LakE6tKV3cHEFcQYyBxy1qvrdY4&#10;VZOt5d/jneBiPetZ730utrPr1YXG0HlGSJYGFHHl644bhP3HyyIDFaLl2vaeCeGHAmzL25vC5rWf&#10;+J0uu9goCeGQW4Q2xiHXOlQtORuWfiAW7+hHZ6OsY6Pr0U4S7nq9MibVznYsDa0d6Kml6rQ7O4TP&#10;1+P314N5a57depj8bDS7R414f5eYDahIc/w7hiu+oEMpTAd/5jqoHmGRZPJLRJB5tVepiANCmq1B&#10;l4X+z1/+AlBLAwQUAAAACACHTuJAB+ZcY7wBAABtAwAADgAAAGRycy9lMm9Eb2MueG1srVNLbtsw&#10;EN0XyB0I7mvKqZs2guUAhZFuirZAkgPQ1MgiwF84tCVfoL1BV91033P5HBlKipummyy6oYbzeZz3&#10;ZrS86q1he4iovav4fFZwBk75Wrttxe9ur1+/5wyTdLU03kHFD4D8anX2atmFEs59600NkRGIw7IL&#10;FW9TCqUQqFqwEmc+gKNg46OVia5xK+ooO0K3RpwXxYXofKxD9AoQybseg3xCjC8B9E2jFay92llw&#10;aUSNYGQiStjqgHw1dNs0oNKXpkFIzFScmKbhpEfI3uRTrJay3EYZWq2mFuRLWnjGyUrt6NET1Fom&#10;yXZR/wNltYoefZNmylsxEhkUIRbz4pk2N60MMHAhqTGcRMf/B6s+779GpmvahOKCMyctjfz44/vx&#10;5+/jr28sO0miLmBJmTeBclP/wfeU/uhHcmbmfRNt/hInRnES+HASGPrEFDkv54tFQRFFocWbxeW7&#10;txlF/CkOEdNH8JZlo+KR5jfIKvefMI2pjyn5LeevtTHDDI37y0GYoweGJZiqM4+x32ylftNP5Da+&#10;PhC3jhah4ni/kxE424Woty21MXAVuYSmMPQ7bUwe89M72U//ktU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tLXY79UAAAAHAQAADwAAAAAAAAABACAAAAAiAAAAZHJzL2Rvd25yZXYueG1sUEsBAhQA&#10;FAAAAAgAh07iQAfmXGO8AQAAbQMAAA4AAAAAAAAAAQAgAAAAJAEAAGRycy9lMm9Eb2MueG1sUEsF&#10;BgAAAAAGAAYAWQEAAFIFAAAAAA==&#10;">
                <v:fill on="f" focussize="0,0"/>
                <v:stroke on="f"/>
                <v:imagedata o:title=""/>
                <o:lock v:ext="edit" aspectratio="f"/>
                <v:textbox>
                  <w:txbxContent>
                    <w:p w14:paraId="2B352832">
                      <w:pPr>
                        <w:spacing w:line="240" w:lineRule="exact"/>
                        <w:rPr>
                          <w:rFonts w:ascii="楷体_GB2312" w:hAnsi="宋体" w:eastAsia="楷体_GB2312" w:cs="Times New Roman"/>
                          <w:b/>
                          <w:bCs/>
                          <w:color w:val="000000"/>
                          <w:sz w:val="18"/>
                          <w:szCs w:val="18"/>
                        </w:rPr>
                      </w:pPr>
                      <w:r>
                        <w:rPr>
                          <w:rFonts w:hint="eastAsia" w:ascii="楷体_GB2312" w:eastAsia="楷体_GB2312" w:cs="楷体_GB2312"/>
                          <w:b/>
                          <w:bCs/>
                          <w:color w:val="000000"/>
                          <w:sz w:val="18"/>
                          <w:szCs w:val="18"/>
                        </w:rPr>
                        <w:t>承包人对雇员的保护</w:t>
                      </w:r>
                    </w:p>
                  </w:txbxContent>
                </v:textbox>
              </v:shape>
            </w:pict>
          </mc:Fallback>
        </mc:AlternateContent>
      </w:r>
      <w:r>
        <w:rPr>
          <w:rFonts w:hint="default" w:ascii="Times New Roman" w:hAnsi="Times New Roman" w:cs="Times New Roman"/>
          <w:color w:val="auto"/>
          <w:sz w:val="22"/>
          <w:szCs w:val="22"/>
          <w:highlight w:val="none"/>
        </w:rPr>
        <w:t>承包人应自始至终采取各种合理的预防措施，防止雇员内部发生打斗和任何无序、非法的不良行为，以确保现场安定和保护现场及邻近人员的生命、财产安全。</w:t>
      </w:r>
    </w:p>
    <w:p w14:paraId="1691729B">
      <w:pPr>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u w:val="single"/>
        </w:rPr>
        <w:t xml:space="preserve">                                                                                                              </w:t>
      </w:r>
    </w:p>
    <w:p w14:paraId="045EE9D2">
      <w:pPr>
        <w:spacing w:line="420" w:lineRule="exact"/>
        <w:jc w:val="center"/>
        <w:outlineLvl w:val="1"/>
        <w:rPr>
          <w:rFonts w:hint="default" w:ascii="Times New Roman" w:hAnsi="Times New Roman" w:eastAsia="方正小标宋_GBK" w:cs="Times New Roman"/>
          <w:b/>
          <w:bCs/>
          <w:color w:val="auto"/>
          <w:sz w:val="24"/>
          <w:szCs w:val="24"/>
          <w:highlight w:val="none"/>
        </w:rPr>
      </w:pPr>
      <w:bookmarkStart w:id="144" w:name="_Toc7809"/>
      <w:bookmarkStart w:id="145" w:name="_Toc469384008"/>
      <w:bookmarkStart w:id="146" w:name="_Toc1509612056"/>
      <w:r>
        <w:rPr>
          <w:rFonts w:hint="default" w:ascii="Times New Roman" w:hAnsi="Times New Roman" w:eastAsia="方正小标宋_GBK" w:cs="Times New Roman"/>
          <w:b/>
          <w:bCs/>
          <w:color w:val="auto"/>
          <w:sz w:val="24"/>
          <w:szCs w:val="24"/>
          <w:highlight w:val="none"/>
        </w:rPr>
        <w:t>三、担保、保险与风险</w:t>
      </w:r>
      <w:bookmarkEnd w:id="144"/>
      <w:bookmarkEnd w:id="145"/>
      <w:bookmarkEnd w:id="146"/>
    </w:p>
    <w:p w14:paraId="715388CC">
      <w:pPr>
        <w:pStyle w:val="15"/>
        <w:tabs>
          <w:tab w:val="left" w:pos="540"/>
        </w:tabs>
        <w:adjustRightInd w:val="0"/>
        <w:snapToGrid w:val="0"/>
        <w:spacing w:before="240" w:beforeLines="100" w:line="420" w:lineRule="exact"/>
        <w:outlineLvl w:val="2"/>
        <w:rPr>
          <w:rFonts w:hint="default" w:ascii="Times New Roman" w:hAnsi="Times New Roman" w:cs="Times New Roman"/>
          <w:b/>
          <w:bCs/>
          <w:color w:val="auto"/>
          <w:sz w:val="22"/>
          <w:szCs w:val="22"/>
          <w:highlight w:val="none"/>
        </w:rPr>
      </w:pPr>
      <w:bookmarkStart w:id="147" w:name="_Toc469384009"/>
      <w:bookmarkStart w:id="148" w:name="_Toc17359"/>
      <w:r>
        <w:rPr>
          <w:rFonts w:hint="default" w:ascii="Times New Roman" w:hAnsi="Times New Roman" w:cs="Times New Roman"/>
          <w:b/>
          <w:bCs/>
          <w:color w:val="auto"/>
          <w:sz w:val="22"/>
          <w:szCs w:val="22"/>
          <w:highlight w:val="none"/>
        </w:rPr>
        <w:t>28  工程担保</w:t>
      </w:r>
      <w:bookmarkEnd w:id="147"/>
      <w:bookmarkEnd w:id="148"/>
    </w:p>
    <w:p w14:paraId="656050D8">
      <w:pPr>
        <w:pStyle w:val="15"/>
        <w:tabs>
          <w:tab w:val="left" w:pos="1320"/>
        </w:tabs>
        <w:adjustRightInd w:val="0"/>
        <w:snapToGrid w:val="0"/>
        <w:spacing w:line="420" w:lineRule="exact"/>
        <w:ind w:right="-240"/>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61664" behindDoc="0" locked="0" layoutInCell="1" allowOverlap="1">
                <wp:simplePos x="0" y="0"/>
                <wp:positionH relativeFrom="column">
                  <wp:posOffset>-114300</wp:posOffset>
                </wp:positionH>
                <wp:positionV relativeFrom="paragraph">
                  <wp:posOffset>243840</wp:posOffset>
                </wp:positionV>
                <wp:extent cx="914400" cy="396240"/>
                <wp:effectExtent l="0" t="0" r="0" b="0"/>
                <wp:wrapNone/>
                <wp:docPr id="107" name="文本框 107"/>
                <wp:cNvGraphicFramePr/>
                <a:graphic xmlns:a="http://schemas.openxmlformats.org/drawingml/2006/main">
                  <a:graphicData uri="http://schemas.microsoft.com/office/word/2010/wordprocessingShape">
                    <wps:wsp>
                      <wps:cNvSpPr txBox="1"/>
                      <wps:spPr>
                        <a:xfrm>
                          <a:off x="0" y="0"/>
                          <a:ext cx="914400" cy="396240"/>
                        </a:xfrm>
                        <a:prstGeom prst="rect">
                          <a:avLst/>
                        </a:prstGeom>
                        <a:noFill/>
                        <a:ln>
                          <a:noFill/>
                        </a:ln>
                        <a:effectLst/>
                      </wps:spPr>
                      <wps:txbx>
                        <w:txbxContent>
                          <w:p w14:paraId="3A350F2A">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承包人提供履约担保</w:t>
                            </w:r>
                          </w:p>
                        </w:txbxContent>
                      </wps:txbx>
                      <wps:bodyPr wrap="square" upright="1"/>
                    </wps:wsp>
                  </a:graphicData>
                </a:graphic>
              </wp:anchor>
            </w:drawing>
          </mc:Choice>
          <mc:Fallback>
            <w:pict>
              <v:shape id="_x0000_s1026" o:spid="_x0000_s1026" o:spt="202" type="#_x0000_t202" style="position:absolute;left:0pt;margin-left:-9pt;margin-top:19.2pt;height:31.2pt;width:72pt;z-index:251761664;mso-width-relative:page;mso-height-relative:page;" filled="f" stroked="f" coordsize="21600,21600" o:gfxdata="UEsDBAoAAAAAAIdO4kAAAAAAAAAAAAAAAAAEAAAAZHJzL1BLAwQUAAAACACHTuJA7gblBNcAAAAK&#10;AQAADwAAAGRycy9kb3ducmV2LnhtbE2PT0/DMAzF70h8h8hI3LakY0ylNN0BxBXE+CNx8xqvrWic&#10;qsnW8u3xTnCz/Z6ef6/czr5XJxpjF9hCtjSgiOvgOm4svL89LXJQMSE77AOThR+KsK0uL0osXJj4&#10;lU671CgJ4VighTalodA61i15jMswEIt2CKPHJOvYaDfiJOG+1ytjNtpjx/KhxYEeWqq/d0dv4eP5&#10;8PW5Ni/No78dpjAbzf5OW3t9lZl7UInm9GeGM76gQyVM+3BkF1VvYZHl0iVZuMnXoM6G1UYOexmM&#10;yUFXpf5fofoFUEsDBBQAAAAIAIdO4kBqajd9vQEAAG0DAAAOAAAAZHJzL2Uyb0RvYy54bWytU0tu&#10;2zAQ3RfIHQjuY8qukTaC5QCFkW6KtkCaA9DUyCIgfsqhLfkC7Q266qb7nsvn6JBSnDTdZNENNZzP&#10;47w3o9XNYDp2gIDa2YrPZwVnYJWrtd1V/P7L7eVbzjBKW8vOWaj4EZDfrC9erXpfwsK1rqshMAKx&#10;WPa+4m2MvhQCVQtG4sx5sBRsXDAy0jXsRB1kT+imE4uiuBK9C7UPTgEieTdjkE+I4SWArmm0go1T&#10;ewM2jqgBOhmJErbaI1/nbpsGVPzUNAiRdRUnpjGf9AjZ23SK9UqWuyB9q9XUgnxJC884GaktPXqG&#10;2sgo2T7of6CMVsGha+JMOSNGIlkRYjEvnmlz10oPmQtJjf4sOv4/WPXx8DkwXdMmFG84s9LQyE8/&#10;vp9+/j79+saSkyTqPZaUeecpNw7v3EDpD34kZ2I+NMGkL3FiFCeBj2eBYYhMkfN6vlwWFFEUen19&#10;tVjmAYjHYh8wvgdnWDIqHmh+WVZ5+ICRGqHUh5T0lnW3uuvyDDv7l4MSRw/kJZiqE4+x32TFYTtM&#10;5LauPhK3nhah4vh1LwNwtvdB71pqI3MVqYSmkJuYNiaN+emd7Kd/yfo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7gblBNcAAAAKAQAADwAAAAAAAAABACAAAAAiAAAAZHJzL2Rvd25yZXYueG1sUEsB&#10;AhQAFAAAAAgAh07iQGpqN329AQAAbQMAAA4AAAAAAAAAAQAgAAAAJgEAAGRycy9lMm9Eb2MueG1s&#10;UEsFBgAAAAAGAAYAWQEAAFUFAAAAAA==&#10;">
                <v:fill on="f" focussize="0,0"/>
                <v:stroke on="f"/>
                <v:imagedata o:title=""/>
                <o:lock v:ext="edit" aspectratio="f"/>
                <v:textbox>
                  <w:txbxContent>
                    <w:p w14:paraId="3A350F2A">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承包人提供履约担保</w:t>
                      </w:r>
                    </w:p>
                  </w:txbxContent>
                </v:textbox>
              </v:shape>
            </w:pict>
          </mc:Fallback>
        </mc:AlternateContent>
      </w:r>
      <w:r>
        <w:rPr>
          <w:rFonts w:hint="default" w:ascii="Times New Roman" w:hAnsi="Times New Roman" w:cs="Times New Roman"/>
          <w:b/>
          <w:bCs/>
          <w:color w:val="auto"/>
          <w:sz w:val="22"/>
          <w:szCs w:val="22"/>
          <w:highlight w:val="none"/>
        </w:rPr>
        <w:t xml:space="preserve">28.1       </w:t>
      </w:r>
    </w:p>
    <w:p w14:paraId="25EF0959">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为正确履行本合同，发包人应在招标文件中或在签订合同前明确履约担保的有关要求，承包人应按照合同约定时间向发包人提供履约担保。履约担保采用银行保函、担保公司担保或</w:t>
      </w:r>
      <w:r>
        <w:rPr>
          <w:rFonts w:hint="default" w:ascii="Times New Roman" w:hAnsi="Times New Roman" w:cs="Times New Roman"/>
          <w:color w:val="auto"/>
          <w:sz w:val="22"/>
          <w:szCs w:val="22"/>
          <w:highlight w:val="none"/>
          <w:shd w:val="clear" w:color="auto" w:fill="FFFFFF"/>
        </w:rPr>
        <w:t>履约保证保险</w:t>
      </w:r>
      <w:r>
        <w:rPr>
          <w:rFonts w:hint="default" w:ascii="Times New Roman" w:hAnsi="Times New Roman" w:cs="Times New Roman"/>
          <w:color w:val="auto"/>
          <w:sz w:val="22"/>
          <w:szCs w:val="22"/>
          <w:highlight w:val="none"/>
        </w:rPr>
        <w:t>的形式，提供履约保函、担保公司担保、</w:t>
      </w:r>
      <w:r>
        <w:rPr>
          <w:rFonts w:hint="default" w:ascii="Times New Roman" w:hAnsi="Times New Roman" w:cs="Times New Roman"/>
          <w:color w:val="auto"/>
          <w:sz w:val="22"/>
          <w:szCs w:val="22"/>
          <w:highlight w:val="none"/>
          <w:shd w:val="clear" w:color="auto" w:fill="FFFFFF"/>
        </w:rPr>
        <w:t>履约保证保险</w:t>
      </w:r>
      <w:r>
        <w:rPr>
          <w:rFonts w:hint="default" w:ascii="Times New Roman" w:hAnsi="Times New Roman" w:cs="Times New Roman"/>
          <w:color w:val="auto"/>
          <w:sz w:val="22"/>
          <w:szCs w:val="22"/>
          <w:highlight w:val="none"/>
        </w:rPr>
        <w:t>所发生的费用由承包人承担。</w:t>
      </w:r>
    </w:p>
    <w:p w14:paraId="76D54CB8">
      <w:pPr>
        <w:pStyle w:val="15"/>
        <w:tabs>
          <w:tab w:val="left" w:pos="1320"/>
        </w:tabs>
        <w:adjustRightInd w:val="0"/>
        <w:snapToGrid w:val="0"/>
        <w:spacing w:line="420" w:lineRule="exact"/>
        <w:ind w:right="-240"/>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62688" behindDoc="0" locked="0" layoutInCell="1" allowOverlap="1">
                <wp:simplePos x="0" y="0"/>
                <wp:positionH relativeFrom="column">
                  <wp:posOffset>-114300</wp:posOffset>
                </wp:positionH>
                <wp:positionV relativeFrom="paragraph">
                  <wp:posOffset>255905</wp:posOffset>
                </wp:positionV>
                <wp:extent cx="914400" cy="394970"/>
                <wp:effectExtent l="0" t="0" r="0" b="0"/>
                <wp:wrapNone/>
                <wp:docPr id="108" name="文本框 108"/>
                <wp:cNvGraphicFramePr/>
                <a:graphic xmlns:a="http://schemas.openxmlformats.org/drawingml/2006/main">
                  <a:graphicData uri="http://schemas.microsoft.com/office/word/2010/wordprocessingShape">
                    <wps:wsp>
                      <wps:cNvSpPr txBox="1"/>
                      <wps:spPr>
                        <a:xfrm>
                          <a:off x="0" y="0"/>
                          <a:ext cx="914400" cy="394970"/>
                        </a:xfrm>
                        <a:prstGeom prst="rect">
                          <a:avLst/>
                        </a:prstGeom>
                        <a:noFill/>
                        <a:ln>
                          <a:noFill/>
                        </a:ln>
                        <a:effectLst/>
                      </wps:spPr>
                      <wps:txbx>
                        <w:txbxContent>
                          <w:p w14:paraId="0F84E641">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履约担保期限和退还</w:t>
                            </w:r>
                          </w:p>
                        </w:txbxContent>
                      </wps:txbx>
                      <wps:bodyPr wrap="square" upright="1"/>
                    </wps:wsp>
                  </a:graphicData>
                </a:graphic>
              </wp:anchor>
            </w:drawing>
          </mc:Choice>
          <mc:Fallback>
            <w:pict>
              <v:shape id="_x0000_s1026" o:spid="_x0000_s1026" o:spt="202" type="#_x0000_t202" style="position:absolute;left:0pt;margin-left:-9pt;margin-top:20.15pt;height:31.1pt;width:72pt;z-index:251762688;mso-width-relative:page;mso-height-relative:page;" filled="f" stroked="f" coordsize="21600,21600" o:gfxdata="UEsDBAoAAAAAAIdO4kAAAAAAAAAAAAAAAAAEAAAAZHJzL1BLAwQUAAAACACHTuJACkedSNcAAAAK&#10;AQAADwAAAGRycy9kb3ducmV2LnhtbE2PQW/CMAyF75P4D5GRdoOkHSAoTTkw7bppsE3aLTSmrWic&#10;qgm0+/czp+1m+z09fy/fja4VN+xD40lDMlcgkEpvG6o0fBxfZmsQIRqypvWEGn4wwK6YPOQms36g&#10;d7wdYiU4hEJmNNQxdpmUoazRmTD3HRJrZ987E3ntK2l7M3C4a2Wq1Eo60xB/qE2H+xrLy+HqNHy+&#10;nr+/FuqtenbLbvCjkuQ2UuvHaaK2ICKO8c8Md3xGh4KZTv5KNohWwyxZc5eoYaGeQNwN6YoPJx5U&#10;ugRZ5PJ/heIXUEsDBBQAAAAIAIdO4kDcH6aUvAEAAG0DAAAOAAAAZHJzL2Uyb0RvYy54bWytU0tu&#10;2zAQ3RfoHQjuY8mJ0daC5QCFkW6KtkCaA9DUyCLAXzm0JV+gvUFX3XTfc/kcHVKK8+kmi26o4Xwe&#10;570Zra4Ho9kBAipnaz6flZyBla5Rdlfzu683F+84wyhsI7SzUPMjIL9ev3616n0Fl65zuoHACMRi&#10;1fuadzH6qihQdmAEzpwHS8HWBSMiXcOuaILoCd3o4rIs3xS9C40PTgIieTdjkE+I4SWArm2VhI2T&#10;ewM2jqgBtIhECTvlka9zt20LMn5uW4TIdM2JacwnPUL2Np3FeiWqXRC+U3JqQbykhWecjFCWHj1D&#10;bUQUbB/UP1BGyeDQtXEmnSlGIlkRYjEvn2lz2wkPmQtJjf4sOv4/WPnp8CUw1dAmlDR4KwyN/PTz&#10;x+nXn9Pv7yw5SaLeY0WZt55y4/DeDZR+70dyJuZDG0z6EidGcRL4eBYYhsgkOZfzxaKkiKTQ1XKx&#10;fJsHUDwU+4DxAzjDklHzQPPLsorDR4zUCKXep6S3rLtRWucZavvEQYmjB/ISTNWJx9hvsuKwHSZy&#10;W9cciVtPi1Bz/LYXATjb+6B2HbWRuRaphKaQm5g2Jo358Z3sx3/J+i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KR51I1wAAAAoBAAAPAAAAAAAAAAEAIAAAACIAAABkcnMvZG93bnJldi54bWxQSwEC&#10;FAAUAAAACACHTuJA3B+mlLwBAABtAwAADgAAAAAAAAABACAAAAAmAQAAZHJzL2Uyb0RvYy54bWxQ&#10;SwUGAAAAAAYABgBZAQAAVAUAAAAA&#10;">
                <v:fill on="f" focussize="0,0"/>
                <v:stroke on="f"/>
                <v:imagedata o:title=""/>
                <o:lock v:ext="edit" aspectratio="f"/>
                <v:textbox>
                  <w:txbxContent>
                    <w:p w14:paraId="0F84E641">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履约担保期限和退还</w:t>
                      </w:r>
                    </w:p>
                  </w:txbxContent>
                </v:textbox>
              </v:shape>
            </w:pict>
          </mc:Fallback>
        </mc:AlternateContent>
      </w:r>
      <w:r>
        <w:rPr>
          <w:rFonts w:hint="default" w:ascii="Times New Roman" w:hAnsi="Times New Roman" w:cs="Times New Roman"/>
          <w:b/>
          <w:bCs/>
          <w:color w:val="auto"/>
          <w:sz w:val="22"/>
          <w:szCs w:val="22"/>
          <w:highlight w:val="none"/>
        </w:rPr>
        <w:t xml:space="preserve">28.2  </w:t>
      </w:r>
      <w:r>
        <w:rPr>
          <w:rFonts w:hint="default" w:ascii="Times New Roman" w:hAnsi="Times New Roman" w:cs="Times New Roman"/>
          <w:b/>
          <w:bCs/>
          <w:color w:val="auto"/>
          <w:sz w:val="22"/>
          <w:szCs w:val="22"/>
          <w:highlight w:val="none"/>
          <w:u w:val="dotted"/>
        </w:rPr>
        <w:t xml:space="preserve">                                                                             </w:t>
      </w:r>
    </w:p>
    <w:p w14:paraId="7F132DAD">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履约担保的有效期，是从提供履约担保之日起至合同工程竣工验收合格之日止。发包人应在担保有效期满后的14 天内将此担保退还给承包人。</w:t>
      </w:r>
    </w:p>
    <w:p w14:paraId="77E4154E">
      <w:pPr>
        <w:pStyle w:val="15"/>
        <w:tabs>
          <w:tab w:val="left" w:pos="1320"/>
        </w:tabs>
        <w:adjustRightInd w:val="0"/>
        <w:snapToGrid w:val="0"/>
        <w:spacing w:line="420" w:lineRule="exact"/>
        <w:ind w:right="-238"/>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63712" behindDoc="0" locked="0" layoutInCell="1" allowOverlap="1">
                <wp:simplePos x="0" y="0"/>
                <wp:positionH relativeFrom="column">
                  <wp:posOffset>-114300</wp:posOffset>
                </wp:positionH>
                <wp:positionV relativeFrom="paragraph">
                  <wp:posOffset>248920</wp:posOffset>
                </wp:positionV>
                <wp:extent cx="914400" cy="495300"/>
                <wp:effectExtent l="0" t="0" r="0" b="0"/>
                <wp:wrapNone/>
                <wp:docPr id="118" name="文本框 118"/>
                <wp:cNvGraphicFramePr/>
                <a:graphic xmlns:a="http://schemas.openxmlformats.org/drawingml/2006/main">
                  <a:graphicData uri="http://schemas.microsoft.com/office/word/2010/wordprocessingShape">
                    <wps:wsp>
                      <wps:cNvSpPr txBox="1"/>
                      <wps:spPr>
                        <a:xfrm>
                          <a:off x="0" y="0"/>
                          <a:ext cx="914400" cy="495300"/>
                        </a:xfrm>
                        <a:prstGeom prst="rect">
                          <a:avLst/>
                        </a:prstGeom>
                        <a:noFill/>
                        <a:ln>
                          <a:noFill/>
                        </a:ln>
                        <a:effectLst/>
                      </wps:spPr>
                      <wps:txbx>
                        <w:txbxContent>
                          <w:p w14:paraId="31DE8DCF">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向发包人支付索赔款项</w:t>
                            </w:r>
                          </w:p>
                        </w:txbxContent>
                      </wps:txbx>
                      <wps:bodyPr wrap="square" upright="1"/>
                    </wps:wsp>
                  </a:graphicData>
                </a:graphic>
              </wp:anchor>
            </w:drawing>
          </mc:Choice>
          <mc:Fallback>
            <w:pict>
              <v:shape id="_x0000_s1026" o:spid="_x0000_s1026" o:spt="202" type="#_x0000_t202" style="position:absolute;left:0pt;margin-left:-9pt;margin-top:19.6pt;height:39pt;width:72pt;z-index:251763712;mso-width-relative:page;mso-height-relative:page;" filled="f" stroked="f" coordsize="21600,21600" o:gfxdata="UEsDBAoAAAAAAIdO4kAAAAAAAAAAAAAAAAAEAAAAZHJzL1BLAwQUAAAACACHTuJAtbskPtgAAAAK&#10;AQAADwAAAGRycy9kb3ducmV2LnhtbE2PQW/CMAyF75P4D5GRdoOk3caga8ph065DYxsSt9CYtlrj&#10;VE2g3b/HnMbN9nt6/l6+Hl0rztiHxpOGZK5AIJXeNlRp+P56ny1BhGjImtYTavjDAOticpebzPqB&#10;PvG8jZXgEAqZ0VDH2GVShrJGZ8Lcd0isHX3vTOS1r6TtzcDhrpWpUgvpTEP8oTYdvtZY/m5PTsPP&#10;x3G/e1Sb6s09dYMflSS3klrfTxP1AiLiGP/NcMVndCiY6eBPZINoNcySJXeJGh5WKYirIV3w4cBD&#10;8pyCLHJ5W6G4AFBLAwQUAAAACACHTuJAGZINi7oBAABtAwAADgAAAGRycy9lMm9Eb2MueG1srVNL&#10;btswEN0XyB0I7mvJqVs0guUAhZFsirZAmgPQ1MgiwF85tCVfoL1BV91033P5HB1SivPbZJENNZzP&#10;47w3o+XlYDTbQ0DlbM3ns5IzsNI1ym5rfvv96u1HzjAK2wjtLNT8AMgvV2dvlr2v4Nx1TjcQGIFY&#10;rHpf8y5GXxUFyg6MwJnzYCnYumBEpGvYFk0QPaEbXZyX5Yeid6HxwUlAJO96DPIJMbwE0LWtkrB2&#10;cmfAxhE1gBaRKGGnPPJV7rZtQcavbYsQma45MY35pEfI3qSzWC1FtQ3Cd0pOLYiXtPCEkxHK0qMn&#10;qLWIgu2CegZllAwOXRtn0pliJJIVIRbz8ok2N53wkLmQ1OhPouPrwcov+2+BqYY2YU6Dt8LQyI+/&#10;fx3//Dv+/cmSkyTqPVaUeeMpNw6f3EDpd34kZ2I+tMGkL3FiFCeBDyeBYYhMkvNivliUFJEUWly8&#10;f0c2oRf3xT5gvAZnWDJqHmh+WVax/4xxTL1LSW9Zd6W0zjPU9pGDMEcP5CWYqhOPsd9kxWEzTOQ2&#10;rjkQt54Woeb4YycCcLbzQW07aiNzLVIJTSH3O21MGvPDO9kP/5LV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LW7JD7YAAAACgEAAA8AAAAAAAAAAQAgAAAAIgAAAGRycy9kb3ducmV2LnhtbFBLAQIU&#10;ABQAAAAIAIdO4kAZkg2LugEAAG0DAAAOAAAAAAAAAAEAIAAAACcBAABkcnMvZTJvRG9jLnhtbFBL&#10;BQYAAAAABgAGAFkBAABTBQAAAAA=&#10;">
                <v:fill on="f" focussize="0,0"/>
                <v:stroke on="f"/>
                <v:imagedata o:title=""/>
                <o:lock v:ext="edit" aspectratio="f"/>
                <v:textbox>
                  <w:txbxContent>
                    <w:p w14:paraId="31DE8DCF">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向发包人支付索赔款项</w:t>
                      </w:r>
                    </w:p>
                  </w:txbxContent>
                </v:textbox>
              </v:shape>
            </w:pict>
          </mc:Fallback>
        </mc:AlternateContent>
      </w:r>
      <w:r>
        <w:rPr>
          <w:rFonts w:hint="default" w:ascii="Times New Roman" w:hAnsi="Times New Roman" w:cs="Times New Roman"/>
          <w:b/>
          <w:bCs/>
          <w:color w:val="auto"/>
          <w:sz w:val="22"/>
          <w:szCs w:val="22"/>
          <w:highlight w:val="none"/>
        </w:rPr>
        <w:t xml:space="preserve">28.3  </w:t>
      </w:r>
      <w:r>
        <w:rPr>
          <w:rFonts w:hint="default" w:ascii="Times New Roman" w:hAnsi="Times New Roman" w:cs="Times New Roman"/>
          <w:b/>
          <w:bCs/>
          <w:color w:val="auto"/>
          <w:sz w:val="22"/>
          <w:szCs w:val="22"/>
          <w:highlight w:val="none"/>
          <w:u w:val="dotted"/>
        </w:rPr>
        <w:t xml:space="preserve">                                                                             </w:t>
      </w:r>
    </w:p>
    <w:p w14:paraId="1A91032C">
      <w:pPr>
        <w:pStyle w:val="15"/>
        <w:adjustRightInd w:val="0"/>
        <w:snapToGrid w:val="0"/>
        <w:spacing w:line="420" w:lineRule="exact"/>
        <w:ind w:left="1619" w:leftChars="771"/>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w:t>发包人在对履约担保提出索赔要求之前，应书面通知承包人，说明导致此项索赔的原因，并及时向担保人提出索赔文件。担保人根据担保合同的约定在担保范围内承担担保责任，并无须征得承包人的同意，直接向发包人支付索赔价款。</w:t>
      </w:r>
    </w:p>
    <w:p w14:paraId="6AA64359">
      <w:pPr>
        <w:pStyle w:val="15"/>
        <w:tabs>
          <w:tab w:val="left" w:pos="540"/>
          <w:tab w:val="left" w:pos="720"/>
        </w:tabs>
        <w:adjustRightInd w:val="0"/>
        <w:snapToGrid w:val="0"/>
        <w:spacing w:line="420" w:lineRule="exact"/>
        <w:ind w:right="-238"/>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64736" behindDoc="0" locked="0" layoutInCell="1" allowOverlap="1">
                <wp:simplePos x="0" y="0"/>
                <wp:positionH relativeFrom="column">
                  <wp:posOffset>-114300</wp:posOffset>
                </wp:positionH>
                <wp:positionV relativeFrom="paragraph">
                  <wp:posOffset>251460</wp:posOffset>
                </wp:positionV>
                <wp:extent cx="914400" cy="417830"/>
                <wp:effectExtent l="0" t="0" r="0" b="0"/>
                <wp:wrapNone/>
                <wp:docPr id="109" name="文本框 109"/>
                <wp:cNvGraphicFramePr/>
                <a:graphic xmlns:a="http://schemas.openxmlformats.org/drawingml/2006/main">
                  <a:graphicData uri="http://schemas.microsoft.com/office/word/2010/wordprocessingShape">
                    <wps:wsp>
                      <wps:cNvSpPr txBox="1"/>
                      <wps:spPr>
                        <a:xfrm>
                          <a:off x="0" y="0"/>
                          <a:ext cx="914400" cy="417830"/>
                        </a:xfrm>
                        <a:prstGeom prst="rect">
                          <a:avLst/>
                        </a:prstGeom>
                        <a:noFill/>
                        <a:ln>
                          <a:noFill/>
                        </a:ln>
                        <a:effectLst/>
                      </wps:spPr>
                      <wps:txbx>
                        <w:txbxContent>
                          <w:p w14:paraId="5C70AEFC">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发包人提供支付担保</w:t>
                            </w:r>
                          </w:p>
                        </w:txbxContent>
                      </wps:txbx>
                      <wps:bodyPr wrap="square" upright="1"/>
                    </wps:wsp>
                  </a:graphicData>
                </a:graphic>
              </wp:anchor>
            </w:drawing>
          </mc:Choice>
          <mc:Fallback>
            <w:pict>
              <v:shape id="_x0000_s1026" o:spid="_x0000_s1026" o:spt="202" type="#_x0000_t202" style="position:absolute;left:0pt;margin-left:-9pt;margin-top:19.8pt;height:32.9pt;width:72pt;z-index:251764736;mso-width-relative:page;mso-height-relative:page;" filled="f" stroked="f" coordsize="21600,21600" o:gfxdata="UEsDBAoAAAAAAIdO4kAAAAAAAAAAAAAAAAAEAAAAZHJzL1BLAwQUAAAACACHTuJACxO/mNgAAAAK&#10;AQAADwAAAGRycy9kb3ducmV2LnhtbE2PS2/CMBCE75X6H6ytxA3s8IggjcOhVa9U0IfUm4mXJGq8&#10;jmJDwr/vcqK33Z3R7Df5dnStuGAfGk8akpkCgVR621Cl4fPjbboGEaIha1pPqOGKAbbF40NuMusH&#10;2uPlECvBIRQyo6GOscukDGWNzoSZ75BYO/nemchrX0nbm4HDXSvnSqXSmYb4Q206fKmx/D2cnYav&#10;3enne6neq1e36gY/KkluI7WePCXqGUTEMd7NcMNndCiY6ejPZINoNUyTNXeJGhabFMTNME/5cORB&#10;rZYgi1z+r1D8AVBLAwQUAAAACACHTuJA+wQPbb0BAABtAwAADgAAAGRycy9lMm9Eb2MueG1srVNL&#10;btswEN0XyB0I7mPJqdEmguUAgZFsgrZA2gPQ1NAiIH7KoS35Au0Nuuqm+57L5+iQUtw03WSRDTWc&#10;z+O8N6Pl9WA6toeA2tmaz2clZ2Cla7Td1vzL59vzS84wCtuIzlmo+QGQX6/O3ix7X8GFa13XQGAE&#10;YrHqfc3bGH1VFChbMAJnzoOloHLBiEjXsC2aIHpCN11xUZbvit6FxgcnAZG86zHIJ8TwEkCnlJaw&#10;dnJnwMYRNUAnIlHCVnvkq9ytUiDjR6UQIutqTkxjPukRsjfpLFZLUW2D8K2WUwviJS0842SEtvTo&#10;CWotomC7oP+DMloGh07FmXSmGIlkRYjFvHymzUMrPGQuJDX6k+j4erDyw/5TYLqhTSivOLPC0MiP&#10;P74ff/4+/vrGkpMk6j1WlPngKTcON26g9Ec/kjMxH1Qw6UucGMVJ4MNJYBgik+S8mi8WJUUkhRbz&#10;95dv8wCKv8U+YLwDZ1gyah5ofllWsb/HSI1Q6mNKesu6W911eYad/cdBiaMH8hJM1YnH2G+y4rAZ&#10;JnIb1xyIW0+LUHP8uhMBONv5oLcttZG5FqmEppCbmDYmjfnpneynf8nqD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AsTv5jYAAAACgEAAA8AAAAAAAAAAQAgAAAAIgAAAGRycy9kb3ducmV2LnhtbFBL&#10;AQIUABQAAAAIAIdO4kD7BA9tvQEAAG0DAAAOAAAAAAAAAAEAIAAAACcBAABkcnMvZTJvRG9jLnht&#10;bFBLBQYAAAAABgAGAFkBAABWBQAAAAA=&#10;">
                <v:fill on="f" focussize="0,0"/>
                <v:stroke on="f"/>
                <v:imagedata o:title=""/>
                <o:lock v:ext="edit" aspectratio="f"/>
                <v:textbox>
                  <w:txbxContent>
                    <w:p w14:paraId="5C70AEFC">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发包人提供支付担保</w:t>
                      </w:r>
                    </w:p>
                  </w:txbxContent>
                </v:textbox>
              </v:shape>
            </w:pict>
          </mc:Fallback>
        </mc:AlternateContent>
      </w:r>
      <w:r>
        <w:rPr>
          <w:rFonts w:hint="default" w:ascii="Times New Roman" w:hAnsi="Times New Roman" w:cs="Times New Roman"/>
          <w:b/>
          <w:bCs/>
          <w:color w:val="auto"/>
          <w:sz w:val="22"/>
          <w:szCs w:val="22"/>
          <w:highlight w:val="none"/>
        </w:rPr>
        <w:t xml:space="preserve">28.4  </w:t>
      </w:r>
      <w:r>
        <w:rPr>
          <w:rFonts w:hint="default" w:ascii="Times New Roman" w:hAnsi="Times New Roman" w:cs="Times New Roman"/>
          <w:b/>
          <w:bCs/>
          <w:color w:val="auto"/>
          <w:sz w:val="22"/>
          <w:szCs w:val="22"/>
          <w:highlight w:val="none"/>
          <w:u w:val="dotted"/>
        </w:rPr>
        <w:t xml:space="preserve">                                                                             </w:t>
      </w:r>
    </w:p>
    <w:p w14:paraId="09DA9D65">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承包人按照第28.1款的要求提交了履约担保，发包人应按照合同约定时间向承包人提交与履约担保等值的支付担保；发、承包人也可约定由发包人向承包人提交预付款等值的支付担保。支付担保采用银行保函、担保公司担保或</w:t>
      </w:r>
      <w:r>
        <w:rPr>
          <w:rFonts w:hint="default" w:ascii="Times New Roman" w:hAnsi="Times New Roman" w:cs="Times New Roman"/>
          <w:color w:val="auto"/>
          <w:sz w:val="22"/>
          <w:szCs w:val="22"/>
          <w:highlight w:val="none"/>
          <w:shd w:val="clear" w:color="auto" w:fill="FFFFFF"/>
        </w:rPr>
        <w:t>支付保证保险</w:t>
      </w:r>
      <w:r>
        <w:rPr>
          <w:rFonts w:hint="default" w:ascii="Times New Roman" w:hAnsi="Times New Roman" w:cs="Times New Roman"/>
          <w:color w:val="auto"/>
          <w:sz w:val="22"/>
          <w:szCs w:val="22"/>
          <w:highlight w:val="none"/>
        </w:rPr>
        <w:t>的形式，提供支付保函、担保公司担保、</w:t>
      </w:r>
      <w:r>
        <w:rPr>
          <w:rFonts w:hint="default" w:ascii="Times New Roman" w:hAnsi="Times New Roman" w:cs="Times New Roman"/>
          <w:color w:val="auto"/>
          <w:sz w:val="22"/>
          <w:szCs w:val="22"/>
          <w:highlight w:val="none"/>
          <w:shd w:val="clear" w:color="auto" w:fill="FFFFFF"/>
        </w:rPr>
        <w:t>支付保证保险</w:t>
      </w:r>
      <w:r>
        <w:rPr>
          <w:rFonts w:hint="default" w:ascii="Times New Roman" w:hAnsi="Times New Roman" w:cs="Times New Roman"/>
          <w:color w:val="auto"/>
          <w:sz w:val="22"/>
          <w:szCs w:val="22"/>
          <w:highlight w:val="none"/>
        </w:rPr>
        <w:t>所发生的费用由发包人承担。</w:t>
      </w:r>
    </w:p>
    <w:p w14:paraId="602C74A2">
      <w:pPr>
        <w:pStyle w:val="15"/>
        <w:tabs>
          <w:tab w:val="left" w:pos="1320"/>
        </w:tabs>
        <w:adjustRightInd w:val="0"/>
        <w:snapToGrid w:val="0"/>
        <w:spacing w:line="420" w:lineRule="exact"/>
        <w:ind w:right="-238"/>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65760" behindDoc="0" locked="0" layoutInCell="1" allowOverlap="1">
                <wp:simplePos x="0" y="0"/>
                <wp:positionH relativeFrom="column">
                  <wp:posOffset>-114300</wp:posOffset>
                </wp:positionH>
                <wp:positionV relativeFrom="paragraph">
                  <wp:posOffset>238125</wp:posOffset>
                </wp:positionV>
                <wp:extent cx="914400" cy="412750"/>
                <wp:effectExtent l="0" t="0" r="0" b="0"/>
                <wp:wrapNone/>
                <wp:docPr id="110" name="文本框 110"/>
                <wp:cNvGraphicFramePr/>
                <a:graphic xmlns:a="http://schemas.openxmlformats.org/drawingml/2006/main">
                  <a:graphicData uri="http://schemas.microsoft.com/office/word/2010/wordprocessingShape">
                    <wps:wsp>
                      <wps:cNvSpPr txBox="1"/>
                      <wps:spPr>
                        <a:xfrm>
                          <a:off x="0" y="0"/>
                          <a:ext cx="914400" cy="412750"/>
                        </a:xfrm>
                        <a:prstGeom prst="rect">
                          <a:avLst/>
                        </a:prstGeom>
                        <a:noFill/>
                        <a:ln>
                          <a:noFill/>
                        </a:ln>
                        <a:effectLst/>
                      </wps:spPr>
                      <wps:txbx>
                        <w:txbxContent>
                          <w:p w14:paraId="7B018A91">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支付担保期限和退还</w:t>
                            </w:r>
                          </w:p>
                        </w:txbxContent>
                      </wps:txbx>
                      <wps:bodyPr wrap="square" upright="1"/>
                    </wps:wsp>
                  </a:graphicData>
                </a:graphic>
              </wp:anchor>
            </w:drawing>
          </mc:Choice>
          <mc:Fallback>
            <w:pict>
              <v:shape id="_x0000_s1026" o:spid="_x0000_s1026" o:spt="202" type="#_x0000_t202" style="position:absolute;left:0pt;margin-left:-9pt;margin-top:18.75pt;height:32.5pt;width:72pt;z-index:251765760;mso-width-relative:page;mso-height-relative:page;" filled="f" stroked="f" coordsize="21600,21600" o:gfxdata="UEsDBAoAAAAAAIdO4kAAAAAAAAAAAAAAAAAEAAAAZHJzL1BLAwQUAAAACACHTuJA+PDJ2NgAAAAK&#10;AQAADwAAAGRycy9kb3ducmV2LnhtbE2PzU7DMBCE70h9B2srcWvtBFJKiNNDEVcQ5Ufi5sbbJGq8&#10;jmK3CW/P9kRvuzuj2W+KzeQ6ccYhtJ40JEsFAqnytqVaw+fHy2INIkRD1nSeUMMvBtiUs5vC5NaP&#10;9I7nXawFh1DIjYYmxj6XMlQNOhOWvkdi7eAHZyKvQy3tYEYOd51MlVpJZ1riD43pcdtgddydnIav&#10;18PP9716q59d1o9+UpLco9T6dp6oJxARp/hvhgs+o0PJTHt/IhtEp2GRrLlL1HD3kIG4GNIVH/Y8&#10;qDQDWRbyukL5B1BLAwQUAAAACACHTuJA4UFH07sBAABtAwAADgAAAGRycy9lMm9Eb2MueG1srVPN&#10;jtMwEL4j8Q6W7zRJVf6ipiuharkgQFp4ANeZNJb8h8dt0heAN+DEhTvP1edg7GTLsnvZw16c8fx8&#10;nu+byfpqNJodIaBytuHVouQMrHStsvuGf/1y/eINZxiFbYV2Fhp+AuRXm+fP1oOvYel6p1sIjEAs&#10;1oNveB+jr4sCZQ9G4MJ5sBTsXDAi0jXsizaIgdCNLpZl+aoYXGh9cBIQybudgnxGDI8BdF2nJGyd&#10;PBiwcUINoEUkStgrj3yTu+06kPFT1yFEphtOTGM+6RGyd+ksNmtR74PwvZJzC+IxLdzjZISy9OgF&#10;aiuiYIegHkAZJYND18WFdKaYiGRFiEVV3tPmphceMheSGv1FdHw6WPnx+Dkw1dImVKSJFYZGfv75&#10;4/zrz/n3d5acJNHgsabMG0+5cXznRkq/9SM5E/OxCyZ9iROjOIGdLgLDGJkk59tqtSopIim0qpav&#10;X2b04l+xDxjfgzMsGQ0PNL8sqzh+wEiNUOptSnrLumuldZ6htv85KHHyQF6CuTrxmPpNVhx340xu&#10;59oTcRtoERqO3w4iAGcHH9S+pzYy1yKV0BRyE/PGpDHfvZN99y/Z/AV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48MnY2AAAAAoBAAAPAAAAAAAAAAEAIAAAACIAAABkcnMvZG93bnJldi54bWxQSwEC&#10;FAAUAAAACACHTuJA4UFH07sBAABtAwAADgAAAAAAAAABACAAAAAnAQAAZHJzL2Uyb0RvYy54bWxQ&#10;SwUGAAAAAAYABgBZAQAAVAUAAAAA&#10;">
                <v:fill on="f" focussize="0,0"/>
                <v:stroke on="f"/>
                <v:imagedata o:title=""/>
                <o:lock v:ext="edit" aspectratio="f"/>
                <v:textbox>
                  <w:txbxContent>
                    <w:p w14:paraId="7B018A91">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支付担保期限和退还</w:t>
                      </w:r>
                    </w:p>
                  </w:txbxContent>
                </v:textbox>
              </v:shape>
            </w:pict>
          </mc:Fallback>
        </mc:AlternateContent>
      </w:r>
      <w:r>
        <w:rPr>
          <w:rFonts w:hint="default" w:ascii="Times New Roman" w:hAnsi="Times New Roman" w:cs="Times New Roman"/>
          <w:b/>
          <w:bCs/>
          <w:color w:val="auto"/>
          <w:sz w:val="22"/>
          <w:szCs w:val="22"/>
          <w:highlight w:val="none"/>
        </w:rPr>
        <w:t xml:space="preserve">28.5  </w:t>
      </w:r>
      <w:r>
        <w:rPr>
          <w:rFonts w:hint="default" w:ascii="Times New Roman" w:hAnsi="Times New Roman" w:cs="Times New Roman"/>
          <w:b/>
          <w:bCs/>
          <w:color w:val="auto"/>
          <w:sz w:val="22"/>
          <w:szCs w:val="22"/>
          <w:highlight w:val="none"/>
          <w:u w:val="dotted"/>
        </w:rPr>
        <w:t xml:space="preserve">                                                                             </w:t>
      </w:r>
    </w:p>
    <w:p w14:paraId="2B7AD8A2">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支付担保的有效期，是从提供支付担保之日起至发包人根据本合同约定支付完除质量保证金以外的全部款项之日止。承包人应在担保有效期满后的14天内将此担保退还给发包人。</w:t>
      </w:r>
    </w:p>
    <w:p w14:paraId="2A2C4D89">
      <w:pPr>
        <w:pStyle w:val="15"/>
        <w:tabs>
          <w:tab w:val="left" w:pos="1320"/>
        </w:tabs>
        <w:adjustRightInd w:val="0"/>
        <w:snapToGrid w:val="0"/>
        <w:spacing w:line="420" w:lineRule="exact"/>
        <w:ind w:right="-238"/>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66784" behindDoc="0" locked="0" layoutInCell="1" allowOverlap="1">
                <wp:simplePos x="0" y="0"/>
                <wp:positionH relativeFrom="column">
                  <wp:posOffset>-114300</wp:posOffset>
                </wp:positionH>
                <wp:positionV relativeFrom="paragraph">
                  <wp:posOffset>247650</wp:posOffset>
                </wp:positionV>
                <wp:extent cx="914400" cy="396240"/>
                <wp:effectExtent l="0" t="0" r="0" b="0"/>
                <wp:wrapNone/>
                <wp:docPr id="111" name="文本框 111"/>
                <wp:cNvGraphicFramePr/>
                <a:graphic xmlns:a="http://schemas.openxmlformats.org/drawingml/2006/main">
                  <a:graphicData uri="http://schemas.microsoft.com/office/word/2010/wordprocessingShape">
                    <wps:wsp>
                      <wps:cNvSpPr txBox="1"/>
                      <wps:spPr>
                        <a:xfrm>
                          <a:off x="0" y="0"/>
                          <a:ext cx="914400" cy="396240"/>
                        </a:xfrm>
                        <a:prstGeom prst="rect">
                          <a:avLst/>
                        </a:prstGeom>
                        <a:noFill/>
                        <a:ln>
                          <a:noFill/>
                        </a:ln>
                        <a:effectLst/>
                      </wps:spPr>
                      <wps:txbx>
                        <w:txbxContent>
                          <w:p w14:paraId="39830B05">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向承包人支付索赔款项</w:t>
                            </w:r>
                          </w:p>
                        </w:txbxContent>
                      </wps:txbx>
                      <wps:bodyPr wrap="square" upright="1"/>
                    </wps:wsp>
                  </a:graphicData>
                </a:graphic>
              </wp:anchor>
            </w:drawing>
          </mc:Choice>
          <mc:Fallback>
            <w:pict>
              <v:shape id="_x0000_s1026" o:spid="_x0000_s1026" o:spt="202" type="#_x0000_t202" style="position:absolute;left:0pt;margin-left:-9pt;margin-top:19.5pt;height:31.2pt;width:72pt;z-index:251766784;mso-width-relative:page;mso-height-relative:page;" filled="f" stroked="f" coordsize="21600,21600" o:gfxdata="UEsDBAoAAAAAAIdO4kAAAAAAAAAAAAAAAAAEAAAAZHJzL1BLAwQUAAAACACHTuJAkoaQYtYAAAAK&#10;AQAADwAAAGRycy9kb3ducmV2LnhtbE2PQU/DMAyF70j8h8hI3LakY0xbaboDiCuIDZC4eY3XVjRO&#10;1WRr+fd4Jzj5WX56/l6xnXynzjTENrCFbG5AEVfBtVxbeN8/z9agYkJ22AUmCz8UYVteXxWYuzDy&#10;G513qVYSwjFHC01Kfa51rBryGOehJ5bbMQwek6xDrd2Ao4T7Ti+MWWmPLcuHBnt6bKj63p28hY+X&#10;49fn0rzWT/6+H8NkNPuNtvb2JjMPoBJN6c8MF3xBh1KYDuHELqrOwixbS5dk4W4j82JYrEQcRJhs&#10;Cbos9P8K5S9QSwMEFAAAAAgAh07iQEoxZUm8AQAAbQMAAA4AAABkcnMvZTJvRG9jLnhtbK1TzY7T&#10;MBC+I/EOlu80SalWbNR0JVQtFwRICw/gOuPGUvyDx23SF4A34MSFO8/V52DsZLvLctkDF2c8P5/n&#10;+2ayvhlNz44QUDvb8GpRcgZWulbbfcO/fL599YYzjMK2oncWGn4C5Debly/Wg69h6TrXtxAYgVis&#10;B9/wLkZfFwXKDozAhfNgKahcMCLSNeyLNoiB0E1fLMvyqhhcaH1wEhDJu52CfEYMzwF0SmkJWycP&#10;BmycUAP0IhIl7LRHvsndKgUyflQKIbK+4cQ05pMeIXuXzmKzFvU+CN9pObcgntPCE05GaEuPXqC2&#10;Igp2CPofKKNlcOhUXEhniolIVoRYVOUTbe464SFzIanRX0TH/wcrPxw/BaZb2oSq4swKQyM///h+&#10;/vn7/OsbS06SaPBYU+adp9w4vnUjpd/7kZyJ+aiCSV/ixChOAp8uAsMYmSTndbValRSRFHp9fbVc&#10;5QEUD8U+YHwHzrBkNDzQ/LKs4vgeIzVCqfcp6S3rbnXf5xn29i8HJU4eyEswVyceU7/JiuNunMnt&#10;XHsibgMtQsPx60EE4Ozgg9531EbmWqQSmkJuYt6YNObHd7If/yWbP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KGkGLWAAAACgEAAA8AAAAAAAAAAQAgAAAAIgAAAGRycy9kb3ducmV2LnhtbFBLAQIU&#10;ABQAAAAIAIdO4kBKMWVJvAEAAG0DAAAOAAAAAAAAAAEAIAAAACUBAABkcnMvZTJvRG9jLnhtbFBL&#10;BQYAAAAABgAGAFkBAABTBQAAAAA=&#10;">
                <v:fill on="f" focussize="0,0"/>
                <v:stroke on="f"/>
                <v:imagedata o:title=""/>
                <o:lock v:ext="edit" aspectratio="f"/>
                <v:textbox>
                  <w:txbxContent>
                    <w:p w14:paraId="39830B05">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向承包人支付索赔款项</w:t>
                      </w:r>
                    </w:p>
                  </w:txbxContent>
                </v:textbox>
              </v:shape>
            </w:pict>
          </mc:Fallback>
        </mc:AlternateContent>
      </w:r>
      <w:r>
        <w:rPr>
          <w:rFonts w:hint="default" w:ascii="Times New Roman" w:hAnsi="Times New Roman" w:cs="Times New Roman"/>
          <w:b/>
          <w:bCs/>
          <w:color w:val="auto"/>
          <w:sz w:val="22"/>
          <w:szCs w:val="22"/>
          <w:highlight w:val="none"/>
        </w:rPr>
        <w:t xml:space="preserve">28.6  </w:t>
      </w:r>
      <w:r>
        <w:rPr>
          <w:rFonts w:hint="default" w:ascii="Times New Roman" w:hAnsi="Times New Roman" w:cs="Times New Roman"/>
          <w:b/>
          <w:bCs/>
          <w:color w:val="auto"/>
          <w:sz w:val="22"/>
          <w:szCs w:val="22"/>
          <w:highlight w:val="none"/>
          <w:u w:val="dotted"/>
        </w:rPr>
        <w:t xml:space="preserve">                                                                             </w:t>
      </w:r>
    </w:p>
    <w:p w14:paraId="44612DC8">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承包人在对支付担保提出索赔要求之前，应书面通知发包人和造价工程师，说明导致此项索赔的原因，并及时向担保人提出索赔文件。担保人根据担保合同的约定在担保范围内承担担保责任，并无须征得发包人的同意，直接向承包人支付索赔款额。</w:t>
      </w:r>
    </w:p>
    <w:p w14:paraId="5EB4F0F7">
      <w:pPr>
        <w:pStyle w:val="15"/>
        <w:tabs>
          <w:tab w:val="left" w:pos="1320"/>
        </w:tabs>
        <w:adjustRightInd w:val="0"/>
        <w:snapToGrid w:val="0"/>
        <w:spacing w:line="420" w:lineRule="exact"/>
        <w:ind w:right="-238"/>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67808" behindDoc="0" locked="0" layoutInCell="1" allowOverlap="1">
                <wp:simplePos x="0" y="0"/>
                <wp:positionH relativeFrom="column">
                  <wp:posOffset>-114300</wp:posOffset>
                </wp:positionH>
                <wp:positionV relativeFrom="paragraph">
                  <wp:posOffset>243205</wp:posOffset>
                </wp:positionV>
                <wp:extent cx="914400" cy="422910"/>
                <wp:effectExtent l="0" t="0" r="0" b="0"/>
                <wp:wrapNone/>
                <wp:docPr id="112" name="文本框 112"/>
                <wp:cNvGraphicFramePr/>
                <a:graphic xmlns:a="http://schemas.openxmlformats.org/drawingml/2006/main">
                  <a:graphicData uri="http://schemas.microsoft.com/office/word/2010/wordprocessingShape">
                    <wps:wsp>
                      <wps:cNvSpPr txBox="1"/>
                      <wps:spPr>
                        <a:xfrm>
                          <a:off x="0" y="0"/>
                          <a:ext cx="914400" cy="422910"/>
                        </a:xfrm>
                        <a:prstGeom prst="rect">
                          <a:avLst/>
                        </a:prstGeom>
                        <a:noFill/>
                        <a:ln>
                          <a:noFill/>
                        </a:ln>
                        <a:effectLst/>
                      </wps:spPr>
                      <wps:txbx>
                        <w:txbxContent>
                          <w:p w14:paraId="06A2D082">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双方延长担保期限</w:t>
                            </w:r>
                          </w:p>
                        </w:txbxContent>
                      </wps:txbx>
                      <wps:bodyPr wrap="square" upright="1"/>
                    </wps:wsp>
                  </a:graphicData>
                </a:graphic>
              </wp:anchor>
            </w:drawing>
          </mc:Choice>
          <mc:Fallback>
            <w:pict>
              <v:shape id="_x0000_s1026" o:spid="_x0000_s1026" o:spt="202" type="#_x0000_t202" style="position:absolute;left:0pt;margin-left:-9pt;margin-top:19.15pt;height:33.3pt;width:72pt;z-index:251767808;mso-width-relative:page;mso-height-relative:page;" filled="f" stroked="f" coordsize="21600,21600" o:gfxdata="UEsDBAoAAAAAAIdO4kAAAAAAAAAAAAAAAAAEAAAAZHJzL1BLAwQUAAAACACHTuJAMATYqdcAAAAK&#10;AQAADwAAAGRycy9kb3ducmV2LnhtbE2PzW7CMBCE75V4B2srcQM7QFEIcThQ9UpV+iNxM/GSRI3X&#10;UWxI+vZdTu1td2c0+02+G10rbtiHxpOGZK5AIJXeNlRp+Hh/maUgQjRkTesJNfxggF0xechNZv1A&#10;b3g7xkpwCIXMaKhj7DIpQ1mjM2HuOyTWLr53JvLaV9L2ZuBw18qFUmvpTEP8oTYd7mssv49Xp+Hz&#10;cDl9rdRr9eyeusGPSpLbSK2nj4nagog4xj8z3PEZHQpmOvsr2SBaDbMk5S5RwzJdgrgbFms+nHlQ&#10;qw3IIpf/KxS/UEsDBBQAAAAIAIdO4kBg04oluwEAAG0DAAAOAAAAZHJzL2Uyb0RvYy54bWytU0tu&#10;2zAQ3RfoHQjua31gFI1gOUBgpJsgLZD2ADQ1sgiIn3JoS75Ae4Ouuum+5/I5OqQU57fJIhtqOJ/H&#10;eW9Gq8tR9+wAHpU1NS8WOWdgpG2U2dX8+7frD584wyBMI3proOZHQH65fv9uNbgKStvZvgHPCMRg&#10;NbiadyG4KstQdqAFLqwDQ8HWei0CXf0ua7wYCF33WZnnH7PB+sZ5KwGRvJspyGdE/xpA27ZKwsbK&#10;vQYTJlQPvQhECTvlkK9Tt20LMnxpW4TA+poT05BOeoTsbTyz9UpUOy9cp+TcgnhNC884aaEMPXqG&#10;2ogg2N6rF1BaSW/RtmEhrc4mIkkRYlHkz7S564SDxIWkRncWHd8OVt4evnqmGtqEouTMCE0jP/3+&#10;dfrz7/T3J4tOkmhwWFHmnaPcMF7ZkdLv/UjOyHxsvY5f4sQoTgIfzwLDGJgk50WxXOYUkRRaluVF&#10;kQaQPRQ7j+EzWM2iUXNP80uyisMNBmqEUu9T4lvGXqu+TzPszRMHJU4eSEswV0ceU7/RCuN2nMlt&#10;bXMkbgMtQs3xx1544GzvvNp11EbimsUSmkJqYt6YOObHd7If/yXr/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DAE2KnXAAAACgEAAA8AAAAAAAAAAQAgAAAAIgAAAGRycy9kb3ducmV2LnhtbFBLAQIU&#10;ABQAAAAIAIdO4kBg04oluwEAAG0DAAAOAAAAAAAAAAEAIAAAACYBAABkcnMvZTJvRG9jLnhtbFBL&#10;BQYAAAAABgAGAFkBAABTBQAAAAA=&#10;">
                <v:fill on="f" focussize="0,0"/>
                <v:stroke on="f"/>
                <v:imagedata o:title=""/>
                <o:lock v:ext="edit" aspectratio="f"/>
                <v:textbox>
                  <w:txbxContent>
                    <w:p w14:paraId="06A2D082">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双方延长担保期限</w:t>
                      </w:r>
                    </w:p>
                  </w:txbxContent>
                </v:textbox>
              </v:shape>
            </w:pict>
          </mc:Fallback>
        </mc:AlternateContent>
      </w:r>
      <w:r>
        <w:rPr>
          <w:rFonts w:hint="default" w:ascii="Times New Roman" w:hAnsi="Times New Roman" w:cs="Times New Roman"/>
          <w:b/>
          <w:bCs/>
          <w:color w:val="auto"/>
          <w:sz w:val="22"/>
          <w:szCs w:val="22"/>
          <w:highlight w:val="none"/>
        </w:rPr>
        <w:t xml:space="preserve">28.7  </w:t>
      </w:r>
      <w:r>
        <w:rPr>
          <w:rFonts w:hint="default" w:ascii="Times New Roman" w:hAnsi="Times New Roman" w:cs="Times New Roman"/>
          <w:b/>
          <w:bCs/>
          <w:color w:val="auto"/>
          <w:sz w:val="22"/>
          <w:szCs w:val="22"/>
          <w:highlight w:val="none"/>
          <w:u w:val="dotted"/>
        </w:rPr>
        <w:t xml:space="preserve">                                                                             </w:t>
      </w:r>
    </w:p>
    <w:p w14:paraId="46738B83">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合同双方当事人均应确保合同工程担保有效期符合工期合理顺延的要求。若合同一方当事人未能保证延长担保有效期，另一方当事人可向其索赔担保的全部金额。</w:t>
      </w:r>
    </w:p>
    <w:p w14:paraId="516676E0">
      <w:pPr>
        <w:pStyle w:val="15"/>
        <w:tabs>
          <w:tab w:val="left" w:pos="1320"/>
        </w:tabs>
        <w:adjustRightInd w:val="0"/>
        <w:snapToGrid w:val="0"/>
        <w:spacing w:line="420" w:lineRule="exact"/>
        <w:ind w:right="-238"/>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68832" behindDoc="0" locked="0" layoutInCell="1" allowOverlap="1">
                <wp:simplePos x="0" y="0"/>
                <wp:positionH relativeFrom="column">
                  <wp:posOffset>-114300</wp:posOffset>
                </wp:positionH>
                <wp:positionV relativeFrom="paragraph">
                  <wp:posOffset>255270</wp:posOffset>
                </wp:positionV>
                <wp:extent cx="914400" cy="339090"/>
                <wp:effectExtent l="0" t="0" r="0" b="0"/>
                <wp:wrapNone/>
                <wp:docPr id="113" name="文本框 113"/>
                <wp:cNvGraphicFramePr/>
                <a:graphic xmlns:a="http://schemas.openxmlformats.org/drawingml/2006/main">
                  <a:graphicData uri="http://schemas.microsoft.com/office/word/2010/wordprocessingShape">
                    <wps:wsp>
                      <wps:cNvSpPr txBox="1"/>
                      <wps:spPr>
                        <a:xfrm>
                          <a:off x="0" y="0"/>
                          <a:ext cx="914400" cy="339090"/>
                        </a:xfrm>
                        <a:prstGeom prst="rect">
                          <a:avLst/>
                        </a:prstGeom>
                        <a:noFill/>
                        <a:ln>
                          <a:noFill/>
                        </a:ln>
                        <a:effectLst/>
                      </wps:spPr>
                      <wps:txbx>
                        <w:txbxContent>
                          <w:p w14:paraId="12B85E4F">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约定担保事项</w:t>
                            </w:r>
                          </w:p>
                        </w:txbxContent>
                      </wps:txbx>
                      <wps:bodyPr wrap="square" upright="1"/>
                    </wps:wsp>
                  </a:graphicData>
                </a:graphic>
              </wp:anchor>
            </w:drawing>
          </mc:Choice>
          <mc:Fallback>
            <w:pict>
              <v:shape id="_x0000_s1026" o:spid="_x0000_s1026" o:spt="202" type="#_x0000_t202" style="position:absolute;left:0pt;margin-left:-9pt;margin-top:20.1pt;height:26.7pt;width:72pt;z-index:251768832;mso-width-relative:page;mso-height-relative:page;" filled="f" stroked="f" coordsize="21600,21600" o:gfxdata="UEsDBAoAAAAAAIdO4kAAAAAAAAAAAAAAAAAEAAAAZHJzL1BLAwQUAAAACACHTuJAXEh91dcAAAAJ&#10;AQAADwAAAGRycy9kb3ducmV2LnhtbE2PzU7DMBCE70i8g7VI3Fo7oURtyKaHVlxB9AeJmxtvk4h4&#10;HcVuE94e9wTH2RnNflOsJ9uJKw2+dYyQzBUI4sqZlmuEw/51tgThg2ajO8eE8EMe1uX9XaFz40b+&#10;oOsu1CKWsM81QhNCn0vpq4as9nPXE0fv7AarQ5RDLc2gx1huO5kqlUmrW44fGt3TpqHqe3exCMe3&#10;89fnQr3XW/vcj25Sku1KIj4+JOoFRKAp/IXhhh/RoYxMJ3dh40WHMEuWcUtAWKgUxC2QZvFwQlg9&#10;ZSDLQv5fUP4CUEsDBBQAAAAIAIdO4kAr0c1mvAEAAG0DAAAOAAAAZHJzL2Uyb0RvYy54bWytU0tu&#10;2zAQ3RfIHQjua8pxUNSC5QCFkWyKtkDaA9DUyCIgfsqhLfkC7Q266qb7nsvn6JBSnN8mi26o4Xwe&#10;570Zra4H07EDBNTOVnw+KzgDq1yt7a7i377evH3PGUZpa9k5CxU/AvLr9cWbVe9LuHSt62oIjEAs&#10;lr2veBujL4VA1YKROHMeLAUbF4yMdA07UQfZE7rpxGVRvBO9C7UPTgEieTdjkE+I4TWArmm0go1T&#10;ewM2jqgBOhmJErbaI1/nbpsGVPzcNAiRdRUnpjGf9AjZ23SK9UqWuyB9q9XUgnxNC884GaktPXqG&#10;2sgo2T7oF1BGq+DQNXGmnBEjkawIsZgXz7S5a6WHzIWkRn8WHf8frPp0+BKYrmkT5gvOrDQ08tOv&#10;n6fff09/frDkJIl6jyVl3nnKjcMHN1D6vR/JmZgPTTDpS5wYxUng41lgGCJT5FzOr64KiigKLRbL&#10;YpkHIB6KfcB4C86wZFQ80PyyrPLwESM1Qqn3Kekt62501+UZdvaJgxJHD+QlmKoTj7HfZMVhO0zk&#10;tq4+EreeFqHi+H0vA3C290HvWmojcxWphKaQm5g2Jo358Z3sx3/J+h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cSH3V1wAAAAkBAAAPAAAAAAAAAAEAIAAAACIAAABkcnMvZG93bnJldi54bWxQSwEC&#10;FAAUAAAACACHTuJAK9HNZrwBAABtAwAADgAAAAAAAAABACAAAAAmAQAAZHJzL2Uyb0RvYy54bWxQ&#10;SwUGAAAAAAYABgBZAQAAVAUAAAAA&#10;">
                <v:fill on="f" focussize="0,0"/>
                <v:stroke on="f"/>
                <v:imagedata o:title=""/>
                <o:lock v:ext="edit" aspectratio="f"/>
                <v:textbox>
                  <w:txbxContent>
                    <w:p w14:paraId="12B85E4F">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约定担保事项</w:t>
                      </w:r>
                    </w:p>
                  </w:txbxContent>
                </v:textbox>
              </v:shape>
            </w:pict>
          </mc:Fallback>
        </mc:AlternateContent>
      </w:r>
      <w:r>
        <w:rPr>
          <w:rFonts w:hint="default" w:ascii="Times New Roman" w:hAnsi="Times New Roman" w:cs="Times New Roman"/>
          <w:b/>
          <w:bCs/>
          <w:color w:val="auto"/>
          <w:sz w:val="22"/>
          <w:szCs w:val="22"/>
          <w:highlight w:val="none"/>
        </w:rPr>
        <w:t xml:space="preserve">28.8  </w:t>
      </w:r>
      <w:r>
        <w:rPr>
          <w:rFonts w:hint="default" w:ascii="Times New Roman" w:hAnsi="Times New Roman" w:cs="Times New Roman"/>
          <w:b/>
          <w:bCs/>
          <w:color w:val="auto"/>
          <w:sz w:val="22"/>
          <w:szCs w:val="22"/>
          <w:highlight w:val="none"/>
          <w:u w:val="dotted"/>
        </w:rPr>
        <w:t xml:space="preserve">                                                                             </w:t>
      </w:r>
    </w:p>
    <w:p w14:paraId="03C656DE">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合同双方当事人在专用条款中约定担保内容、方式和责任等事项，并签订担保合同，作为本合同附件。</w:t>
      </w:r>
    </w:p>
    <w:p w14:paraId="51BF6996">
      <w:pPr>
        <w:pStyle w:val="15"/>
        <w:adjustRightInd w:val="0"/>
        <w:snapToGrid w:val="0"/>
        <w:spacing w:line="420" w:lineRule="exact"/>
        <w:ind w:right="-240"/>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24DCB5C3">
      <w:pPr>
        <w:pStyle w:val="15"/>
        <w:tabs>
          <w:tab w:val="left" w:pos="540"/>
        </w:tabs>
        <w:adjustRightInd w:val="0"/>
        <w:snapToGrid w:val="0"/>
        <w:spacing w:before="240" w:beforeLines="100" w:line="420" w:lineRule="exact"/>
        <w:outlineLvl w:val="2"/>
        <w:rPr>
          <w:rFonts w:hint="default" w:ascii="Times New Roman" w:hAnsi="Times New Roman" w:cs="Times New Roman"/>
          <w:b/>
          <w:bCs/>
          <w:color w:val="auto"/>
          <w:sz w:val="22"/>
          <w:szCs w:val="22"/>
          <w:highlight w:val="none"/>
        </w:rPr>
      </w:pPr>
      <w:bookmarkStart w:id="149" w:name="_Toc469384010"/>
      <w:bookmarkStart w:id="150" w:name="_Toc15012"/>
      <w:r>
        <w:rPr>
          <w:rFonts w:hint="default" w:ascii="Times New Roman" w:hAnsi="Times New Roman" w:cs="Times New Roman"/>
          <w:b/>
          <w:bCs/>
          <w:color w:val="auto"/>
          <w:sz w:val="22"/>
          <w:szCs w:val="22"/>
          <w:highlight w:val="none"/>
        </w:rPr>
        <w:t>29  发包人风险</w:t>
      </w:r>
      <w:bookmarkEnd w:id="149"/>
      <w:bookmarkEnd w:id="150"/>
    </w:p>
    <w:p w14:paraId="590789F7">
      <w:pPr>
        <w:pStyle w:val="15"/>
        <w:adjustRightInd w:val="0"/>
        <w:snapToGrid w:val="0"/>
        <w:spacing w:line="420" w:lineRule="exact"/>
        <w:ind w:right="-240"/>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69856" behindDoc="0" locked="0" layoutInCell="1" allowOverlap="1">
                <wp:simplePos x="0" y="0"/>
                <wp:positionH relativeFrom="column">
                  <wp:posOffset>-114300</wp:posOffset>
                </wp:positionH>
                <wp:positionV relativeFrom="paragraph">
                  <wp:posOffset>226695</wp:posOffset>
                </wp:positionV>
                <wp:extent cx="914400" cy="396240"/>
                <wp:effectExtent l="0" t="0" r="0" b="0"/>
                <wp:wrapNone/>
                <wp:docPr id="114" name="文本框 114"/>
                <wp:cNvGraphicFramePr/>
                <a:graphic xmlns:a="http://schemas.openxmlformats.org/drawingml/2006/main">
                  <a:graphicData uri="http://schemas.microsoft.com/office/word/2010/wordprocessingShape">
                    <wps:wsp>
                      <wps:cNvSpPr txBox="1"/>
                      <wps:spPr>
                        <a:xfrm>
                          <a:off x="0" y="0"/>
                          <a:ext cx="914400" cy="396240"/>
                        </a:xfrm>
                        <a:prstGeom prst="rect">
                          <a:avLst/>
                        </a:prstGeom>
                        <a:noFill/>
                        <a:ln>
                          <a:noFill/>
                        </a:ln>
                        <a:effectLst/>
                      </wps:spPr>
                      <wps:txbx>
                        <w:txbxContent>
                          <w:p w14:paraId="048553BE">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发包人承担风险</w:t>
                            </w:r>
                          </w:p>
                        </w:txbxContent>
                      </wps:txbx>
                      <wps:bodyPr wrap="square" upright="1"/>
                    </wps:wsp>
                  </a:graphicData>
                </a:graphic>
              </wp:anchor>
            </w:drawing>
          </mc:Choice>
          <mc:Fallback>
            <w:pict>
              <v:shape id="_x0000_s1026" o:spid="_x0000_s1026" o:spt="202" type="#_x0000_t202" style="position:absolute;left:0pt;margin-left:-9pt;margin-top:17.85pt;height:31.2pt;width:72pt;z-index:251769856;mso-width-relative:page;mso-height-relative:page;" filled="f" stroked="f" coordsize="21600,21600" o:gfxdata="UEsDBAoAAAAAAIdO4kAAAAAAAAAAAAAAAAAEAAAAZHJzL1BLAwQUAAAACACHTuJA4Wjq+NcAAAAJ&#10;AQAADwAAAGRycy9kb3ducmV2LnhtbE2PwW7CMBBE75X4B2sr9QZ2aKEhzYYDVa+tSqFSbyZekqjx&#10;OooNCX+PObXH2RnNvsnXo23FmXrfOEZIZgoEcelMwxXC7uttmoLwQbPRrWNCuJCHdTG5y3Vm3MCf&#10;dN6GSsQS9plGqEPoMil9WZPVfuY64ugdXW91iLKvpOn1EMttK+dKLaXVDccPte5oU1P5uz1ZhP37&#10;8ef7SX1Ur3bRDW5Uku1KIj7cJ+oFRKAx/IXhhh/RoYhMB3di40WLME3SuCUgPC6eQdwC82U8HBBW&#10;aQKyyOX/BcUVUEsDBBQAAAAIAIdO4kDyPU7wvAEAAG0DAAAOAAAAZHJzL2Uyb0RvYy54bWytU0tu&#10;2zAQ3RfIHQjuY8muETSC5QCFkW6KtkDaA9DU0CIgfsqhLfkC7Q266qb7nsvn6JBSnN8mi26o4Xwe&#10;570ZrW4G07EDBNTO1nw+KzkDK12j7a7m377eXr7jDKOwjeichZofAfnN+uLNqvcVLFzrugYCIxCL&#10;Ve9r3sboq6JA2YIROHMeLAWVC0ZEuoZd0QTRE7rpikVZXhW9C40PTgIieTdjkE+I4TWATiktYePk&#10;3oCNI2qATkSihK32yNe5W6VAxs9KIUTW1ZyYxnzSI2Rv01msV6LaBeFbLacWxGtaeMbJCG3p0TPU&#10;RkTB9kG/gDJaBodOxZl0phiJZEWIxbx8ps1dKzxkLiQ1+rPo+P9g5afDl8B0Q5swX3JmhaGRn379&#10;PP3+e/rzgyUnSdR7rCjzzlNuHN67gdLv/UjOxHxQwaQvcWIUJ4GPZ4FhiEyS83q+XJYUkRR6e321&#10;WOYBFA/FPmD8AM6wZNQ80PyyrOLwESM1Qqn3Kekt62511+UZdvaJgxJHD+QlmKoTj7HfZMVhO0zk&#10;tq45EreeFqHm+H0vAnC290HvWmojcy1SCU0hNzFtTBrz4zvZj/+S9T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haOr41wAAAAkBAAAPAAAAAAAAAAEAIAAAACIAAABkcnMvZG93bnJldi54bWxQSwEC&#10;FAAUAAAACACHTuJA8j1O8LwBAABtAwAADgAAAAAAAAABACAAAAAmAQAAZHJzL2Uyb0RvYy54bWxQ&#10;SwUGAAAAAAYABgBZAQAAVAUAAAAA&#10;">
                <v:fill on="f" focussize="0,0"/>
                <v:stroke on="f"/>
                <v:imagedata o:title=""/>
                <o:lock v:ext="edit" aspectratio="f"/>
                <v:textbox>
                  <w:txbxContent>
                    <w:p w14:paraId="048553BE">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发包人承担风险</w:t>
                      </w:r>
                    </w:p>
                  </w:txbxContent>
                </v:textbox>
              </v:shape>
            </w:pict>
          </mc:Fallback>
        </mc:AlternateContent>
      </w:r>
      <w:r>
        <w:rPr>
          <w:rFonts w:hint="default" w:ascii="Times New Roman" w:hAnsi="Times New Roman" w:cs="Times New Roman"/>
          <w:b/>
          <w:bCs/>
          <w:color w:val="auto"/>
          <w:sz w:val="22"/>
          <w:szCs w:val="22"/>
          <w:highlight w:val="none"/>
        </w:rPr>
        <w:t xml:space="preserve">29.1     </w:t>
      </w:r>
    </w:p>
    <w:p w14:paraId="51076753">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发包人应承担本合同中规定应由发包人承担的风险。</w:t>
      </w:r>
    </w:p>
    <w:p w14:paraId="52CB62CA">
      <w:pPr>
        <w:pStyle w:val="15"/>
        <w:adjustRightInd w:val="0"/>
        <w:snapToGrid w:val="0"/>
        <w:spacing w:line="420" w:lineRule="exact"/>
        <w:ind w:right="-240"/>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29.2  </w:t>
      </w:r>
      <w:r>
        <w:rPr>
          <w:rFonts w:hint="default" w:ascii="Times New Roman" w:hAnsi="Times New Roman" w:cs="Times New Roman"/>
          <w:b/>
          <w:bCs/>
          <w:color w:val="auto"/>
          <w:sz w:val="22"/>
          <w:szCs w:val="22"/>
          <w:highlight w:val="none"/>
          <w:u w:val="dotted"/>
        </w:rPr>
        <w:t xml:space="preserve">                                                                             </w:t>
      </w:r>
    </w:p>
    <w:p w14:paraId="043D693B">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70880" behindDoc="0" locked="0" layoutInCell="1" allowOverlap="1">
                <wp:simplePos x="0" y="0"/>
                <wp:positionH relativeFrom="column">
                  <wp:posOffset>-114300</wp:posOffset>
                </wp:positionH>
                <wp:positionV relativeFrom="paragraph">
                  <wp:posOffset>10795</wp:posOffset>
                </wp:positionV>
                <wp:extent cx="914400" cy="356235"/>
                <wp:effectExtent l="0" t="0" r="0" b="0"/>
                <wp:wrapNone/>
                <wp:docPr id="116" name="文本框 116"/>
                <wp:cNvGraphicFramePr/>
                <a:graphic xmlns:a="http://schemas.openxmlformats.org/drawingml/2006/main">
                  <a:graphicData uri="http://schemas.microsoft.com/office/word/2010/wordprocessingShape">
                    <wps:wsp>
                      <wps:cNvSpPr txBox="1"/>
                      <wps:spPr>
                        <a:xfrm>
                          <a:off x="0" y="0"/>
                          <a:ext cx="914400" cy="356235"/>
                        </a:xfrm>
                        <a:prstGeom prst="rect">
                          <a:avLst/>
                        </a:prstGeom>
                        <a:noFill/>
                        <a:ln>
                          <a:noFill/>
                        </a:ln>
                        <a:effectLst/>
                      </wps:spPr>
                      <wps:txbx>
                        <w:txbxContent>
                          <w:p w14:paraId="59AD63FA">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发包人风险</w:t>
                            </w:r>
                          </w:p>
                        </w:txbxContent>
                      </wps:txbx>
                      <wps:bodyPr wrap="square" upright="1"/>
                    </wps:wsp>
                  </a:graphicData>
                </a:graphic>
              </wp:anchor>
            </w:drawing>
          </mc:Choice>
          <mc:Fallback>
            <w:pict>
              <v:shape id="_x0000_s1026" o:spid="_x0000_s1026" o:spt="202" type="#_x0000_t202" style="position:absolute;left:0pt;margin-left:-9pt;margin-top:0.85pt;height:28.05pt;width:72pt;z-index:251770880;mso-width-relative:page;mso-height-relative:page;" filled="f" stroked="f" coordsize="21600,21600" o:gfxdata="UEsDBAoAAAAAAIdO4kAAAAAAAAAAAAAAAAAEAAAAZHJzL1BLAwQUAAAACACHTuJAdRBU2NUAAAAI&#10;AQAADwAAAGRycy9kb3ducmV2LnhtbE2Py07DMBBF90j8gzVI3bV2qj7SNE4XILYg+kBi58bTJCIe&#10;R7HbhL9nuoLl1RndOTffja4VN+xD40lDMlMgkEpvG6o0HA+v0xREiIasaT2hhh8MsCseH3KTWT/Q&#10;B972sRJcQiEzGuoYu0zKUNboTJj5DonZxffORI59JW1vBi53rZwrtZLONMQfatPhc43l9/7qNJze&#10;Ll+fC/VevbhlN/hRSXIbqfXkKVFbEBHH+HcMd31Wh4Kdzv5KNohWwzRJeUtksAZx5/MV57OG5ToF&#10;WeTy/4DiF1BLAwQUAAAACACHTuJAOYaRirwBAABtAwAADgAAAGRycy9lMm9Eb2MueG1srVNLbtsw&#10;EN0X6B0I7mvKTmK0guUAgZFuirZAmgPQ1NAiIH7KoS35Au0Nuuqm+57L5+hQUtw03WSRDTWcz+O8&#10;N6PVdW9bdoCIxruKz2cFZ+CUr43bVfz+y+2bt5xhkq6WrXdQ8SMgv16/frXqQgkL3/i2hsgIxGHZ&#10;hYo3KYVSCFQNWIkzH8BRUPtoZaJr3Ik6yo7QbSsWRbEUnY91iF4BInk3Y5BPiPE5gF5ro2Dj1d6C&#10;SyNqhFYmooSNCcjXQ7dag0qftEZIrK04MU3DSY+Qvc2nWK9kuYsyNEZNLcjntPCEk5XG0aNnqI1M&#10;ku2j+Q/KGhU9ep1mylsxEhkUIRbz4ok2d40MMHAhqTGcRceXg1UfD58jMzVtwnzJmZOWRn768f30&#10;8/fp1zeWnSRRF7CkzLtAuam/8T2lP/iRnJl5r6PNX+LEKE4CH88CQ5+YIue7+eVlQRFFoYur5eLi&#10;KqOIv8UhYnoP3rJsVDzS/AZZ5eEDpjH1ISW/5fytadthhq37x0GYoweGJZiqM4+x32ylfttP5La+&#10;PhK3jhah4vh1LyNwtg/R7BpqY+AqcglNYeh32pg85sd3sh//Jes/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dRBU2NUAAAAIAQAADwAAAAAAAAABACAAAAAiAAAAZHJzL2Rvd25yZXYueG1sUEsBAhQA&#10;FAAAAAgAh07iQDmGkYq8AQAAbQMAAA4AAAAAAAAAAQAgAAAAJAEAAGRycy9lMm9Eb2MueG1sUEsF&#10;BgAAAAAGAAYAWQEAAFIFAAAAAA==&#10;">
                <v:fill on="f" focussize="0,0"/>
                <v:stroke on="f"/>
                <v:imagedata o:title=""/>
                <o:lock v:ext="edit" aspectratio="f"/>
                <v:textbox>
                  <w:txbxContent>
                    <w:p w14:paraId="59AD63FA">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发包人风险</w:t>
                      </w:r>
                    </w:p>
                  </w:txbxContent>
                </v:textbox>
              </v:shape>
            </w:pict>
          </mc:Fallback>
        </mc:AlternateContent>
      </w:r>
      <w:r>
        <w:rPr>
          <w:rFonts w:hint="default" w:ascii="Times New Roman" w:hAnsi="Times New Roman" w:cs="Times New Roman"/>
          <w:color w:val="auto"/>
          <w:sz w:val="22"/>
          <w:szCs w:val="22"/>
          <w:highlight w:val="none"/>
        </w:rPr>
        <w:t>自开工之日起至颁发工程接收证书之日止，发包人风险包括但不限于：</w:t>
      </w:r>
    </w:p>
    <w:p w14:paraId="3DEE3C07">
      <w:pPr>
        <w:pStyle w:val="15"/>
        <w:numPr>
          <w:ilvl w:val="0"/>
          <w:numId w:val="13"/>
        </w:numPr>
        <w:tabs>
          <w:tab w:val="left" w:pos="1080"/>
        </w:tabs>
        <w:adjustRightInd w:val="0"/>
        <w:snapToGrid w:val="0"/>
        <w:spacing w:line="420" w:lineRule="exact"/>
        <w:ind w:left="1619" w:leftChars="771" w:firstLine="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由于永久工程本身或施工而不可避免造成的财产（除工程本身、材料和工程设备和施工设备外）损失或损坏；</w:t>
      </w:r>
    </w:p>
    <w:p w14:paraId="11DE670A">
      <w:pPr>
        <w:pStyle w:val="15"/>
        <w:numPr>
          <w:ilvl w:val="0"/>
          <w:numId w:val="13"/>
        </w:numPr>
        <w:tabs>
          <w:tab w:val="left" w:pos="1080"/>
        </w:tabs>
        <w:adjustRightInd w:val="0"/>
        <w:snapToGrid w:val="0"/>
        <w:spacing w:line="420" w:lineRule="exact"/>
        <w:ind w:left="1619" w:leftChars="771" w:firstLine="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由于发包人工作人员及其相关人员（除承包人外）的疏忽或违规造成的人员伤亡、财产损失或损坏；</w:t>
      </w:r>
    </w:p>
    <w:p w14:paraId="0BF896E1">
      <w:pPr>
        <w:pStyle w:val="15"/>
        <w:numPr>
          <w:ilvl w:val="0"/>
          <w:numId w:val="13"/>
        </w:numPr>
        <w:tabs>
          <w:tab w:val="left" w:pos="1080"/>
        </w:tabs>
        <w:adjustRightInd w:val="0"/>
        <w:snapToGrid w:val="0"/>
        <w:spacing w:line="420" w:lineRule="exact"/>
        <w:ind w:left="2054" w:leftChars="771" w:hanging="435" w:hangingChars="198"/>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由于发包人提前使用或占用永久工程或其部分造成的损失或损坏；</w:t>
      </w:r>
    </w:p>
    <w:p w14:paraId="79256BE2">
      <w:pPr>
        <w:pStyle w:val="15"/>
        <w:numPr>
          <w:ilvl w:val="0"/>
          <w:numId w:val="13"/>
        </w:numPr>
        <w:tabs>
          <w:tab w:val="left" w:pos="1080"/>
        </w:tabs>
        <w:adjustRightInd w:val="0"/>
        <w:snapToGrid w:val="0"/>
        <w:spacing w:line="420" w:lineRule="exact"/>
        <w:ind w:left="1619" w:leftChars="771" w:firstLine="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由于发包人提供或发包人负责的设计造成的对永久工程、材料和工程设备和施工设备的损失或损害；</w:t>
      </w:r>
    </w:p>
    <w:p w14:paraId="54B06DF9">
      <w:pPr>
        <w:pStyle w:val="15"/>
        <w:numPr>
          <w:ilvl w:val="0"/>
          <w:numId w:val="13"/>
        </w:numPr>
        <w:tabs>
          <w:tab w:val="left" w:pos="1080"/>
        </w:tabs>
        <w:adjustRightInd w:val="0"/>
        <w:snapToGrid w:val="0"/>
        <w:spacing w:line="420" w:lineRule="exact"/>
        <w:ind w:left="1619" w:leftChars="771" w:firstLine="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由于地质、邻近建筑物、古树名木和物价上涨等非承包人原因造成施工过程中费用的增加。</w:t>
      </w:r>
    </w:p>
    <w:p w14:paraId="73036FBE">
      <w:pPr>
        <w:pStyle w:val="15"/>
        <w:adjustRightInd w:val="0"/>
        <w:snapToGrid w:val="0"/>
        <w:spacing w:line="420" w:lineRule="exact"/>
        <w:ind w:right="-240"/>
        <w:rPr>
          <w:rFonts w:hint="default" w:ascii="Times New Roman" w:hAnsi="Times New Roman" w:cs="Times New Roman"/>
          <w:color w:val="auto"/>
          <w:sz w:val="22"/>
          <w:szCs w:val="22"/>
          <w:highlight w:val="none"/>
          <w:u w:val="single"/>
        </w:rPr>
      </w:pPr>
      <w:r>
        <w:rPr>
          <w:rFonts w:hint="default" w:ascii="Times New Roman" w:hAnsi="Times New Roman" w:cs="Times New Roman"/>
          <w:color w:val="auto"/>
          <w:sz w:val="22"/>
          <w:szCs w:val="22"/>
          <w:highlight w:val="none"/>
          <w:u w:val="single"/>
        </w:rPr>
        <w:t xml:space="preserve">                                                                                                             </w:t>
      </w:r>
    </w:p>
    <w:p w14:paraId="67D0F5CA">
      <w:pPr>
        <w:pStyle w:val="15"/>
        <w:adjustRightInd w:val="0"/>
        <w:snapToGrid w:val="0"/>
        <w:spacing w:line="420" w:lineRule="exact"/>
        <w:ind w:right="-240"/>
        <w:outlineLvl w:val="2"/>
        <w:rPr>
          <w:rFonts w:hint="default" w:ascii="Times New Roman" w:hAnsi="Times New Roman" w:cs="Times New Roman"/>
          <w:b/>
          <w:bCs/>
          <w:color w:val="auto"/>
          <w:sz w:val="22"/>
          <w:szCs w:val="22"/>
          <w:highlight w:val="none"/>
        </w:rPr>
      </w:pPr>
      <w:bookmarkStart w:id="151" w:name="_Toc30741"/>
      <w:bookmarkStart w:id="152" w:name="_Toc469384011"/>
      <w:r>
        <w:rPr>
          <w:rFonts w:hint="default" w:ascii="Times New Roman" w:hAnsi="Times New Roman" w:cs="Times New Roman"/>
          <w:b/>
          <w:bCs/>
          <w:color w:val="auto"/>
          <w:sz w:val="22"/>
          <w:szCs w:val="22"/>
          <w:highlight w:val="none"/>
        </w:rPr>
        <w:t>30  承包人风险</w:t>
      </w:r>
      <w:bookmarkEnd w:id="151"/>
      <w:bookmarkEnd w:id="152"/>
    </w:p>
    <w:p w14:paraId="03065522">
      <w:pPr>
        <w:pStyle w:val="15"/>
        <w:tabs>
          <w:tab w:val="left" w:pos="1320"/>
          <w:tab w:val="left" w:pos="1440"/>
        </w:tabs>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71904" behindDoc="0" locked="0" layoutInCell="1" allowOverlap="1">
                <wp:simplePos x="0" y="0"/>
                <wp:positionH relativeFrom="column">
                  <wp:posOffset>-133350</wp:posOffset>
                </wp:positionH>
                <wp:positionV relativeFrom="paragraph">
                  <wp:posOffset>254635</wp:posOffset>
                </wp:positionV>
                <wp:extent cx="1028700" cy="427355"/>
                <wp:effectExtent l="0" t="0" r="0" b="0"/>
                <wp:wrapNone/>
                <wp:docPr id="117" name="文本框 117"/>
                <wp:cNvGraphicFramePr/>
                <a:graphic xmlns:a="http://schemas.openxmlformats.org/drawingml/2006/main">
                  <a:graphicData uri="http://schemas.microsoft.com/office/word/2010/wordprocessingShape">
                    <wps:wsp>
                      <wps:cNvSpPr txBox="1"/>
                      <wps:spPr>
                        <a:xfrm>
                          <a:off x="0" y="0"/>
                          <a:ext cx="1028700" cy="427355"/>
                        </a:xfrm>
                        <a:prstGeom prst="rect">
                          <a:avLst/>
                        </a:prstGeom>
                        <a:noFill/>
                        <a:ln>
                          <a:noFill/>
                        </a:ln>
                        <a:effectLst/>
                      </wps:spPr>
                      <wps:txbx>
                        <w:txbxContent>
                          <w:p w14:paraId="6515B570">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承包人承担风</w:t>
                            </w:r>
                          </w:p>
                          <w:p w14:paraId="3663D2CF">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险</w:t>
                            </w:r>
                          </w:p>
                        </w:txbxContent>
                      </wps:txbx>
                      <wps:bodyPr wrap="square" upright="1"/>
                    </wps:wsp>
                  </a:graphicData>
                </a:graphic>
              </wp:anchor>
            </w:drawing>
          </mc:Choice>
          <mc:Fallback>
            <w:pict>
              <v:shape id="_x0000_s1026" o:spid="_x0000_s1026" o:spt="202" type="#_x0000_t202" style="position:absolute;left:0pt;margin-left:-10.5pt;margin-top:20.05pt;height:33.65pt;width:81pt;z-index:251771904;mso-width-relative:page;mso-height-relative:page;" filled="f" stroked="f" coordsize="21600,21600" o:gfxdata="UEsDBAoAAAAAAIdO4kAAAAAAAAAAAAAAAAAEAAAAZHJzL1BLAwQUAAAACACHTuJAmSqsmdYAAAAK&#10;AQAADwAAAGRycy9kb3ducmV2LnhtbE2PS0/DMBCE70j8B2uRuLV2qvAK2fQA4gqiPCRu23ibRMTr&#10;KHab8O9xTnDb3RnNflNuZ9erE4+h84KQrQ0oltrbThqE97en1S2oEEks9V4Y4YcDbKvzs5IK6yd5&#10;5dMuNiqFSCgIoY1xKLQOdcuOwtoPLEk7+NFRTOvYaDvSlMJdrzfGXGtHnaQPLQ380HL9vTs6hI/n&#10;w9dnbl6aR3c1TH42WtydRry8yMw9qMhz/DPDgp/QoUpMe38UG1SPsNpkqUtEyE0GajHky2GfBnOT&#10;g65K/b9C9QtQSwMEFAAAAAgAh07iQNc5yci8AQAAbgMAAA4AAABkcnMvZTJvRG9jLnhtbK1TS27b&#10;MBDdF8gdCO5jyW5TB4LlAIWRboq2QNoD0NTQIsBfObQlXyC5QVfddN9z+RwdSoqbppssuqGG83mc&#10;92a0uumtYQeIqL2r+XxWcgZO+ka7Xc2/frm9vOYMk3CNMN5BzY+A/GZ98WrVhQoWvvWmgcgIxGHV&#10;hZq3KYWqKFC2YAXOfABHQeWjFYmucVc0UXSEbk2xKMu3RedjE6KXgEjezRjkE2J8CaBXSkvYeLm3&#10;4NKIGsGIRJSw1QH5euhWKZDpk1IIiZmaE9M0nPQI2dt8FuuVqHZRhFbLqQXxkhaecbJCO3r0DLUR&#10;SbB91P9AWS2jR6/STHpbjEQGRYjFvHymzV0rAgxcSGoMZ9Hx/8HKj4fPkemGNmG+5MwJSyM/fX84&#10;/fh1+nnPspMk6gJWlHkXKDf173xP6Y9+JGdm3qto85c4MYqTwMezwNAnJnNRubhelhSSFHuzWL6+&#10;usowxZ/qEDG9B29ZNmoeaYCDruLwAdOY+piSH3P+VhszDNG4vxyEOXpg2IKpOhMZG85W6rf9xG7r&#10;myOR62gTao7f9iICZ/sQ9a6lNgayRS6hMQz9TiuT5/z0TvbT32T9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kqrJnWAAAACgEAAA8AAAAAAAAAAQAgAAAAIgAAAGRycy9kb3ducmV2LnhtbFBLAQIU&#10;ABQAAAAIAIdO4kDXOcnIvAEAAG4DAAAOAAAAAAAAAAEAIAAAACUBAABkcnMvZTJvRG9jLnhtbFBL&#10;BQYAAAAABgAGAFkBAABTBQAAAAA=&#10;">
                <v:fill on="f" focussize="0,0"/>
                <v:stroke on="f"/>
                <v:imagedata o:title=""/>
                <o:lock v:ext="edit" aspectratio="f"/>
                <v:textbox>
                  <w:txbxContent>
                    <w:p w14:paraId="6515B570">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承包人承担风</w:t>
                      </w:r>
                    </w:p>
                    <w:p w14:paraId="3663D2CF">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险</w:t>
                      </w:r>
                    </w:p>
                  </w:txbxContent>
                </v:textbox>
              </v:shape>
            </w:pict>
          </mc:Fallback>
        </mc:AlternateContent>
      </w:r>
      <w:r>
        <w:rPr>
          <w:rFonts w:hint="default" w:ascii="Times New Roman" w:hAnsi="Times New Roman" w:cs="Times New Roman"/>
          <w:b/>
          <w:bCs/>
          <w:color w:val="auto"/>
          <w:sz w:val="22"/>
          <w:szCs w:val="22"/>
          <w:highlight w:val="none"/>
        </w:rPr>
        <w:t xml:space="preserve">30.1      </w:t>
      </w:r>
    </w:p>
    <w:p w14:paraId="6D2E9F33">
      <w:pPr>
        <w:pStyle w:val="15"/>
        <w:tabs>
          <w:tab w:val="left" w:pos="1440"/>
        </w:tabs>
        <w:adjustRightInd w:val="0"/>
        <w:snapToGrid w:val="0"/>
        <w:spacing w:line="420" w:lineRule="exact"/>
        <w:ind w:firstLine="1485" w:firstLineChars="675"/>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承包人应承担本合同中规定应由承包人承担的风险。</w:t>
      </w:r>
    </w:p>
    <w:p w14:paraId="7392C796">
      <w:pPr>
        <w:pStyle w:val="15"/>
        <w:tabs>
          <w:tab w:val="left" w:pos="1320"/>
          <w:tab w:val="left" w:pos="1440"/>
        </w:tabs>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72928" behindDoc="0" locked="0" layoutInCell="1" allowOverlap="1">
                <wp:simplePos x="0" y="0"/>
                <wp:positionH relativeFrom="column">
                  <wp:posOffset>-114300</wp:posOffset>
                </wp:positionH>
                <wp:positionV relativeFrom="paragraph">
                  <wp:posOffset>262255</wp:posOffset>
                </wp:positionV>
                <wp:extent cx="914400" cy="307975"/>
                <wp:effectExtent l="0" t="0" r="0" b="0"/>
                <wp:wrapNone/>
                <wp:docPr id="119" name="文本框 119"/>
                <wp:cNvGraphicFramePr/>
                <a:graphic xmlns:a="http://schemas.openxmlformats.org/drawingml/2006/main">
                  <a:graphicData uri="http://schemas.microsoft.com/office/word/2010/wordprocessingShape">
                    <wps:wsp>
                      <wps:cNvSpPr txBox="1"/>
                      <wps:spPr>
                        <a:xfrm>
                          <a:off x="0" y="0"/>
                          <a:ext cx="914400" cy="307975"/>
                        </a:xfrm>
                        <a:prstGeom prst="rect">
                          <a:avLst/>
                        </a:prstGeom>
                        <a:noFill/>
                        <a:ln>
                          <a:noFill/>
                        </a:ln>
                        <a:effectLst/>
                      </wps:spPr>
                      <wps:txbx>
                        <w:txbxContent>
                          <w:p w14:paraId="5E81D531">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承包人风险</w:t>
                            </w:r>
                          </w:p>
                        </w:txbxContent>
                      </wps:txbx>
                      <wps:bodyPr wrap="square" upright="1"/>
                    </wps:wsp>
                  </a:graphicData>
                </a:graphic>
              </wp:anchor>
            </w:drawing>
          </mc:Choice>
          <mc:Fallback>
            <w:pict>
              <v:shape id="_x0000_s1026" o:spid="_x0000_s1026" o:spt="202" type="#_x0000_t202" style="position:absolute;left:0pt;margin-left:-9pt;margin-top:20.65pt;height:24.25pt;width:72pt;z-index:251772928;mso-width-relative:page;mso-height-relative:page;" filled="f" stroked="f" coordsize="21600,21600" o:gfxdata="UEsDBAoAAAAAAIdO4kAAAAAAAAAAAAAAAAAEAAAAZHJzL1BLAwQUAAAACACHTuJA4L5PnNcAAAAJ&#10;AQAADwAAAGRycy9kb3ducmV2LnhtbE2PwW7CMBBE75X4B2uRegM7lKIQsuEA6rVVoa3Um4mXJCJe&#10;R7Eh6d/XnNrj7Ixm3+Tb0bbiRr1vHCMkcwWCuHSm4Qrh4/gyS0H4oNno1jEh/JCHbTF5yHVm3MDv&#10;dDuESsQS9plGqEPoMil9WZPVfu464uidXW91iLKvpOn1EMttKxdKraTVDccPte5oV1N5OVwtwufr&#10;+ftrqd6qvX3uBjcqyXYtER+nidqACDSGvzDc8SM6FJHp5K5svGgRZkkatwSEZfIE4h5YrOLhhJCu&#10;U5BFLv8vKH4BUEsDBBQAAAAIAIdO4kDKCSyzvQEAAG0DAAAOAAAAZHJzL2Uyb0RvYy54bWytU0tu&#10;2zAQ3RfIHQjua8lp2tSC5QCFkW6KtkCSA9DU0CIgfsKhLfkC7Q266qb7nsvnyJBS3DTdZNENNZzP&#10;47w3o+XVYDq2h4Da2ZrPZyVnYKVrtN3W/O72+vV7zjAK24jOWaj5AZBfrc5eLXtfwblrXddAYARi&#10;sep9zdsYfVUUKFswAmfOg6WgcsGISNewLZogekI3XXFelu+K3oXGBycBkbzrMcgnxPASQKeUlrB2&#10;cmfAxhE1QCciUcJWe+Sr3K1SIOMXpRAi62pOTGM+6RGyN+ksVktRbYPwrZZTC+IlLTzjZIS29OgJ&#10;ai2iYLug/4EyWgaHTsWZdKYYiWRFiMW8fKbNTSs8ZC4kNfqT6Pj/YOXn/dfAdEObMF9wZoWhkR9/&#10;fD/+/H389Y0lJ0nUe6wo88ZTbhw+uIHSH/1IzsR8UMGkL3FiFCeBDyeBYYhMknMxv7goKSIp9Ka8&#10;XFy+TSjFn2IfMH4EZ1gyah5ofllWsf+EcUx9TElvWXetuy7PsLN/OQhz9EBegqk68Rj7TVYcNsNE&#10;buOaA3HraRFqjvc7EYCznQ9621IbmWuRSmgKud9pY9KYn97JfvqXrB4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4L5PnNcAAAAJAQAADwAAAAAAAAABACAAAAAiAAAAZHJzL2Rvd25yZXYueG1sUEsB&#10;AhQAFAAAAAgAh07iQMoJLLO9AQAAbQMAAA4AAAAAAAAAAQAgAAAAJgEAAGRycy9lMm9Eb2MueG1s&#10;UEsFBgAAAAAGAAYAWQEAAFUFAAAAAA==&#10;">
                <v:fill on="f" focussize="0,0"/>
                <v:stroke on="f"/>
                <v:imagedata o:title=""/>
                <o:lock v:ext="edit" aspectratio="f"/>
                <v:textbox>
                  <w:txbxContent>
                    <w:p w14:paraId="5E81D531">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承包人风险</w:t>
                      </w:r>
                    </w:p>
                  </w:txbxContent>
                </v:textbox>
              </v:shape>
            </w:pict>
          </mc:Fallback>
        </mc:AlternateContent>
      </w:r>
      <w:r>
        <w:rPr>
          <w:rFonts w:hint="default" w:ascii="Times New Roman" w:hAnsi="Times New Roman" w:cs="Times New Roman"/>
          <w:b/>
          <w:bCs/>
          <w:color w:val="auto"/>
          <w:sz w:val="22"/>
          <w:szCs w:val="22"/>
          <w:highlight w:val="none"/>
        </w:rPr>
        <w:t xml:space="preserve">30.2  </w:t>
      </w:r>
      <w:r>
        <w:rPr>
          <w:rFonts w:hint="default" w:ascii="Times New Roman" w:hAnsi="Times New Roman" w:cs="Times New Roman"/>
          <w:b/>
          <w:bCs/>
          <w:color w:val="auto"/>
          <w:sz w:val="22"/>
          <w:szCs w:val="22"/>
          <w:highlight w:val="none"/>
          <w:u w:val="dotted"/>
        </w:rPr>
        <w:t xml:space="preserve">                                                                                                                </w:t>
      </w:r>
      <w:r>
        <w:rPr>
          <w:rFonts w:hint="default" w:ascii="Times New Roman" w:hAnsi="Times New Roman" w:cs="Times New Roman"/>
          <w:b/>
          <w:bCs/>
          <w:color w:val="auto"/>
          <w:sz w:val="22"/>
          <w:szCs w:val="22"/>
          <w:highlight w:val="none"/>
        </w:rPr>
        <w:t xml:space="preserve">                                                                                     </w:t>
      </w:r>
    </w:p>
    <w:p w14:paraId="11A40D07">
      <w:pPr>
        <w:pStyle w:val="15"/>
        <w:tabs>
          <w:tab w:val="left" w:pos="1440"/>
        </w:tabs>
        <w:adjustRightInd w:val="0"/>
        <w:snapToGrid w:val="0"/>
        <w:spacing w:line="420" w:lineRule="exact"/>
        <w:ind w:left="1619" w:leftChars="771" w:firstLine="2"/>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自开工之日起直到颁发工程接收证书之日止，承包人风险为：除第29条和第31条以外的人员伤亡以及财产（包括但不限于合同工程、材料、工程设备和施工设备）的损失或损坏。</w:t>
      </w:r>
    </w:p>
    <w:p w14:paraId="441219EE">
      <w:pPr>
        <w:pStyle w:val="15"/>
        <w:adjustRightInd w:val="0"/>
        <w:snapToGrid w:val="0"/>
        <w:spacing w:line="420" w:lineRule="exact"/>
        <w:ind w:right="-240"/>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1435C87D">
      <w:pPr>
        <w:pStyle w:val="15"/>
        <w:adjustRightInd w:val="0"/>
        <w:snapToGrid w:val="0"/>
        <w:spacing w:line="420" w:lineRule="exact"/>
        <w:ind w:right="-240"/>
        <w:outlineLvl w:val="2"/>
        <w:rPr>
          <w:rFonts w:hint="default" w:ascii="Times New Roman" w:hAnsi="Times New Roman" w:cs="Times New Roman"/>
          <w:b/>
          <w:bCs/>
          <w:color w:val="auto"/>
          <w:sz w:val="22"/>
          <w:szCs w:val="22"/>
          <w:highlight w:val="none"/>
        </w:rPr>
      </w:pPr>
      <w:bookmarkStart w:id="153" w:name="_Toc469384012"/>
      <w:bookmarkStart w:id="154" w:name="_Toc5984"/>
      <w:r>
        <w:rPr>
          <w:rFonts w:hint="default" w:ascii="Times New Roman" w:hAnsi="Times New Roman" w:cs="Times New Roman"/>
          <w:b/>
          <w:bCs/>
          <w:color w:val="auto"/>
          <w:sz w:val="22"/>
          <w:szCs w:val="22"/>
          <w:highlight w:val="none"/>
        </w:rPr>
        <w:t>31  不可抗力</w:t>
      </w:r>
      <w:bookmarkEnd w:id="153"/>
      <w:bookmarkEnd w:id="154"/>
    </w:p>
    <w:p w14:paraId="5B3BD3DD">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31.1      </w:t>
      </w:r>
    </w:p>
    <w:p w14:paraId="7B154F15">
      <w:pPr>
        <w:pStyle w:val="15"/>
        <w:adjustRightInd w:val="0"/>
        <w:snapToGrid w:val="0"/>
        <w:spacing w:line="420" w:lineRule="exact"/>
        <w:ind w:left="1619"/>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不可抗力是指合同当事人在签订合同时不可预见，在合同履行过程中不可避免且不能克服的自然灾害和社会性突发事件，如地震、海啸、瘟疫、骚乱、戒严、暴动、战争等。</w:t>
      </w:r>
    </w:p>
    <w:p w14:paraId="169AD624">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31.2  </w:t>
      </w:r>
      <w:r>
        <w:rPr>
          <w:rFonts w:hint="default" w:ascii="Times New Roman" w:hAnsi="Times New Roman" w:cs="Times New Roman"/>
          <w:b/>
          <w:bCs/>
          <w:color w:val="auto"/>
          <w:sz w:val="22"/>
          <w:szCs w:val="22"/>
          <w:highlight w:val="none"/>
          <w:u w:val="dotted"/>
        </w:rPr>
        <w:t xml:space="preserve">                                                                                                       </w:t>
      </w:r>
    </w:p>
    <w:p w14:paraId="530FBECD">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73952" behindDoc="0" locked="0" layoutInCell="1" allowOverlap="1">
                <wp:simplePos x="0" y="0"/>
                <wp:positionH relativeFrom="column">
                  <wp:posOffset>-114300</wp:posOffset>
                </wp:positionH>
                <wp:positionV relativeFrom="paragraph">
                  <wp:posOffset>7620</wp:posOffset>
                </wp:positionV>
                <wp:extent cx="914400" cy="492760"/>
                <wp:effectExtent l="0" t="0" r="0" b="0"/>
                <wp:wrapNone/>
                <wp:docPr id="120" name="文本框 120"/>
                <wp:cNvGraphicFramePr/>
                <a:graphic xmlns:a="http://schemas.openxmlformats.org/drawingml/2006/main">
                  <a:graphicData uri="http://schemas.microsoft.com/office/word/2010/wordprocessingShape">
                    <wps:wsp>
                      <wps:cNvSpPr txBox="1"/>
                      <wps:spPr>
                        <a:xfrm>
                          <a:off x="0" y="0"/>
                          <a:ext cx="914400" cy="492760"/>
                        </a:xfrm>
                        <a:prstGeom prst="rect">
                          <a:avLst/>
                        </a:prstGeom>
                        <a:noFill/>
                        <a:ln>
                          <a:noFill/>
                        </a:ln>
                        <a:effectLst/>
                      </wps:spPr>
                      <wps:txbx>
                        <w:txbxContent>
                          <w:p w14:paraId="596BACB4">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不可抗力处理程序</w:t>
                            </w:r>
                          </w:p>
                        </w:txbxContent>
                      </wps:txbx>
                      <wps:bodyPr wrap="square" upright="1"/>
                    </wps:wsp>
                  </a:graphicData>
                </a:graphic>
              </wp:anchor>
            </w:drawing>
          </mc:Choice>
          <mc:Fallback>
            <w:pict>
              <v:shape id="_x0000_s1026" o:spid="_x0000_s1026" o:spt="202" type="#_x0000_t202" style="position:absolute;left:0pt;margin-left:-9pt;margin-top:0.6pt;height:38.8pt;width:72pt;z-index:251773952;mso-width-relative:page;mso-height-relative:page;" filled="f" stroked="f" coordsize="21600,21600" o:gfxdata="UEsDBAoAAAAAAIdO4kAAAAAAAAAAAAAAAAAEAAAAZHJzL1BLAwQUAAAACACHTuJAK+0v7dUAAAAI&#10;AQAADwAAAGRycy9kb3ducmV2LnhtbE2PwU7DMBBE70j9B2srcWvtRFDSEKeHVlxBtIDUmxtvk4h4&#10;HcVuE/6e7QmOo7eafVNsJteJKw6h9aQhWSoQSJW3LdUaPg4viwxEiIas6Tyhhh8MsClnd4XJrR/p&#10;Ha/7WAsuoZAbDU2MfS5lqBp0Jix9j8Ts7AdnIsehlnYwI5e7TqZKraQzLfGHxvS4bbD63l+chs/X&#10;8/HrQb3VO/fYj35Sktxaan0/T9QziIhT/DuGmz6rQ8lOJ38hG0SnYZFkvCUySEHceLrifNLwlGUg&#10;y0L+H1D+AlBLAwQUAAAACACHTuJAlSr9SLsBAABtAwAADgAAAGRycy9lMm9Eb2MueG1srVNLbtsw&#10;EN0X6B0I7mvJhpGPYDlAYaSboi2Q9gA0NbII8FcObckXaG7QVTfd51w+R4eU4qTpJotuqOF8Hue9&#10;Ga1uBqPZAQIqZ2s+n5WcgZWuUXZX829fb99dcYZR2EZoZ6HmR0B+s377ZtX7Chauc7qBwAjEYtX7&#10;mncx+qooUHZgBM6cB0vB1gUjIl3DrmiC6And6GJRlhdF70Ljg5OASN7NGOQTYngNoGtbJWHj5N6A&#10;jSNqAC0iUcJOeeTr3G3bgoyf2xYhMl1zYhrzSY+QvU1nsV6JaheE75ScWhCvaeEFJyOUpUfPUBsR&#10;BdsH9Q+UUTI4dG2cSWeKkUhWhFjMyxfa3HXCQ+ZCUqM/i47/D1Z+OnwJTDW0CQvSxApDIz/9vD/9&#10;ejj9/sGSkyTqPVaUeecpNw7v3UDpj34kZ2I+tMGkL3FiFCew41lgGCKT5LyeL5clRSSFlteLy4uM&#10;XjwV+4DxAzjDklHzQPPLsorDR4zUCKU+pqS3rLtVWucZavuXgxJHD+QlmKoTj7HfZMVhO0zktq45&#10;EreeFqHm+H0vAnC290HtOmojcy1SCU0hNzFtTBrz8zvZz/+S9R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r7S/t1QAAAAgBAAAPAAAAAAAAAAEAIAAAACIAAABkcnMvZG93bnJldi54bWxQSwECFAAU&#10;AAAACACHTuJAlSr9SLsBAABtAwAADgAAAAAAAAABACAAAAAkAQAAZHJzL2Uyb0RvYy54bWxQSwUG&#10;AAAAAAYABgBZAQAAUQUAAAAA&#10;">
                <v:fill on="f" focussize="0,0"/>
                <v:stroke on="f"/>
                <v:imagedata o:title=""/>
                <o:lock v:ext="edit" aspectratio="f"/>
                <v:textbox>
                  <w:txbxContent>
                    <w:p w14:paraId="596BACB4">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不可抗力处理程序</w:t>
                      </w:r>
                    </w:p>
                  </w:txbxContent>
                </v:textbox>
              </v:shape>
            </w:pict>
          </mc:Fallback>
        </mc:AlternateContent>
      </w:r>
      <w:r>
        <w:rPr>
          <w:rFonts w:hint="default" w:ascii="Times New Roman" w:hAnsi="Times New Roman" w:cs="Times New Roman"/>
          <w:color w:val="auto"/>
          <w:sz w:val="22"/>
          <w:szCs w:val="22"/>
          <w:highlight w:val="none"/>
        </w:rPr>
        <w:t>不可抗力事件发生后，承包人应立即书面通知发包人和监理工程师，并在力所能及的条件下迅速采取措施，尽力减少损失，发包人应协助承包人采取相应措施。监理工程师认为应当暂停施工的，承包人应暂停施工。不可抗力事件结束后的7天内，承包人向监理工程师通报受害情况和损失情况，并预计清理和修复的费用，抄送造价工程师。不可抗力事件持续发生，承包人应每隔7天向监理工程师和造价工程师报告一次受害情况。不可抗力事件结束后的28天内，承包人应分别按照第36条、第74条规定索赔工期、费用。</w:t>
      </w:r>
    </w:p>
    <w:p w14:paraId="4830852A">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31.3  </w:t>
      </w:r>
      <w:r>
        <w:rPr>
          <w:rFonts w:hint="default" w:ascii="Times New Roman" w:hAnsi="Times New Roman" w:cs="Times New Roman"/>
          <w:b/>
          <w:bCs/>
          <w:color w:val="auto"/>
          <w:sz w:val="22"/>
          <w:szCs w:val="22"/>
          <w:highlight w:val="none"/>
          <w:u w:val="dotted"/>
        </w:rPr>
        <w:t xml:space="preserve">                                                                                                       </w:t>
      </w:r>
    </w:p>
    <w:p w14:paraId="333A8F65">
      <w:pPr>
        <w:pStyle w:val="15"/>
        <w:adjustRightInd w:val="0"/>
        <w:snapToGrid w:val="0"/>
        <w:spacing w:line="420" w:lineRule="exact"/>
        <w:ind w:left="1619" w:leftChars="771" w:firstLine="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74976" behindDoc="0" locked="0" layoutInCell="1" allowOverlap="1">
                <wp:simplePos x="0" y="0"/>
                <wp:positionH relativeFrom="column">
                  <wp:posOffset>-114300</wp:posOffset>
                </wp:positionH>
                <wp:positionV relativeFrom="paragraph">
                  <wp:posOffset>22225</wp:posOffset>
                </wp:positionV>
                <wp:extent cx="914400" cy="693420"/>
                <wp:effectExtent l="0" t="0" r="0" b="0"/>
                <wp:wrapNone/>
                <wp:docPr id="121" name="文本框 121"/>
                <wp:cNvGraphicFramePr/>
                <a:graphic xmlns:a="http://schemas.openxmlformats.org/drawingml/2006/main">
                  <a:graphicData uri="http://schemas.microsoft.com/office/word/2010/wordprocessingShape">
                    <wps:wsp>
                      <wps:cNvSpPr txBox="1"/>
                      <wps:spPr>
                        <a:xfrm>
                          <a:off x="0" y="0"/>
                          <a:ext cx="914400" cy="693420"/>
                        </a:xfrm>
                        <a:prstGeom prst="rect">
                          <a:avLst/>
                        </a:prstGeom>
                        <a:noFill/>
                        <a:ln>
                          <a:noFill/>
                        </a:ln>
                        <a:effectLst/>
                      </wps:spPr>
                      <wps:txbx>
                        <w:txbxContent>
                          <w:p w14:paraId="7254AE30">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不可抗力引起费用的承担</w:t>
                            </w:r>
                          </w:p>
                        </w:txbxContent>
                      </wps:txbx>
                      <wps:bodyPr wrap="square" upright="1"/>
                    </wps:wsp>
                  </a:graphicData>
                </a:graphic>
              </wp:anchor>
            </w:drawing>
          </mc:Choice>
          <mc:Fallback>
            <w:pict>
              <v:shape id="_x0000_s1026" o:spid="_x0000_s1026" o:spt="202" type="#_x0000_t202" style="position:absolute;left:0pt;margin-left:-9pt;margin-top:1.75pt;height:54.6pt;width:72pt;z-index:251774976;mso-width-relative:page;mso-height-relative:page;" filled="f" stroked="f" coordsize="21600,21600" o:gfxdata="UEsDBAoAAAAAAIdO4kAAAAAAAAAAAAAAAAAEAAAAZHJzL1BLAwQUAAAACACHTuJAaEuuldcAAAAJ&#10;AQAADwAAAGRycy9kb3ducmV2LnhtbE2PzU7DMBCE70i8g7WVuLV2Av0hxOkBxBVEoZV6c+NtEjVe&#10;R7HbhLdne6K3Hc1o9pt8PbpWXLAPjScNyUyBQCq9bajS8PP9Pl2BCNGQNa0n1PCLAdbF/V1uMusH&#10;+sLLJlaCSyhkRkMdY5dJGcoanQkz3yGxd/S9M5FlX0nbm4HLXStTpRbSmYb4Q206fK2xPG3OTsP2&#10;47jfPanP6s3Nu8GPSpJ7llo/TBL1AiLiGP/DcMVndCiY6eDPZINoNUyTFW+JGh7nIK5+umB94CNJ&#10;lyCLXN4uKP4AUEsDBBQAAAAIAIdO4kAkzy4HvAEAAG0DAAAOAAAAZHJzL2Uyb0RvYy54bWytU0tu&#10;2zAQ3RfIHQjuY8muETSC5QCFkW6KtkDaA9DU0CIgfsqhLfkC7Q266qb7nsvn6JBSnN8mi26o4Xwe&#10;570ZrW4G07EDBNTO1nw+KzkDK12j7a7m377eXr7jDKOwjeichZofAfnN+uLNqvcVLFzrugYCIxCL&#10;Ve9r3sboq6JA2YIROHMeLAWVC0ZEuoZd0QTRE7rpikVZXhW9C40PTgIieTdjkE+I4TWATiktYePk&#10;3oCNI2qATkSihK32yNe5W6VAxs9KIUTW1ZyYxnzSI2Rv01msV6LaBeFbLacWxGtaeMbJCG3p0TPU&#10;RkTB9kG/gDJaBodOxZl0phiJZEWIxbx8ps1dKzxkLiQ1+rPo+P9g5afDl8B0Q5uwmHNmhaGRn379&#10;PP3+e/rzgyUnSdR7rCjzzlNuHN67gdLv/UjOxHxQwaQvcWIUJ4GPZ4FhiEyS83q+XJYUkRS6un67&#10;XOQBFA/FPmD8AM6wZNQ80PyyrOLwESM1Qqn3Kekt62511+UZdvaJgxJHD+QlmKoTj7HfZMVhO0zk&#10;tq45EreeFqHm+H0vAnC290HvWmojcy1SCU0hNzFtTBrz4zvZj/+S9T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oS66V1wAAAAkBAAAPAAAAAAAAAAEAIAAAACIAAABkcnMvZG93bnJldi54bWxQSwEC&#10;FAAUAAAACACHTuJAJM8uB7wBAABtAwAADgAAAAAAAAABACAAAAAmAQAAZHJzL2Uyb0RvYy54bWxQ&#10;SwUGAAAAAAYABgBZAQAAVAUAAAAA&#10;">
                <v:fill on="f" focussize="0,0"/>
                <v:stroke on="f"/>
                <v:imagedata o:title=""/>
                <o:lock v:ext="edit" aspectratio="f"/>
                <v:textbox>
                  <w:txbxContent>
                    <w:p w14:paraId="7254AE30">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不可抗力引起费用的承担</w:t>
                      </w:r>
                    </w:p>
                  </w:txbxContent>
                </v:textbox>
              </v:shape>
            </w:pict>
          </mc:Fallback>
        </mc:AlternateContent>
      </w:r>
      <w:r>
        <w:rPr>
          <w:rFonts w:hint="default" w:ascii="Times New Roman" w:hAnsi="Times New Roman" w:cs="Times New Roman"/>
          <w:color w:val="auto"/>
          <w:sz w:val="22"/>
          <w:szCs w:val="22"/>
          <w:highlight w:val="none"/>
        </w:rPr>
        <w:t>因不可抗力事件导致的费用，由合同双方当事人按照下列规定承担，并相应调整合同价款：</w:t>
      </w:r>
    </w:p>
    <w:p w14:paraId="43DDBF3E">
      <w:pPr>
        <w:pStyle w:val="15"/>
        <w:numPr>
          <w:ilvl w:val="0"/>
          <w:numId w:val="14"/>
        </w:numPr>
        <w:tabs>
          <w:tab w:val="left" w:pos="1080"/>
        </w:tabs>
        <w:adjustRightInd w:val="0"/>
        <w:snapToGrid w:val="0"/>
        <w:spacing w:line="420" w:lineRule="exact"/>
        <w:ind w:left="1619" w:leftChars="771" w:firstLine="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永久工程本身的损害、已运至施工场地的材料和工程设备的损害，以及因工程损害导致第三者人员伤亡和财产损失，由发包人承担；</w:t>
      </w:r>
    </w:p>
    <w:p w14:paraId="0F6CA22C">
      <w:pPr>
        <w:pStyle w:val="15"/>
        <w:numPr>
          <w:ilvl w:val="0"/>
          <w:numId w:val="14"/>
        </w:numPr>
        <w:tabs>
          <w:tab w:val="left" w:pos="1080"/>
        </w:tabs>
        <w:adjustRightInd w:val="0"/>
        <w:snapToGrid w:val="0"/>
        <w:spacing w:line="420" w:lineRule="exact"/>
        <w:ind w:left="1619" w:leftChars="771" w:firstLine="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承包人施工设备和用于合同工程的周转材料损坏以及停工损失，由承包人承担；发包人提供的施工设备损坏，由发包人承担；</w:t>
      </w:r>
    </w:p>
    <w:p w14:paraId="207FFD97">
      <w:pPr>
        <w:pStyle w:val="15"/>
        <w:numPr>
          <w:ilvl w:val="0"/>
          <w:numId w:val="14"/>
        </w:numPr>
        <w:tabs>
          <w:tab w:val="left" w:pos="1080"/>
        </w:tabs>
        <w:adjustRightInd w:val="0"/>
        <w:snapToGrid w:val="0"/>
        <w:spacing w:line="420" w:lineRule="exact"/>
        <w:ind w:left="1619" w:leftChars="771"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施工场地内的人员伤亡和本款第</w:t>
      </w:r>
      <w:r>
        <w:rPr>
          <w:rFonts w:hint="default" w:ascii="Times New Roman" w:hAnsi="Times New Roman" w:cs="Times New Roman"/>
          <w:color w:val="auto"/>
          <w:sz w:val="22"/>
          <w:szCs w:val="22"/>
          <w:highlight w:val="none"/>
          <w:lang w:eastAsia="zh-CN"/>
        </w:rPr>
        <w:t>（</w:t>
      </w:r>
      <w:r>
        <w:rPr>
          <w:rFonts w:hint="default" w:ascii="Times New Roman" w:hAnsi="Times New Roman" w:cs="Times New Roman"/>
          <w:color w:val="auto"/>
          <w:sz w:val="22"/>
          <w:szCs w:val="22"/>
          <w:highlight w:val="none"/>
        </w:rPr>
        <w:t>1</w:t>
      </w:r>
      <w:r>
        <w:rPr>
          <w:rFonts w:hint="default" w:ascii="Times New Roman" w:hAnsi="Times New Roman" w:cs="Times New Roman"/>
          <w:color w:val="auto"/>
          <w:sz w:val="22"/>
          <w:szCs w:val="22"/>
          <w:highlight w:val="none"/>
          <w:lang w:eastAsia="zh-CN"/>
        </w:rPr>
        <w:t>）</w:t>
      </w:r>
      <w:r>
        <w:rPr>
          <w:rFonts w:hint="default" w:ascii="Times New Roman" w:hAnsi="Times New Roman" w:cs="Times New Roman"/>
          <w:color w:val="auto"/>
          <w:sz w:val="22"/>
          <w:szCs w:val="22"/>
          <w:highlight w:val="none"/>
        </w:rPr>
        <w:t>点、第</w:t>
      </w:r>
      <w:r>
        <w:rPr>
          <w:rFonts w:hint="default" w:ascii="Times New Roman" w:hAnsi="Times New Roman" w:cs="Times New Roman"/>
          <w:color w:val="auto"/>
          <w:sz w:val="22"/>
          <w:szCs w:val="22"/>
          <w:highlight w:val="none"/>
          <w:lang w:eastAsia="zh-CN"/>
        </w:rPr>
        <w:t>（</w:t>
      </w:r>
      <w:r>
        <w:rPr>
          <w:rFonts w:hint="default" w:ascii="Times New Roman" w:hAnsi="Times New Roman" w:cs="Times New Roman"/>
          <w:color w:val="auto"/>
          <w:sz w:val="22"/>
          <w:szCs w:val="22"/>
          <w:highlight w:val="none"/>
        </w:rPr>
        <w:t>2</w:t>
      </w:r>
      <w:r>
        <w:rPr>
          <w:rFonts w:hint="default" w:ascii="Times New Roman" w:hAnsi="Times New Roman" w:cs="Times New Roman"/>
          <w:color w:val="auto"/>
          <w:sz w:val="22"/>
          <w:szCs w:val="22"/>
          <w:highlight w:val="none"/>
          <w:lang w:eastAsia="zh-CN"/>
        </w:rPr>
        <w:t>）</w:t>
      </w:r>
      <w:r>
        <w:rPr>
          <w:rFonts w:hint="default" w:ascii="Times New Roman" w:hAnsi="Times New Roman" w:cs="Times New Roman"/>
          <w:color w:val="auto"/>
          <w:sz w:val="22"/>
          <w:szCs w:val="22"/>
          <w:highlight w:val="none"/>
        </w:rPr>
        <w:t>点以外财产损失及其相关费用，由合同双方当事人各自承担；</w:t>
      </w:r>
    </w:p>
    <w:p w14:paraId="6EC4627D">
      <w:pPr>
        <w:pStyle w:val="15"/>
        <w:numPr>
          <w:ilvl w:val="0"/>
          <w:numId w:val="14"/>
        </w:numPr>
        <w:tabs>
          <w:tab w:val="left" w:pos="1080"/>
        </w:tabs>
        <w:adjustRightInd w:val="0"/>
        <w:snapToGrid w:val="0"/>
        <w:spacing w:line="420" w:lineRule="exact"/>
        <w:ind w:left="1619" w:leftChars="771" w:firstLine="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停工期间，承包人应监理工程师要求照管工程的费用，由发包人承担；</w:t>
      </w:r>
    </w:p>
    <w:p w14:paraId="75CDD17E">
      <w:pPr>
        <w:pStyle w:val="15"/>
        <w:numPr>
          <w:ilvl w:val="0"/>
          <w:numId w:val="14"/>
        </w:numPr>
        <w:tabs>
          <w:tab w:val="left" w:pos="1080"/>
        </w:tabs>
        <w:adjustRightInd w:val="0"/>
        <w:snapToGrid w:val="0"/>
        <w:spacing w:line="420" w:lineRule="exact"/>
        <w:ind w:left="2056" w:leftChars="772" w:hanging="435" w:hangingChars="198"/>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工程所需的清理、修复费用，由发包人承担。</w:t>
      </w:r>
    </w:p>
    <w:p w14:paraId="0C8175D5">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76000" behindDoc="0" locked="0" layoutInCell="1" allowOverlap="1">
                <wp:simplePos x="0" y="0"/>
                <wp:positionH relativeFrom="column">
                  <wp:posOffset>-114300</wp:posOffset>
                </wp:positionH>
                <wp:positionV relativeFrom="paragraph">
                  <wp:posOffset>247650</wp:posOffset>
                </wp:positionV>
                <wp:extent cx="914400" cy="563245"/>
                <wp:effectExtent l="0" t="0" r="0" b="0"/>
                <wp:wrapNone/>
                <wp:docPr id="122" name="文本框 122"/>
                <wp:cNvGraphicFramePr/>
                <a:graphic xmlns:a="http://schemas.openxmlformats.org/drawingml/2006/main">
                  <a:graphicData uri="http://schemas.microsoft.com/office/word/2010/wordprocessingShape">
                    <wps:wsp>
                      <wps:cNvSpPr txBox="1"/>
                      <wps:spPr>
                        <a:xfrm>
                          <a:off x="0" y="0"/>
                          <a:ext cx="914400" cy="563245"/>
                        </a:xfrm>
                        <a:prstGeom prst="rect">
                          <a:avLst/>
                        </a:prstGeom>
                        <a:noFill/>
                        <a:ln>
                          <a:noFill/>
                        </a:ln>
                        <a:effectLst/>
                      </wps:spPr>
                      <wps:txbx>
                        <w:txbxContent>
                          <w:p w14:paraId="51FC0D30">
                            <w:pPr>
                              <w:spacing w:line="240" w:lineRule="exact"/>
                              <w:rPr>
                                <w:rFonts w:ascii="宋体" w:cs="Times New Roman"/>
                                <w:sz w:val="18"/>
                                <w:szCs w:val="18"/>
                              </w:rPr>
                            </w:pPr>
                            <w:r>
                              <w:rPr>
                                <w:rFonts w:hint="eastAsia" w:ascii="楷体_GB2312" w:hAnsi="宋体" w:eastAsia="楷体_GB2312" w:cs="楷体_GB2312"/>
                                <w:b/>
                                <w:bCs/>
                                <w:color w:val="000000"/>
                                <w:sz w:val="18"/>
                                <w:szCs w:val="18"/>
                              </w:rPr>
                              <w:t>不可抗力引起工期的处理</w:t>
                            </w:r>
                          </w:p>
                        </w:txbxContent>
                      </wps:txbx>
                      <wps:bodyPr wrap="square" upright="1"/>
                    </wps:wsp>
                  </a:graphicData>
                </a:graphic>
              </wp:anchor>
            </w:drawing>
          </mc:Choice>
          <mc:Fallback>
            <w:pict>
              <v:shape id="_x0000_s1026" o:spid="_x0000_s1026" o:spt="202" type="#_x0000_t202" style="position:absolute;left:0pt;margin-left:-9pt;margin-top:19.5pt;height:44.35pt;width:72pt;z-index:251776000;mso-width-relative:page;mso-height-relative:page;" filled="f" stroked="f" coordsize="21600,21600" o:gfxdata="UEsDBAoAAAAAAIdO4kAAAAAAAAAAAAAAAAAEAAAAZHJzL1BLAwQUAAAACACHTuJAk5whodcAAAAK&#10;AQAADwAAAGRycy9kb3ducmV2LnhtbE2PzU7DMBCE70i8g7VIvbV2WuhPiNNDK64gClTqzY23SUS8&#10;jmK3CW/P5gSnndWOZr/JtoNrxA27UHvSkMwUCKTC25pKDZ8fL9M1iBANWdN4Qg0/GGCb399lJrW+&#10;p3e8HWIpOIRCajRUMbaplKGo0Jkw8y0S3y6+cyby2pXSdqbncNfIuVJL6UxN/KEyLe4qLL4PV6fh&#10;6/VyOj6qt3LvntreD0qS20itJw+JegYRcYh/ZhjxGR1yZjr7K9kgGg3TZM1doobFhudomC9ZnEex&#10;WoHMM/m/Qv4LUEsDBBQAAAAIAIdO4kAW0Cm3uwEAAG0DAAAOAAAAZHJzL2Uyb0RvYy54bWytU82O&#10;0zAQviPxDpbvNGnoriBquhKqlgsCpIUHcJ1xY8l/eNwmfQF4A05cuPNcfQ7GSbYsy2UPXJzx/Hye&#10;75vJ+mawhh0hovau4ctFyRk46Vvt9g3//On2xSvOMAnXCuMdNPwEyG82z5+t+1BD5TtvWoiMQBzW&#10;fWh4l1KoiwJlB1bgwgdwFFQ+WpHoGvdFG0VP6NYUVVleF72PbYheAiJ5t1OQz4jxKYBeKS1h6+XB&#10;gksTagQjElHCTgfkm7FbpUCmD0ohJGYaTkzTeNIjZO/yWWzWot5HETot5xbEU1p4xMkK7ejRC9RW&#10;JMEOUf8DZbWMHr1KC+ltMREZFSEWy/KRNnedCDByIakxXETH/wcr3x8/RqZb2oSq4swJSyM/f/92&#10;/vHr/PMry06SqA9YU+ZdoNw0vPEDpd/7kZyZ+aCizV/ixChOAp8uAsOQmCTn6+VqVVJEUujq+mW1&#10;usooxZ/iEDG9BW9ZNhoeaX6jrOL4DtOUep+S33L+VhszztC4vxyEOXlgXIK5OvOY+s1WGnbDTG7n&#10;2xNx62kRGo5fDiICZ4cQ9b6jNkauRS6hKYz9zhuTx/zwTvbDv2Tz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OcIaHXAAAACgEAAA8AAAAAAAAAAQAgAAAAIgAAAGRycy9kb3ducmV2LnhtbFBLAQIU&#10;ABQAAAAIAIdO4kAW0Cm3uwEAAG0DAAAOAAAAAAAAAAEAIAAAACYBAABkcnMvZTJvRG9jLnhtbFBL&#10;BQYAAAAABgAGAFkBAABTBQAAAAA=&#10;">
                <v:fill on="f" focussize="0,0"/>
                <v:stroke on="f"/>
                <v:imagedata o:title=""/>
                <o:lock v:ext="edit" aspectratio="f"/>
                <v:textbox>
                  <w:txbxContent>
                    <w:p w14:paraId="51FC0D30">
                      <w:pPr>
                        <w:spacing w:line="240" w:lineRule="exact"/>
                        <w:rPr>
                          <w:rFonts w:ascii="宋体" w:cs="Times New Roman"/>
                          <w:sz w:val="18"/>
                          <w:szCs w:val="18"/>
                        </w:rPr>
                      </w:pPr>
                      <w:r>
                        <w:rPr>
                          <w:rFonts w:hint="eastAsia" w:ascii="楷体_GB2312" w:hAnsi="宋体" w:eastAsia="楷体_GB2312" w:cs="楷体_GB2312"/>
                          <w:b/>
                          <w:bCs/>
                          <w:color w:val="000000"/>
                          <w:sz w:val="18"/>
                          <w:szCs w:val="18"/>
                        </w:rPr>
                        <w:t>不可抗力引起工期的处理</w:t>
                      </w:r>
                    </w:p>
                  </w:txbxContent>
                </v:textbox>
              </v:shape>
            </w:pict>
          </mc:Fallback>
        </mc:AlternateContent>
      </w:r>
      <w:r>
        <w:rPr>
          <w:rFonts w:hint="default" w:ascii="Times New Roman" w:hAnsi="Times New Roman" w:cs="Times New Roman"/>
          <w:b/>
          <w:bCs/>
          <w:color w:val="auto"/>
          <w:sz w:val="22"/>
          <w:szCs w:val="22"/>
          <w:highlight w:val="none"/>
        </w:rPr>
        <w:t xml:space="preserve">31.4  </w:t>
      </w:r>
      <w:r>
        <w:rPr>
          <w:rFonts w:hint="default" w:ascii="Times New Roman" w:hAnsi="Times New Roman" w:cs="Times New Roman"/>
          <w:b/>
          <w:bCs/>
          <w:color w:val="auto"/>
          <w:sz w:val="22"/>
          <w:szCs w:val="22"/>
          <w:highlight w:val="none"/>
          <w:u w:val="dotted"/>
        </w:rPr>
        <w:t xml:space="preserve">                                                                                                        </w:t>
      </w:r>
    </w:p>
    <w:p w14:paraId="52CAFCCA">
      <w:pPr>
        <w:pStyle w:val="15"/>
        <w:adjustRightInd w:val="0"/>
        <w:snapToGrid w:val="0"/>
        <w:spacing w:line="420" w:lineRule="exact"/>
        <w:ind w:left="1619" w:leftChars="771"/>
        <w:rPr>
          <w:rFonts w:hint="default" w:ascii="Times New Roman" w:hAnsi="Times New Roman" w:cs="Times New Roman"/>
          <w:dstrike/>
          <w:color w:val="auto"/>
          <w:sz w:val="22"/>
          <w:szCs w:val="22"/>
          <w:highlight w:val="none"/>
        </w:rPr>
      </w:pPr>
      <w:r>
        <w:rPr>
          <w:rFonts w:hint="default" w:ascii="Times New Roman" w:hAnsi="Times New Roman" w:cs="Times New Roman"/>
          <w:color w:val="auto"/>
          <w:sz w:val="22"/>
          <w:szCs w:val="22"/>
          <w:highlight w:val="none"/>
        </w:rPr>
        <w:t>因发生不可抗力事件导致工期延误的，工期相应顺延；不能按期竣工的，承包人无需为此支付任何误期赔偿费。发包人要求赶工的，承包人应采取赶工措施，赶工费用由发包人支付。</w:t>
      </w:r>
    </w:p>
    <w:p w14:paraId="1DFB8BB3">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77024" behindDoc="0" locked="0" layoutInCell="1" allowOverlap="1">
                <wp:simplePos x="0" y="0"/>
                <wp:positionH relativeFrom="column">
                  <wp:posOffset>-114300</wp:posOffset>
                </wp:positionH>
                <wp:positionV relativeFrom="paragraph">
                  <wp:posOffset>247650</wp:posOffset>
                </wp:positionV>
                <wp:extent cx="914400" cy="563245"/>
                <wp:effectExtent l="0" t="0" r="0" b="0"/>
                <wp:wrapNone/>
                <wp:docPr id="123" name="文本框 123"/>
                <wp:cNvGraphicFramePr/>
                <a:graphic xmlns:a="http://schemas.openxmlformats.org/drawingml/2006/main">
                  <a:graphicData uri="http://schemas.microsoft.com/office/word/2010/wordprocessingShape">
                    <wps:wsp>
                      <wps:cNvSpPr txBox="1"/>
                      <wps:spPr>
                        <a:xfrm>
                          <a:off x="0" y="0"/>
                          <a:ext cx="914400" cy="563245"/>
                        </a:xfrm>
                        <a:prstGeom prst="rect">
                          <a:avLst/>
                        </a:prstGeom>
                        <a:noFill/>
                        <a:ln>
                          <a:noFill/>
                        </a:ln>
                        <a:effectLst/>
                      </wps:spPr>
                      <wps:txbx>
                        <w:txbxContent>
                          <w:p w14:paraId="5AF883D7">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延迟履约发生不可抗力的责任</w:t>
                            </w:r>
                          </w:p>
                        </w:txbxContent>
                      </wps:txbx>
                      <wps:bodyPr wrap="square" upright="1"/>
                    </wps:wsp>
                  </a:graphicData>
                </a:graphic>
              </wp:anchor>
            </w:drawing>
          </mc:Choice>
          <mc:Fallback>
            <w:pict>
              <v:shape id="_x0000_s1026" o:spid="_x0000_s1026" o:spt="202" type="#_x0000_t202" style="position:absolute;left:0pt;margin-left:-9pt;margin-top:19.5pt;height:44.35pt;width:72pt;z-index:251777024;mso-width-relative:page;mso-height-relative:page;" filled="f" stroked="f" coordsize="21600,21600" o:gfxdata="UEsDBAoAAAAAAIdO4kAAAAAAAAAAAAAAAAAEAAAAZHJzL1BLAwQUAAAACACHTuJAk5whodcAAAAK&#10;AQAADwAAAGRycy9kb3ducmV2LnhtbE2PzU7DMBCE70i8g7VIvbV2WuhPiNNDK64gClTqzY23SUS8&#10;jmK3CW/P5gSnndWOZr/JtoNrxA27UHvSkMwUCKTC25pKDZ8fL9M1iBANWdN4Qg0/GGCb399lJrW+&#10;p3e8HWIpOIRCajRUMbaplKGo0Jkw8y0S3y6+cyby2pXSdqbncNfIuVJL6UxN/KEyLe4qLL4PV6fh&#10;6/VyOj6qt3LvntreD0qS20itJw+JegYRcYh/ZhjxGR1yZjr7K9kgGg3TZM1doobFhudomC9ZnEex&#10;WoHMM/m/Qv4LUEsDBBQAAAAIAIdO4kDkL+tLvAEAAG0DAAAOAAAAZHJzL2Uyb0RvYy54bWytU0tu&#10;2zAQ3RfoHQjua8qOE7SC5QCBkW6KtkCaA9DU0CIgfsqhLfkC7Q266qb7nsvn6FBS3DTdZJENNZzP&#10;47w3o9V1b1t2gIjGu4rPZwVn4JSvjdtV/P7L7Zu3nGGSrpatd1DxIyC/Xr9+tepCCQvf+LaGyAjE&#10;YdmFijcphVIIVA1YiTMfwFFQ+2hlomvciTrKjtBtKxZFcSU6H+sQvQJE8m7GIJ8Q43MAvdZGwcar&#10;vQWXRtQIrUxECRsTkK+HbrUGlT5pjZBYW3FimoaTHiF7m0+xXslyF2VojJpakM9p4QknK42jR89Q&#10;G5kk20fzH5Q1Knr0Os2Ut2IkMihCLObFE23uGhlg4EJSYziLji8Hqz4ePkdmatqExQVnTloa+enH&#10;99PP36df31h2kkRdwJIy7wLlpv7G95T+4EdyZua9jjZ/iROjOAl8PAsMfWKKnO/my2VBEUWhy6uL&#10;xfIyo4i/xSFieg/esmxUPNL8Blnl4QOmMfUhJb/l/K1p22GGrfvHQZijB4YlmKozj7HfbKV+20/k&#10;tr4+EreOFqHi+HUvI3C2D9HsGmpj4CpyCU1h6HfamDzmx3eyH/8l6z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TnCGh1wAAAAoBAAAPAAAAAAAAAAEAIAAAACIAAABkcnMvZG93bnJldi54bWxQSwEC&#10;FAAUAAAACACHTuJA5C/rS7wBAABtAwAADgAAAAAAAAABACAAAAAmAQAAZHJzL2Uyb0RvYy54bWxQ&#10;SwUGAAAAAAYABgBZAQAAVAUAAAAA&#10;">
                <v:fill on="f" focussize="0,0"/>
                <v:stroke on="f"/>
                <v:imagedata o:title=""/>
                <o:lock v:ext="edit" aspectratio="f"/>
                <v:textbox>
                  <w:txbxContent>
                    <w:p w14:paraId="5AF883D7">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延迟履约发生不可抗力的责任</w:t>
                      </w:r>
                    </w:p>
                  </w:txbxContent>
                </v:textbox>
              </v:shape>
            </w:pict>
          </mc:Fallback>
        </mc:AlternateContent>
      </w:r>
      <w:r>
        <w:rPr>
          <w:rFonts w:hint="default" w:ascii="Times New Roman" w:hAnsi="Times New Roman" w:cs="Times New Roman"/>
          <w:b/>
          <w:bCs/>
          <w:color w:val="auto"/>
          <w:sz w:val="22"/>
          <w:szCs w:val="22"/>
          <w:highlight w:val="none"/>
        </w:rPr>
        <w:t xml:space="preserve">31.5 </w:t>
      </w:r>
      <w:r>
        <w:rPr>
          <w:rFonts w:hint="default" w:ascii="Times New Roman" w:hAnsi="Times New Roman" w:cs="Times New Roman"/>
          <w:b/>
          <w:bCs/>
          <w:color w:val="auto"/>
          <w:sz w:val="22"/>
          <w:szCs w:val="22"/>
          <w:highlight w:val="none"/>
          <w:u w:val="dotted"/>
        </w:rPr>
        <w:t xml:space="preserve">                                                                                                        </w:t>
      </w:r>
    </w:p>
    <w:p w14:paraId="3C06BECF">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合同任何一方当事人延迟履行合同后发生不可抗力事件的，不能免除另一方当事人因不可抗力造成损失的责任。</w:t>
      </w:r>
    </w:p>
    <w:p w14:paraId="4EA41AF5">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78048" behindDoc="0" locked="0" layoutInCell="1" allowOverlap="1">
                <wp:simplePos x="0" y="0"/>
                <wp:positionH relativeFrom="column">
                  <wp:posOffset>-114300</wp:posOffset>
                </wp:positionH>
                <wp:positionV relativeFrom="paragraph">
                  <wp:posOffset>247650</wp:posOffset>
                </wp:positionV>
                <wp:extent cx="914400" cy="563245"/>
                <wp:effectExtent l="0" t="0" r="0" b="0"/>
                <wp:wrapNone/>
                <wp:docPr id="124" name="文本框 124"/>
                <wp:cNvGraphicFramePr/>
                <a:graphic xmlns:a="http://schemas.openxmlformats.org/drawingml/2006/main">
                  <a:graphicData uri="http://schemas.microsoft.com/office/word/2010/wordprocessingShape">
                    <wps:wsp>
                      <wps:cNvSpPr txBox="1"/>
                      <wps:spPr>
                        <a:xfrm>
                          <a:off x="0" y="0"/>
                          <a:ext cx="914400" cy="563245"/>
                        </a:xfrm>
                        <a:prstGeom prst="rect">
                          <a:avLst/>
                        </a:prstGeom>
                        <a:noFill/>
                        <a:ln>
                          <a:noFill/>
                        </a:ln>
                        <a:effectLst/>
                      </wps:spPr>
                      <wps:txbx>
                        <w:txbxContent>
                          <w:p w14:paraId="39F98BC7">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避免和减少不可抗力的损失</w:t>
                            </w:r>
                          </w:p>
                        </w:txbxContent>
                      </wps:txbx>
                      <wps:bodyPr wrap="square" upright="1"/>
                    </wps:wsp>
                  </a:graphicData>
                </a:graphic>
              </wp:anchor>
            </w:drawing>
          </mc:Choice>
          <mc:Fallback>
            <w:pict>
              <v:shape id="_x0000_s1026" o:spid="_x0000_s1026" o:spt="202" type="#_x0000_t202" style="position:absolute;left:0pt;margin-left:-9pt;margin-top:19.5pt;height:44.35pt;width:72pt;z-index:251778048;mso-width-relative:page;mso-height-relative:page;" filled="f" stroked="f" coordsize="21600,21600" o:gfxdata="UEsDBAoAAAAAAIdO4kAAAAAAAAAAAAAAAAAEAAAAZHJzL1BLAwQUAAAACACHTuJAk5whodcAAAAK&#10;AQAADwAAAGRycy9kb3ducmV2LnhtbE2PzU7DMBCE70i8g7VIvbV2WuhPiNNDK64gClTqzY23SUS8&#10;jmK3CW/P5gSnndWOZr/JtoNrxA27UHvSkMwUCKTC25pKDZ8fL9M1iBANWdN4Qg0/GGCb399lJrW+&#10;p3e8HWIpOIRCajRUMbaplKGo0Jkw8y0S3y6+cyby2pXSdqbncNfIuVJL6UxN/KEyLe4qLL4PV6fh&#10;6/VyOj6qt3LvntreD0qS20itJw+JegYRcYh/ZhjxGR1yZjr7K9kgGg3TZM1doobFhudomC9ZnEex&#10;WoHMM/m/Qv4LUEsDBBQAAAAIAIdO4kD52jTQvAEAAG0DAAAOAAAAZHJzL2Uyb0RvYy54bWytU0tu&#10;2zAQ3RfIHQjua8muE7SC5QCFkWyKtkDaA9DU0CLAXzm0JV8guUFX3XTfc/kcHUqKm6abLLqhhvN5&#10;nPdmtLrurWEHiKi9q/l8VnIGTvpGu13Nv365ef2WM0zCNcJ4BzU/AvLr9cWrVRcqWPjWmwYiIxCH&#10;VRdq3qYUqqJA2YIVOPMBHAWVj1YkusZd0UTREbo1xaIsr4rOxyZELwGRvJsxyCfE+BJAr5SWsPFy&#10;b8GlETWCEYkoYasD8vXQrVIg0yelEBIzNSemaTjpEbK3+SzWK1HtogitllML4iUtPONkhXb06Blq&#10;I5Jg+6j/gbJaRo9epZn0thiJDIoQi3n5TJu7VgQYuJDUGM6i4/+DlR8PnyPTDW3CYsmZE5ZGfvr+&#10;cPrx6/TznmUnSdQFrCjzLlBu6t/7ntIf/UjOzLxX0eYvcWIUJ4GPZ4GhT0yS8918uSwpIil0efVm&#10;sbzMKMWf4hAx3YK3LBs1jzS/QVZx+IBpTH1MyW85f6ONGWZo3F8Owhw9MCzBVJ15jP1mK/XbfiK3&#10;9c2RuHW0CDXHb3sRgbN9iHrXUhsD1yKX0BSGfqeNyWN+eif76V+y/g1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TnCGh1wAAAAoBAAAPAAAAAAAAAAEAIAAAACIAAABkcnMvZG93bnJldi54bWxQSwEC&#10;FAAUAAAACACHTuJA+do00LwBAABtAwAADgAAAAAAAAABACAAAAAmAQAAZHJzL2Uyb0RvYy54bWxQ&#10;SwUGAAAAAAYABgBZAQAAVAUAAAAA&#10;">
                <v:fill on="f" focussize="0,0"/>
                <v:stroke on="f"/>
                <v:imagedata o:title=""/>
                <o:lock v:ext="edit" aspectratio="f"/>
                <v:textbox>
                  <w:txbxContent>
                    <w:p w14:paraId="39F98BC7">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避免和减少不可抗力的损失</w:t>
                      </w:r>
                    </w:p>
                  </w:txbxContent>
                </v:textbox>
              </v:shape>
            </w:pict>
          </mc:Fallback>
        </mc:AlternateContent>
      </w:r>
      <w:r>
        <w:rPr>
          <w:rFonts w:hint="default" w:ascii="Times New Roman" w:hAnsi="Times New Roman" w:cs="Times New Roman"/>
          <w:b/>
          <w:bCs/>
          <w:color w:val="auto"/>
          <w:sz w:val="22"/>
          <w:szCs w:val="22"/>
          <w:highlight w:val="none"/>
        </w:rPr>
        <w:t xml:space="preserve">31.6 </w:t>
      </w:r>
      <w:r>
        <w:rPr>
          <w:rFonts w:hint="default" w:ascii="Times New Roman" w:hAnsi="Times New Roman" w:cs="Times New Roman"/>
          <w:b/>
          <w:bCs/>
          <w:color w:val="auto"/>
          <w:sz w:val="22"/>
          <w:szCs w:val="22"/>
          <w:highlight w:val="none"/>
          <w:u w:val="dotted"/>
        </w:rPr>
        <w:t xml:space="preserve">                                                                                                        </w:t>
      </w:r>
    </w:p>
    <w:p w14:paraId="2636377E">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不可抗力事件发生后，合同双方当事人应采取措施尽量避免和减少由此发生的损失。因合同任何一方当事人没有采取有效措施而导致损失扩大的，则损失扩大部分由其自身承担。</w:t>
      </w:r>
    </w:p>
    <w:p w14:paraId="41564316">
      <w:pPr>
        <w:pStyle w:val="15"/>
        <w:adjustRightInd w:val="0"/>
        <w:snapToGrid w:val="0"/>
        <w:spacing w:line="420" w:lineRule="exact"/>
        <w:rPr>
          <w:rFonts w:hint="default" w:ascii="Times New Roman" w:hAnsi="Times New Roman" w:cs="Times New Roman"/>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r>
        <w:rPr>
          <w:rFonts w:hint="default" w:ascii="Times New Roman" w:hAnsi="Times New Roman" w:cs="Times New Roman"/>
          <w:color w:val="auto"/>
          <w:sz w:val="22"/>
          <w:szCs w:val="22"/>
          <w:highlight w:val="none"/>
          <w:u w:val="single"/>
        </w:rPr>
        <w:t xml:space="preserve">        </w:t>
      </w:r>
    </w:p>
    <w:p w14:paraId="7FEABD5A">
      <w:pPr>
        <w:pStyle w:val="15"/>
        <w:tabs>
          <w:tab w:val="left" w:pos="540"/>
        </w:tabs>
        <w:adjustRightInd w:val="0"/>
        <w:snapToGrid w:val="0"/>
        <w:spacing w:before="240" w:beforeLines="100" w:line="420" w:lineRule="exact"/>
        <w:outlineLvl w:val="2"/>
        <w:rPr>
          <w:rFonts w:hint="default" w:ascii="Times New Roman" w:hAnsi="Times New Roman" w:cs="Times New Roman"/>
          <w:b/>
          <w:bCs/>
          <w:color w:val="auto"/>
          <w:sz w:val="22"/>
          <w:szCs w:val="22"/>
          <w:highlight w:val="none"/>
        </w:rPr>
      </w:pPr>
      <w:bookmarkStart w:id="155" w:name="_Toc14933"/>
      <w:bookmarkStart w:id="156" w:name="_Toc469384013"/>
      <w:r>
        <w:rPr>
          <w:rFonts w:hint="default" w:ascii="Times New Roman" w:hAnsi="Times New Roman" w:cs="Times New Roman"/>
          <w:b/>
          <w:bCs/>
          <w:color w:val="auto"/>
          <w:sz w:val="22"/>
          <w:szCs w:val="22"/>
          <w:highlight w:val="none"/>
        </w:rPr>
        <w:t>32  保险</w:t>
      </w:r>
      <w:bookmarkEnd w:id="155"/>
      <w:bookmarkEnd w:id="156"/>
    </w:p>
    <w:p w14:paraId="4341347F">
      <w:pPr>
        <w:pStyle w:val="15"/>
        <w:tabs>
          <w:tab w:val="left" w:pos="1320"/>
        </w:tabs>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32.1      </w:t>
      </w:r>
    </w:p>
    <w:p w14:paraId="0C696ED5">
      <w:pPr>
        <w:pStyle w:val="15"/>
        <w:adjustRightInd w:val="0"/>
        <w:snapToGrid w:val="0"/>
        <w:spacing w:line="420" w:lineRule="exact"/>
        <w:ind w:firstLine="1485" w:firstLineChars="675"/>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79072" behindDoc="0" locked="0" layoutInCell="1" allowOverlap="1">
                <wp:simplePos x="0" y="0"/>
                <wp:positionH relativeFrom="column">
                  <wp:posOffset>-114300</wp:posOffset>
                </wp:positionH>
                <wp:positionV relativeFrom="paragraph">
                  <wp:posOffset>7620</wp:posOffset>
                </wp:positionV>
                <wp:extent cx="1028700" cy="396240"/>
                <wp:effectExtent l="0" t="0" r="0" b="0"/>
                <wp:wrapNone/>
                <wp:docPr id="125" name="文本框 125"/>
                <wp:cNvGraphicFramePr/>
                <a:graphic xmlns:a="http://schemas.openxmlformats.org/drawingml/2006/main">
                  <a:graphicData uri="http://schemas.microsoft.com/office/word/2010/wordprocessingShape">
                    <wps:wsp>
                      <wps:cNvSpPr txBox="1"/>
                      <wps:spPr>
                        <a:xfrm>
                          <a:off x="0" y="0"/>
                          <a:ext cx="1028700" cy="396240"/>
                        </a:xfrm>
                        <a:prstGeom prst="rect">
                          <a:avLst/>
                        </a:prstGeom>
                        <a:noFill/>
                        <a:ln>
                          <a:noFill/>
                        </a:ln>
                        <a:effectLst/>
                      </wps:spPr>
                      <wps:txbx>
                        <w:txbxContent>
                          <w:p w14:paraId="1254F949">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发包人办理保</w:t>
                            </w:r>
                          </w:p>
                          <w:p w14:paraId="50475384">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险</w:t>
                            </w:r>
                          </w:p>
                        </w:txbxContent>
                      </wps:txbx>
                      <wps:bodyPr wrap="square" upright="1"/>
                    </wps:wsp>
                  </a:graphicData>
                </a:graphic>
              </wp:anchor>
            </w:drawing>
          </mc:Choice>
          <mc:Fallback>
            <w:pict>
              <v:shape id="_x0000_s1026" o:spid="_x0000_s1026" o:spt="202" type="#_x0000_t202" style="position:absolute;left:0pt;margin-left:-9pt;margin-top:0.6pt;height:31.2pt;width:81pt;z-index:251779072;mso-width-relative:page;mso-height-relative:page;" filled="f" stroked="f" coordsize="21600,21600" o:gfxdata="UEsDBAoAAAAAAIdO4kAAAAAAAAAAAAAAAAAEAAAAZHJzL1BLAwQUAAAACACHTuJA+MnwRtUAAAAI&#10;AQAADwAAAGRycy9kb3ducmV2LnhtbE2Py27CMBBF95X4B2uQugM7NI1oGocFqNui0ofUnYmHJGo8&#10;jmJDwt93WLXLqzO6c26xmVwnLjiE1pOGZKlAIFXetlRr+Hh/WaxBhGjIms4TarhigE05uytMbv1I&#10;b3g5xFpwCYXcaGhi7HMpQ9WgM2HpeyRmJz84EzkOtbSDGbncdXKlVCadaYk/NKbHbYPVz+HsNHy+&#10;nr6/UrWvd+6xH/2kJLknqfX9PFHPICJO8e8YbvqsDiU7Hf2ZbBCdhkWy5i2RwQrEjacp56OG7CED&#10;WRby/4DyF1BLAwQUAAAACACHTuJArmjLtL0BAABuAwAADgAAAGRycy9lMm9Eb2MueG1srVPNbtQw&#10;EL4j9R0s37tJQykl2mwltCoXBEiFB/A6k40l/9Xj3WRfAN6AExfuPNc+B2MnXUq59MDFGc/P5/m+&#10;mSxvRqPZHgIqZxt+sSg5Aytdq+y24V8+355fc4ZR2FZoZ6HhB0B+szp7sRx8DZXrnW4hMAKxWA++&#10;4X2Mvi4KlD0YgQvnwVKwc8GISNewLdogBkI3uqjK8qoYXGh9cBIQybuegnxGDM8BdF2nJKyd3Bmw&#10;cUINoEUkStgrj3yVu+06kPFj1yFEphtOTGM+6RGyN+ksVktRb4PwvZJzC+I5LTzhZISy9OgJai2i&#10;YLug/oEySgaHrosL6UwxEcmKEIuL8ok2d73wkLmQ1OhPouP/g5Uf9p8CUy1tQvWKMysMjfz4/dvx&#10;x6/jz68sOUmiwWNNmXeecuP41o2U/uBHcibmYxdM+hInRnES+HASGMbIZCoqq+vXJYUkxV6+uaou&#10;8wSKP9U+YHwHzrBkNDzQALOuYv8eI3VCqQ8p6THrbpXWeYja/uWgxMkDeQvm6kRkajhZcdyMM7uN&#10;aw9EbqBNaDje70QAznY+qG1PbWSyRSqhMeQm5pVJc358J/vxb7L6D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PjJ8EbVAAAACAEAAA8AAAAAAAAAAQAgAAAAIgAAAGRycy9kb3ducmV2LnhtbFBLAQIU&#10;ABQAAAAIAIdO4kCuaMu0vQEAAG4DAAAOAAAAAAAAAAEAIAAAACQBAABkcnMvZTJvRG9jLnhtbFBL&#10;BQYAAAAABgAGAFkBAABTBQAAAAA=&#10;">
                <v:fill on="f" focussize="0,0"/>
                <v:stroke on="f"/>
                <v:imagedata o:title=""/>
                <o:lock v:ext="edit" aspectratio="f"/>
                <v:textbox>
                  <w:txbxContent>
                    <w:p w14:paraId="1254F949">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发包人办理保</w:t>
                      </w:r>
                    </w:p>
                    <w:p w14:paraId="50475384">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险</w:t>
                      </w:r>
                    </w:p>
                  </w:txbxContent>
                </v:textbox>
              </v:shape>
            </w:pict>
          </mc:Fallback>
        </mc:AlternateContent>
      </w:r>
      <w:r>
        <w:rPr>
          <w:rFonts w:hint="default" w:ascii="Times New Roman" w:hAnsi="Times New Roman" w:cs="Times New Roman"/>
          <w:color w:val="auto"/>
          <w:sz w:val="22"/>
          <w:szCs w:val="22"/>
          <w:highlight w:val="none"/>
        </w:rPr>
        <w:t>发包人应按照下列规定办理保险，并支付保险费：</w:t>
      </w:r>
    </w:p>
    <w:p w14:paraId="0233A3AC">
      <w:pPr>
        <w:pStyle w:val="15"/>
        <w:numPr>
          <w:ilvl w:val="0"/>
          <w:numId w:val="15"/>
        </w:numPr>
        <w:tabs>
          <w:tab w:val="left" w:pos="1080"/>
          <w:tab w:val="left" w:pos="1980"/>
        </w:tabs>
        <w:adjustRightInd w:val="0"/>
        <w:snapToGrid w:val="0"/>
        <w:spacing w:line="420" w:lineRule="exact"/>
        <w:ind w:left="1619" w:leftChars="771"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工程开工前，为合同工程办理建筑工程一切险、安装工程一切险；</w:t>
      </w:r>
    </w:p>
    <w:p w14:paraId="682948DF">
      <w:pPr>
        <w:pStyle w:val="15"/>
        <w:numPr>
          <w:ilvl w:val="0"/>
          <w:numId w:val="15"/>
        </w:numPr>
        <w:tabs>
          <w:tab w:val="left" w:pos="540"/>
          <w:tab w:val="left" w:pos="1080"/>
          <w:tab w:val="left" w:pos="1980"/>
        </w:tabs>
        <w:adjustRightInd w:val="0"/>
        <w:snapToGrid w:val="0"/>
        <w:spacing w:line="420" w:lineRule="exact"/>
        <w:ind w:left="1617" w:leftChars="770"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工程开工前，为施工场地内的自有人员（包括监理工程师、造价工程师在内）办理工伤保险、意外伤害保险；</w:t>
      </w:r>
    </w:p>
    <w:p w14:paraId="51DB6B63">
      <w:pPr>
        <w:pStyle w:val="15"/>
        <w:numPr>
          <w:ilvl w:val="0"/>
          <w:numId w:val="15"/>
        </w:numPr>
        <w:tabs>
          <w:tab w:val="left" w:pos="540"/>
          <w:tab w:val="left" w:pos="1080"/>
          <w:tab w:val="left" w:pos="1980"/>
        </w:tabs>
        <w:adjustRightInd w:val="0"/>
        <w:snapToGrid w:val="0"/>
        <w:spacing w:line="420" w:lineRule="exact"/>
        <w:ind w:left="2059" w:leftChars="771" w:hanging="440" w:hangingChars="2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为第三者办理第三者责任险；</w:t>
      </w:r>
    </w:p>
    <w:p w14:paraId="253859A9">
      <w:pPr>
        <w:pStyle w:val="15"/>
        <w:numPr>
          <w:ilvl w:val="0"/>
          <w:numId w:val="15"/>
        </w:numPr>
        <w:tabs>
          <w:tab w:val="left" w:pos="1080"/>
          <w:tab w:val="left" w:pos="1980"/>
        </w:tabs>
        <w:adjustRightInd w:val="0"/>
        <w:snapToGrid w:val="0"/>
        <w:spacing w:line="420" w:lineRule="exact"/>
        <w:ind w:left="1620"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为运至施工场地内用于永久工程的材料和待安装工程设备办理保险。</w:t>
      </w:r>
    </w:p>
    <w:p w14:paraId="671184AA">
      <w:pPr>
        <w:pStyle w:val="15"/>
        <w:tabs>
          <w:tab w:val="left" w:pos="1080"/>
        </w:tabs>
        <w:adjustRightInd w:val="0"/>
        <w:snapToGrid w:val="0"/>
        <w:spacing w:line="420" w:lineRule="exact"/>
        <w:ind w:left="162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保险期从办理保险之日起至工程竣工验收合格之日止。</w:t>
      </w:r>
    </w:p>
    <w:p w14:paraId="7FE59AD8">
      <w:pPr>
        <w:pStyle w:val="15"/>
        <w:tabs>
          <w:tab w:val="left" w:pos="1080"/>
        </w:tabs>
        <w:adjustRightInd w:val="0"/>
        <w:snapToGrid w:val="0"/>
        <w:spacing w:line="420" w:lineRule="exact"/>
        <w:ind w:left="162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发包人可将其中部分事项委托给承包人办理，具体由合同双方当事人在专用条款中约定。除合同价款已包括外，由发包人承担所需保险费用，并向承包人支付合理利润。</w:t>
      </w:r>
    </w:p>
    <w:p w14:paraId="1E397530">
      <w:pPr>
        <w:spacing w:line="420" w:lineRule="exact"/>
        <w:ind w:left="1650" w:hanging="1650" w:hangingChars="75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 xml:space="preserve">              （5）工程开工前，为合同工程办理工程质量保险；并由保险公司对工程质量、施工安全进行综合担保，以及聘请专业的团队进行工程建设全过程风险、质量控制。</w:t>
      </w:r>
    </w:p>
    <w:p w14:paraId="1115366A">
      <w:pPr>
        <w:pStyle w:val="15"/>
        <w:tabs>
          <w:tab w:val="left" w:pos="1320"/>
        </w:tabs>
        <w:adjustRightInd w:val="0"/>
        <w:snapToGrid w:val="0"/>
        <w:spacing w:line="420" w:lineRule="exact"/>
        <w:rPr>
          <w:rFonts w:hint="default" w:ascii="Times New Roman" w:hAnsi="Times New Roman" w:cs="Times New Roman"/>
          <w:b/>
          <w:bCs/>
          <w:color w:val="auto"/>
          <w:sz w:val="22"/>
          <w:szCs w:val="22"/>
          <w:highlight w:val="none"/>
          <w:u w:val="dotted"/>
        </w:rPr>
      </w:pPr>
      <w:r>
        <w:rPr>
          <w:rFonts w:hint="default" w:ascii="Times New Roman" w:hAnsi="Times New Roman" w:cs="Times New Roman"/>
          <w:b/>
          <w:bCs/>
          <w:color w:val="auto"/>
          <w:sz w:val="22"/>
          <w:szCs w:val="22"/>
          <w:highlight w:val="none"/>
        </w:rPr>
        <w:t xml:space="preserve">32.2  </w:t>
      </w:r>
      <w:r>
        <w:rPr>
          <w:rFonts w:hint="default" w:ascii="Times New Roman" w:hAnsi="Times New Roman" w:cs="Times New Roman"/>
          <w:b/>
          <w:bCs/>
          <w:color w:val="auto"/>
          <w:sz w:val="22"/>
          <w:szCs w:val="22"/>
          <w:highlight w:val="none"/>
          <w:u w:val="dotted"/>
        </w:rPr>
        <w:t xml:space="preserve">                                                                                                        </w:t>
      </w:r>
    </w:p>
    <w:p w14:paraId="2A240DCB">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80096" behindDoc="0" locked="0" layoutInCell="1" allowOverlap="1">
                <wp:simplePos x="0" y="0"/>
                <wp:positionH relativeFrom="column">
                  <wp:posOffset>-114300</wp:posOffset>
                </wp:positionH>
                <wp:positionV relativeFrom="paragraph">
                  <wp:posOffset>635</wp:posOffset>
                </wp:positionV>
                <wp:extent cx="1028700" cy="478155"/>
                <wp:effectExtent l="0" t="0" r="0" b="0"/>
                <wp:wrapNone/>
                <wp:docPr id="126" name="文本框 126"/>
                <wp:cNvGraphicFramePr/>
                <a:graphic xmlns:a="http://schemas.openxmlformats.org/drawingml/2006/main">
                  <a:graphicData uri="http://schemas.microsoft.com/office/word/2010/wordprocessingShape">
                    <wps:wsp>
                      <wps:cNvSpPr txBox="1"/>
                      <wps:spPr>
                        <a:xfrm>
                          <a:off x="0" y="0"/>
                          <a:ext cx="1028700" cy="478155"/>
                        </a:xfrm>
                        <a:prstGeom prst="rect">
                          <a:avLst/>
                        </a:prstGeom>
                        <a:noFill/>
                        <a:ln>
                          <a:noFill/>
                        </a:ln>
                        <a:effectLst/>
                      </wps:spPr>
                      <wps:txbx>
                        <w:txbxContent>
                          <w:p w14:paraId="40EF54D1">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承包人办理保</w:t>
                            </w:r>
                          </w:p>
                          <w:p w14:paraId="4BEFEF27">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险</w:t>
                            </w:r>
                          </w:p>
                        </w:txbxContent>
                      </wps:txbx>
                      <wps:bodyPr wrap="square" upright="1"/>
                    </wps:wsp>
                  </a:graphicData>
                </a:graphic>
              </wp:anchor>
            </w:drawing>
          </mc:Choice>
          <mc:Fallback>
            <w:pict>
              <v:shape id="_x0000_s1026" o:spid="_x0000_s1026" o:spt="202" type="#_x0000_t202" style="position:absolute;left:0pt;margin-left:-9pt;margin-top:0.05pt;height:37.65pt;width:81pt;z-index:251780096;mso-width-relative:page;mso-height-relative:page;" filled="f" stroked="f" coordsize="21600,21600" o:gfxdata="UEsDBAoAAAAAAIdO4kAAAAAAAAAAAAAAAAAEAAAAZHJzL1BLAwQUAAAACACHTuJA6U7LFtQAAAAH&#10;AQAADwAAAGRycy9kb3ducmV2LnhtbE2PwU7DMBBE70j9B2srcWvtVCm0IU4PRVxBtIDUmxtvk4h4&#10;HcVuE/6ezQmOo7eaeZvvRteKG/ah8aQhWSoQSKW3DVUaPo4viw2IEA1Z03pCDT8YYFfM7nKTWT/Q&#10;O94OsRJcQiEzGuoYu0zKUNboTFj6DonZxffORI59JW1vBi53rVwp9SCdaYgXatPhvsby+3B1Gj5f&#10;L6evVL1Vz27dDX5UktxWan0/T9QTiIhj/DuGSZ/VoWCns7+SDaLVsEg2/EucgJhwmnI8a3hcpyCL&#10;XP73L34BUEsDBBQAAAAIAIdO4kBtwnPdvAEAAG4DAAAOAAAAZHJzL2Uyb0RvYy54bWytU0tu2zAQ&#10;3RfIHQjuY8pGPoZgOUBhJJuiLZD2ADQ1tAiIn3JoS75Ae4Ouuum+5/I5OpQUN003WXRDDefzOO/N&#10;aHXX25YdIKLxruLzWcEZOOVr43YV//zp/nLJGSbpatl6BxU/AvK79cWbVRdKWPjGtzVERiAOyy5U&#10;vEkplEKgasBKnPkAjoLaRysTXeNO1FF2hG5bsSiKG9H5WIfoFSCSdzMG+YQYXwPotTYKNl7tLbg0&#10;okZoZSJK2JiAfD10qzWo9EFrhMTaihPTNJz0CNnbfIr1Spa7KENj1NSCfE0LLzhZaRw9eobayCTZ&#10;Ppp/oKxR0aPXaaa8FSORQRFiMS9eaPPYyAADF5Iaw1l0/H+w6v3hY2Smpk1Y3HDmpKWRn75/O/34&#10;dfr5lWUnSdQFLCnzMVBu6t/6ntKf/EjOzLzX0eYvcWIUJ4GPZ4GhT0zlomKxvC0opCh2dbucX19n&#10;GPGnOkRMD+Aty0bFIw1w0FUe3mEaU59S8mPO35u2HYbYur8chDl6YNiCqToTGRvOVuq3/cRu6+sj&#10;ketoEyqOX/YyAmf7EM2uoTYGsiKX0BiGfqeVyXN+fif7+W+y/g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pTssW1AAAAAcBAAAPAAAAAAAAAAEAIAAAACIAAABkcnMvZG93bnJldi54bWxQSwECFAAU&#10;AAAACACHTuJAbcJz3bwBAABuAwAADgAAAAAAAAABACAAAAAjAQAAZHJzL2Uyb0RvYy54bWxQSwUG&#10;AAAAAAYABgBZAQAAUQUAAAAA&#10;">
                <v:fill on="f" focussize="0,0"/>
                <v:stroke on="f"/>
                <v:imagedata o:title=""/>
                <o:lock v:ext="edit" aspectratio="f"/>
                <v:textbox>
                  <w:txbxContent>
                    <w:p w14:paraId="40EF54D1">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承包人办理保</w:t>
                      </w:r>
                    </w:p>
                    <w:p w14:paraId="4BEFEF27">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险</w:t>
                      </w:r>
                    </w:p>
                  </w:txbxContent>
                </v:textbox>
              </v:shape>
            </w:pict>
          </mc:Fallback>
        </mc:AlternateContent>
      </w:r>
      <w:r>
        <w:rPr>
          <w:rFonts w:hint="default" w:ascii="Times New Roman" w:hAnsi="Times New Roman" w:cs="Times New Roman"/>
          <w:color w:val="auto"/>
          <w:sz w:val="22"/>
          <w:szCs w:val="22"/>
          <w:highlight w:val="none"/>
        </w:rPr>
        <w:t>承包人应按照下列规定办理保险，并支付保险费：</w:t>
      </w:r>
    </w:p>
    <w:p w14:paraId="21AEFFD2">
      <w:pPr>
        <w:pStyle w:val="15"/>
        <w:adjustRightInd w:val="0"/>
        <w:snapToGrid w:val="0"/>
        <w:spacing w:line="420" w:lineRule="exact"/>
        <w:ind w:left="1617" w:leftChars="770" w:firstLine="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(1)工程开工前，为施工场地内自有人员（包括分包人在内）办理工伤保险、意外伤害保险；</w:t>
      </w:r>
    </w:p>
    <w:p w14:paraId="478A284E">
      <w:pPr>
        <w:pStyle w:val="15"/>
        <w:adjustRightInd w:val="0"/>
        <w:snapToGrid w:val="0"/>
        <w:spacing w:line="420" w:lineRule="exact"/>
        <w:ind w:left="1676" w:leftChars="798"/>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(2)为施工场地内的自有施工设备、第32.1款第</w:t>
      </w:r>
      <w:r>
        <w:rPr>
          <w:rFonts w:hint="default" w:ascii="Times New Roman" w:hAnsi="Times New Roman" w:cs="Times New Roman"/>
          <w:color w:val="auto"/>
          <w:sz w:val="22"/>
          <w:szCs w:val="22"/>
          <w:highlight w:val="none"/>
          <w:lang w:eastAsia="zh-CN"/>
        </w:rPr>
        <w:t>（</w:t>
      </w:r>
      <w:r>
        <w:rPr>
          <w:rFonts w:hint="default" w:ascii="Times New Roman" w:hAnsi="Times New Roman" w:cs="Times New Roman"/>
          <w:color w:val="auto"/>
          <w:sz w:val="22"/>
          <w:szCs w:val="22"/>
          <w:highlight w:val="none"/>
        </w:rPr>
        <w:t>4</w:t>
      </w:r>
      <w:r>
        <w:rPr>
          <w:rFonts w:hint="default" w:ascii="Times New Roman" w:hAnsi="Times New Roman" w:cs="Times New Roman"/>
          <w:color w:val="auto"/>
          <w:sz w:val="22"/>
          <w:szCs w:val="22"/>
          <w:highlight w:val="none"/>
          <w:lang w:eastAsia="zh-CN"/>
        </w:rPr>
        <w:t>）</w:t>
      </w:r>
      <w:r>
        <w:rPr>
          <w:rFonts w:hint="default" w:ascii="Times New Roman" w:hAnsi="Times New Roman" w:cs="Times New Roman"/>
          <w:color w:val="auto"/>
          <w:sz w:val="22"/>
          <w:szCs w:val="22"/>
          <w:highlight w:val="none"/>
        </w:rPr>
        <w:t>点以外采购进场的材料和工程设备等办理保险。</w:t>
      </w:r>
    </w:p>
    <w:p w14:paraId="71AF4F53">
      <w:pPr>
        <w:pStyle w:val="15"/>
        <w:tabs>
          <w:tab w:val="left" w:pos="1080"/>
        </w:tabs>
        <w:adjustRightInd w:val="0"/>
        <w:snapToGrid w:val="0"/>
        <w:spacing w:line="420" w:lineRule="exact"/>
        <w:ind w:left="1680" w:leftChars="8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保险期从开工之日起至工程竣工验收合格之日止。</w:t>
      </w:r>
    </w:p>
    <w:p w14:paraId="4D5DE75F">
      <w:pPr>
        <w:pStyle w:val="15"/>
        <w:tabs>
          <w:tab w:val="left" w:pos="1080"/>
        </w:tabs>
        <w:adjustRightInd w:val="0"/>
        <w:snapToGrid w:val="0"/>
        <w:spacing w:line="420" w:lineRule="exact"/>
        <w:rPr>
          <w:rFonts w:hint="default" w:ascii="Times New Roman" w:hAnsi="Times New Roman" w:cs="Times New Roman"/>
          <w:b/>
          <w:bCs/>
          <w:color w:val="auto"/>
          <w:sz w:val="22"/>
          <w:szCs w:val="22"/>
          <w:highlight w:val="none"/>
          <w:u w:val="dotted"/>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81120" behindDoc="0" locked="0" layoutInCell="1" allowOverlap="1">
                <wp:simplePos x="0" y="0"/>
                <wp:positionH relativeFrom="column">
                  <wp:posOffset>-114300</wp:posOffset>
                </wp:positionH>
                <wp:positionV relativeFrom="paragraph">
                  <wp:posOffset>287020</wp:posOffset>
                </wp:positionV>
                <wp:extent cx="914400" cy="541020"/>
                <wp:effectExtent l="0" t="0" r="0" b="0"/>
                <wp:wrapNone/>
                <wp:docPr id="127" name="文本框 127"/>
                <wp:cNvGraphicFramePr/>
                <a:graphic xmlns:a="http://schemas.openxmlformats.org/drawingml/2006/main">
                  <a:graphicData uri="http://schemas.microsoft.com/office/word/2010/wordprocessingShape">
                    <wps:wsp>
                      <wps:cNvSpPr txBox="1"/>
                      <wps:spPr>
                        <a:xfrm>
                          <a:off x="0" y="0"/>
                          <a:ext cx="914400" cy="541020"/>
                        </a:xfrm>
                        <a:prstGeom prst="rect">
                          <a:avLst/>
                        </a:prstGeom>
                        <a:noFill/>
                        <a:ln>
                          <a:noFill/>
                        </a:ln>
                        <a:effectLst/>
                      </wps:spPr>
                      <wps:txbx>
                        <w:txbxContent>
                          <w:p w14:paraId="04A3D00A">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双方提供保险单和凭证</w:t>
                            </w:r>
                          </w:p>
                        </w:txbxContent>
                      </wps:txbx>
                      <wps:bodyPr wrap="square" upright="1"/>
                    </wps:wsp>
                  </a:graphicData>
                </a:graphic>
              </wp:anchor>
            </w:drawing>
          </mc:Choice>
          <mc:Fallback>
            <w:pict>
              <v:shape id="_x0000_s1026" o:spid="_x0000_s1026" o:spt="202" type="#_x0000_t202" style="position:absolute;left:0pt;margin-left:-9pt;margin-top:22.6pt;height:42.6pt;width:72pt;z-index:251781120;mso-width-relative:page;mso-height-relative:page;" filled="f" stroked="f" coordsize="21600,21600" o:gfxdata="UEsDBAoAAAAAAIdO4kAAAAAAAAAAAAAAAAAEAAAAZHJzL1BLAwQUAAAACACHTuJAiyRneNgAAAAK&#10;AQAADwAAAGRycy9kb3ducmV2LnhtbE2PzU7DMBCE70h9B2uRuLV2QlqVEKeHIq4g+oPEzY23SUS8&#10;jmK3CW/P9gS33Z3R7DfFZnKduOIQWk8akoUCgVR521Kt4bB/na9BhGjIms4TavjBAJtydleY3PqR&#10;PvC6i7XgEAq50dDE2OdShqpBZ8LC90isnf3gTOR1qKUdzMjhrpOpUivpTEv8oTE9bhusvncXp+H4&#10;dv76zNR7/eKW/egnJck9Sa0f7hP1DCLiFP/McMNndCiZ6eQvZIPoNMyTNXeJGrJlCuJmSFd8OPHw&#10;qDKQZSH/Vyh/AVBLAwQUAAAACACHTuJAeoFYAbwBAABtAwAADgAAAGRycy9lMm9Eb2MueG1srVNL&#10;btswEN0XyB0I7mPJhtOPYDlAYSSboi2Q9gA0NbII8FcObckXaG/QVTfd91w+R4eU4qbJJotsqOF8&#10;Hue9Ga2uB6PZAQIqZ2s+n5WcgZWuUXZX869fbi7fcoZR2EZoZ6HmR0B+vb54tep9BQvXOd1AYARi&#10;sep9zbsYfVUUKDswAmfOg6Vg64IRka5hVzRB9IRudLEoy9dF70Ljg5OASN7NGOQTYngOoGtbJWHj&#10;5N6AjSNqAC0iUcJOeeTr3G3bgoyf2hYhMl1zYhrzSY+QvU1nsV6JaheE75ScWhDPaeERJyOUpUfP&#10;UBsRBdsH9QTKKBkcujbOpDPFSCQrQizm5SNt7jrhIXMhqdGfRceXg5UfD58DUw1twuINZ1YYGvnp&#10;54/Trz+n399ZcpJEvceKMu885cbhvRso/d6P5EzMhzaY9CVOjOIk8PEsMAyRSXK+my+XJUUkha6W&#10;83KRB1D8K/YB4y04w5JR80Dzy7KKwweM1Ail3qekt6y7UVrnGWr7n4MSRw/kJZiqE4+x32TFYTtM&#10;5LauORK3nhah5vhtLwJwtvdB7TpqI3MtUglNITcxbUwa88M72Q//kvV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iyRneNgAAAAKAQAADwAAAAAAAAABACAAAAAiAAAAZHJzL2Rvd25yZXYueG1sUEsB&#10;AhQAFAAAAAgAh07iQHqBWAG8AQAAbQMAAA4AAAAAAAAAAQAgAAAAJwEAAGRycy9lMm9Eb2MueG1s&#10;UEsFBgAAAAAGAAYAWQEAAFUFAAAAAA==&#10;">
                <v:fill on="f" focussize="0,0"/>
                <v:stroke on="f"/>
                <v:imagedata o:title=""/>
                <o:lock v:ext="edit" aspectratio="f"/>
                <v:textbox>
                  <w:txbxContent>
                    <w:p w14:paraId="04A3D00A">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双方提供保险单和凭证</w:t>
                      </w:r>
                    </w:p>
                  </w:txbxContent>
                </v:textbox>
              </v:shape>
            </w:pict>
          </mc:Fallback>
        </mc:AlternateContent>
      </w:r>
      <w:r>
        <w:rPr>
          <w:rFonts w:hint="default" w:ascii="Times New Roman" w:hAnsi="Times New Roman" w:cs="Times New Roman"/>
          <w:b/>
          <w:bCs/>
          <w:color w:val="auto"/>
          <w:sz w:val="22"/>
          <w:szCs w:val="22"/>
          <w:highlight w:val="none"/>
        </w:rPr>
        <w:t xml:space="preserve">32.3  </w:t>
      </w:r>
      <w:r>
        <w:rPr>
          <w:rFonts w:hint="default" w:ascii="Times New Roman" w:hAnsi="Times New Roman" w:cs="Times New Roman"/>
          <w:b/>
          <w:bCs/>
          <w:color w:val="auto"/>
          <w:sz w:val="22"/>
          <w:szCs w:val="22"/>
          <w:highlight w:val="none"/>
          <w:u w:val="dotted"/>
        </w:rPr>
        <w:t xml:space="preserve">                                                                                                        </w:t>
      </w:r>
    </w:p>
    <w:p w14:paraId="35275AA1">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合同一方当事人应按照本合同要求向另一方当事人提供有效的投保保险单和保险凭证。</w:t>
      </w:r>
    </w:p>
    <w:p w14:paraId="0CA097F5">
      <w:pPr>
        <w:pStyle w:val="15"/>
        <w:tabs>
          <w:tab w:val="left" w:pos="1320"/>
        </w:tabs>
        <w:adjustRightInd w:val="0"/>
        <w:snapToGrid w:val="0"/>
        <w:spacing w:line="420" w:lineRule="exact"/>
        <w:rPr>
          <w:rFonts w:hint="default" w:ascii="Times New Roman" w:hAnsi="Times New Roman" w:cs="Times New Roman"/>
          <w:b/>
          <w:bCs/>
          <w:color w:val="auto"/>
          <w:sz w:val="22"/>
          <w:szCs w:val="22"/>
          <w:highlight w:val="none"/>
          <w:u w:val="dotted"/>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82144" behindDoc="0" locked="0" layoutInCell="1" allowOverlap="1">
                <wp:simplePos x="0" y="0"/>
                <wp:positionH relativeFrom="column">
                  <wp:posOffset>-114300</wp:posOffset>
                </wp:positionH>
                <wp:positionV relativeFrom="paragraph">
                  <wp:posOffset>236855</wp:posOffset>
                </wp:positionV>
                <wp:extent cx="914400" cy="396240"/>
                <wp:effectExtent l="0" t="0" r="0" b="0"/>
                <wp:wrapNone/>
                <wp:docPr id="149" name="文本框 149"/>
                <wp:cNvGraphicFramePr/>
                <a:graphic xmlns:a="http://schemas.openxmlformats.org/drawingml/2006/main">
                  <a:graphicData uri="http://schemas.microsoft.com/office/word/2010/wordprocessingShape">
                    <wps:wsp>
                      <wps:cNvSpPr txBox="1"/>
                      <wps:spPr>
                        <a:xfrm>
                          <a:off x="0" y="0"/>
                          <a:ext cx="914400" cy="396240"/>
                        </a:xfrm>
                        <a:prstGeom prst="rect">
                          <a:avLst/>
                        </a:prstGeom>
                        <a:noFill/>
                        <a:ln>
                          <a:noFill/>
                        </a:ln>
                        <a:effectLst/>
                      </wps:spPr>
                      <wps:txbx>
                        <w:txbxContent>
                          <w:p w14:paraId="6B485884">
                            <w:pPr>
                              <w:spacing w:line="240" w:lineRule="exact"/>
                              <w:rPr>
                                <w:rFonts w:ascii="宋体" w:cs="Times New Roman"/>
                                <w:sz w:val="18"/>
                                <w:szCs w:val="18"/>
                              </w:rPr>
                            </w:pPr>
                            <w:r>
                              <w:rPr>
                                <w:rFonts w:hint="eastAsia" w:ascii="楷体_GB2312" w:hAnsi="宋体" w:eastAsia="楷体_GB2312" w:cs="楷体_GB2312"/>
                                <w:b/>
                                <w:bCs/>
                                <w:color w:val="000000"/>
                                <w:sz w:val="18"/>
                                <w:szCs w:val="18"/>
                              </w:rPr>
                              <w:t>未按规定投保的补救</w:t>
                            </w:r>
                          </w:p>
                        </w:txbxContent>
                      </wps:txbx>
                      <wps:bodyPr wrap="square" upright="1"/>
                    </wps:wsp>
                  </a:graphicData>
                </a:graphic>
              </wp:anchor>
            </w:drawing>
          </mc:Choice>
          <mc:Fallback>
            <w:pict>
              <v:shape id="_x0000_s1026" o:spid="_x0000_s1026" o:spt="202" type="#_x0000_t202" style="position:absolute;left:0pt;margin-left:-9pt;margin-top:18.65pt;height:31.2pt;width:72pt;z-index:251782144;mso-width-relative:page;mso-height-relative:page;" filled="f" stroked="f" coordsize="21600,21600" o:gfxdata="UEsDBAoAAAAAAIdO4kAAAAAAAAAAAAAAAAAEAAAAZHJzL1BLAwQUAAAACACHTuJAXCiQ4tcAAAAJ&#10;AQAADwAAAGRycy9kb3ducmV2LnhtbE2PwW7CMBBE75X4B2sr9QZ2oAWSZsOBqtdWBVqpNxMvSdR4&#10;HcWGpH9fcyrH2RnNvsk3o23FhXrfOEZIZgoEcelMwxXCYf86XYPwQbPRrWNC+CUPm2Jyl+vMuIE/&#10;6LILlYgl7DONUIfQZVL6siar/cx1xNE7ud7qEGVfSdPrIZbbVs6VWkqrG44fat3RtqbyZ3e2CJ9v&#10;p++vR/VevdinbnCjkmxTifhwn6hnEIHG8B+GK35EhyIyHd2ZjRctwjRZxy0BYbFagLgG5st4OCKk&#10;6QpkkcvbBcUfUEsDBBQAAAAIAIdO4kBsx7UHvQEAAG0DAAAOAAAAZHJzL2Uyb0RvYy54bWytU0tu&#10;2zAQ3RfoHQjua8quEdSC5QCBkW6KtkDaA9DUyCIgfsqhLfkC7Q266qb7nsvn6JBSnDTdZJENNZzP&#10;47w3o/X1YDp2hIDa2YrPZwVnYJWrtd1X/OuX2zfvOMMobS07Z6HiJ0B+vXn9at37EhaudV0NgRGI&#10;xbL3FW9j9KUQqFowEmfOg6Vg44KRka5hL+oge0I3nVgUxZXoXah9cAoQybsdg3xCDM8BdE2jFWyd&#10;OhiwcUQN0MlIlLDVHvkmd9s0oOKnpkGIrKs4MY35pEfI3qVTbNay3AfpW62mFuRzWnjCyUht6dEL&#10;1FZGyQ5B/wdltAoOXRNnyhkxEsmKEIt58USbu1Z6yFxIavQX0fHlYNXH4+fAdE2bsFxxZqWhkZ9/&#10;/jj/+nP+/Z0lJ0nUeywp885Tbhxu3EDp934kZ2I+NMGkL3FiFCeBTxeBYYhMkXM1Xy4LiigKvV1d&#10;LZZ5AOKh2AeM78EZloyKB5pfllUeP2CkRij1PiW9Zd2t7ro8w87+46DE0QN5CabqxGPsN1lx2A0T&#10;uZ2rT8Stp0WoOH47yACcHXzQ+5bayFxFKqEp5CamjUljfnwn+/FfsvkL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XCiQ4tcAAAAJAQAADwAAAAAAAAABACAAAAAiAAAAZHJzL2Rvd25yZXYueG1sUEsB&#10;AhQAFAAAAAgAh07iQGzHtQe9AQAAbQMAAA4AAAAAAAAAAQAgAAAAJgEAAGRycy9lMm9Eb2MueG1s&#10;UEsFBgAAAAAGAAYAWQEAAFUFAAAAAA==&#10;">
                <v:fill on="f" focussize="0,0"/>
                <v:stroke on="f"/>
                <v:imagedata o:title=""/>
                <o:lock v:ext="edit" aspectratio="f"/>
                <v:textbox>
                  <w:txbxContent>
                    <w:p w14:paraId="6B485884">
                      <w:pPr>
                        <w:spacing w:line="240" w:lineRule="exact"/>
                        <w:rPr>
                          <w:rFonts w:ascii="宋体" w:cs="Times New Roman"/>
                          <w:sz w:val="18"/>
                          <w:szCs w:val="18"/>
                        </w:rPr>
                      </w:pPr>
                      <w:r>
                        <w:rPr>
                          <w:rFonts w:hint="eastAsia" w:ascii="楷体_GB2312" w:hAnsi="宋体" w:eastAsia="楷体_GB2312" w:cs="楷体_GB2312"/>
                          <w:b/>
                          <w:bCs/>
                          <w:color w:val="000000"/>
                          <w:sz w:val="18"/>
                          <w:szCs w:val="18"/>
                        </w:rPr>
                        <w:t>未按规定投保的补救</w:t>
                      </w:r>
                    </w:p>
                  </w:txbxContent>
                </v:textbox>
              </v:shape>
            </w:pict>
          </mc:Fallback>
        </mc:AlternateContent>
      </w:r>
      <w:r>
        <w:rPr>
          <w:rFonts w:hint="default" w:ascii="Times New Roman" w:hAnsi="Times New Roman" w:cs="Times New Roman"/>
          <w:b/>
          <w:bCs/>
          <w:color w:val="auto"/>
          <w:sz w:val="22"/>
          <w:szCs w:val="22"/>
          <w:highlight w:val="none"/>
        </w:rPr>
        <w:t xml:space="preserve">32.4  </w:t>
      </w:r>
      <w:r>
        <w:rPr>
          <w:rFonts w:hint="default" w:ascii="Times New Roman" w:hAnsi="Times New Roman" w:cs="Times New Roman"/>
          <w:b/>
          <w:bCs/>
          <w:color w:val="auto"/>
          <w:sz w:val="22"/>
          <w:szCs w:val="22"/>
          <w:highlight w:val="none"/>
          <w:u w:val="dotted"/>
        </w:rPr>
        <w:t xml:space="preserve">                                                                                                        </w:t>
      </w:r>
    </w:p>
    <w:p w14:paraId="0CC01156">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合同双方当事人应遵守本条规定办理有关保险事项。如果未按规定投保的，应按下列规定补偿：</w:t>
      </w:r>
    </w:p>
    <w:p w14:paraId="08A02862">
      <w:pPr>
        <w:pStyle w:val="15"/>
        <w:adjustRightInd w:val="0"/>
        <w:snapToGrid w:val="0"/>
        <w:spacing w:line="420" w:lineRule="exact"/>
        <w:ind w:left="1617" w:leftChars="770" w:firstLine="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(1)由于负有投保义务的合同一方当事人未按合同约定办理保险，或未能使保险持续有效的，则另一方当事人可代为办理，所需费用由对方当事人承担；</w:t>
      </w:r>
    </w:p>
    <w:p w14:paraId="261E668B">
      <w:pPr>
        <w:pStyle w:val="15"/>
        <w:adjustRightInd w:val="0"/>
        <w:snapToGrid w:val="0"/>
        <w:spacing w:line="420" w:lineRule="exact"/>
        <w:ind w:left="1617" w:leftChars="770" w:firstLine="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(2)由于负有投保义务的合同一方当事人未按合同约定办理某项保险，导致受益人未能得到保险人的赔偿，则该项保险金应由负有投保义务的一方当事人支付。</w:t>
      </w:r>
    </w:p>
    <w:p w14:paraId="2808AA9B">
      <w:pPr>
        <w:pStyle w:val="15"/>
        <w:adjustRightInd w:val="0"/>
        <w:snapToGrid w:val="0"/>
        <w:spacing w:line="420" w:lineRule="exact"/>
        <w:rPr>
          <w:rFonts w:hint="default" w:ascii="Times New Roman" w:hAnsi="Times New Roman" w:cs="Times New Roman"/>
          <w:color w:val="auto"/>
          <w:sz w:val="22"/>
          <w:szCs w:val="22"/>
          <w:highlight w:val="none"/>
          <w:u w:val="dotted"/>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83168" behindDoc="0" locked="0" layoutInCell="1" allowOverlap="1">
                <wp:simplePos x="0" y="0"/>
                <wp:positionH relativeFrom="column">
                  <wp:posOffset>-114300</wp:posOffset>
                </wp:positionH>
                <wp:positionV relativeFrom="paragraph">
                  <wp:posOffset>292100</wp:posOffset>
                </wp:positionV>
                <wp:extent cx="914400" cy="541020"/>
                <wp:effectExtent l="0" t="0" r="0" b="0"/>
                <wp:wrapNone/>
                <wp:docPr id="128" name="文本框 128"/>
                <wp:cNvGraphicFramePr/>
                <a:graphic xmlns:a="http://schemas.openxmlformats.org/drawingml/2006/main">
                  <a:graphicData uri="http://schemas.microsoft.com/office/word/2010/wordprocessingShape">
                    <wps:wsp>
                      <wps:cNvSpPr txBox="1"/>
                      <wps:spPr>
                        <a:xfrm>
                          <a:off x="0" y="0"/>
                          <a:ext cx="914400" cy="541020"/>
                        </a:xfrm>
                        <a:prstGeom prst="rect">
                          <a:avLst/>
                        </a:prstGeom>
                        <a:noFill/>
                        <a:ln>
                          <a:noFill/>
                        </a:ln>
                        <a:effectLst/>
                      </wps:spPr>
                      <wps:txbx>
                        <w:txbxContent>
                          <w:p w14:paraId="08F72079">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发生保险事故双方应尽的责任</w:t>
                            </w:r>
                          </w:p>
                        </w:txbxContent>
                      </wps:txbx>
                      <wps:bodyPr wrap="square" upright="1"/>
                    </wps:wsp>
                  </a:graphicData>
                </a:graphic>
              </wp:anchor>
            </w:drawing>
          </mc:Choice>
          <mc:Fallback>
            <w:pict>
              <v:shape id="_x0000_s1026" o:spid="_x0000_s1026" o:spt="202" type="#_x0000_t202" style="position:absolute;left:0pt;margin-left:-9pt;margin-top:23pt;height:42.6pt;width:72pt;z-index:251783168;mso-width-relative:page;mso-height-relative:page;" filled="f" stroked="f" coordsize="21600,21600" o:gfxdata="UEsDBAoAAAAAAIdO4kAAAAAAAAAAAAAAAAAEAAAAZHJzL1BLAwQUAAAACACHTuJAxjylF9cAAAAK&#10;AQAADwAAAGRycy9kb3ducmV2LnhtbE2PzW7CMBCE75X6DtZW6g3spIBoGocDqNei0h+pNxMvSdR4&#10;HcWGhLfv5kRPO6sdzX6Tb0bXigv2ofGkIZkrEEiltw1VGj4/XmdrECEasqb1hBquGGBT3N/lJrN+&#10;oHe8HGIlOIRCZjTUMXaZlKGs0Zkw9x0S306+dyby2lfS9mbgcNfKVKmVdKYh/lCbDrc1lr+Hs9Pw&#10;9Xb6+V6ofbVzy27wo5LknqXWjw+JegERcYw3M0z4jA4FMx39mWwQrYZZsuYuUcNixXMypJM4snhK&#10;UpBFLv9XKP4AUEsDBBQAAAAIAIdO4kDzklQRuwEAAG0DAAAOAAAAZHJzL2Uyb0RvYy54bWytU0tu&#10;2zAQ3RfoHQjua8mGG7SC5QCBkW6KpkDaA9DUyCLAXzm0JV+gvUFX3XTfc/kcHVKK89tkkQ01nM/j&#10;vDej1eVgNDtAQOVszeezkjOw0jXK7mr+/dv1uw+cYRS2EdpZqPkRkF+u375Z9b6CheucbiAwArFY&#10;9b7mXYy+KgqUHRiBM+fBUrB1wYhI17ArmiB6Qje6WJTlRdG70PjgJCCSdzMG+YQYXgLo2lZJ2Di5&#10;N2DjiBpAi0iUsFMe+Tp327Yg403bIkSma05MYz7pEbK36SzWK1HtgvCdklML4iUtPOFkhLL06Blq&#10;I6Jg+6CeQRklg0PXxpl0phiJZEWIxbx8os1tJzxkLiQ1+rPo+Hqw8svha2CqoU1Y0OCtMDTy0+9f&#10;pz//Tn9/suQkiXqPFWXeesqNw5UbKP3Oj+RMzIc2mPQlToziJPDxLDAMkUlyfpwvlyVFJIXeL+fl&#10;Ig+guC/2AeMncIYlo+aB5pdlFYfPGKkRSr1LSW9Zd620zjPU9pGDEkcP5CWYqhOPsd9kxWE7TOS2&#10;rjkSt54Woeb4Yy8CcLb3Qe06aiNzLVIJTSE3MW1MGvPDO9kP/5L1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MY8pRfXAAAACgEAAA8AAAAAAAAAAQAgAAAAIgAAAGRycy9kb3ducmV2LnhtbFBLAQIU&#10;ABQAAAAIAIdO4kDzklQRuwEAAG0DAAAOAAAAAAAAAAEAIAAAACYBAABkcnMvZTJvRG9jLnhtbFBL&#10;BQYAAAAABgAGAFkBAABTBQAAAAA=&#10;">
                <v:fill on="f" focussize="0,0"/>
                <v:stroke on="f"/>
                <v:imagedata o:title=""/>
                <o:lock v:ext="edit" aspectratio="f"/>
                <v:textbox>
                  <w:txbxContent>
                    <w:p w14:paraId="08F72079">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发生保险事故双方应尽的责任</w:t>
                      </w:r>
                    </w:p>
                  </w:txbxContent>
                </v:textbox>
              </v:shape>
            </w:pict>
          </mc:Fallback>
        </mc:AlternateContent>
      </w:r>
      <w:r>
        <w:rPr>
          <w:rFonts w:hint="default" w:ascii="Times New Roman" w:hAnsi="Times New Roman" w:cs="Times New Roman"/>
          <w:b/>
          <w:bCs/>
          <w:color w:val="auto"/>
          <w:sz w:val="22"/>
          <w:szCs w:val="22"/>
          <w:highlight w:val="none"/>
        </w:rPr>
        <w:t xml:space="preserve">32.5 </w:t>
      </w:r>
      <w:r>
        <w:rPr>
          <w:rFonts w:hint="default" w:ascii="Times New Roman" w:hAnsi="Times New Roman" w:cs="Times New Roman"/>
          <w:color w:val="auto"/>
          <w:sz w:val="22"/>
          <w:szCs w:val="22"/>
          <w:highlight w:val="none"/>
        </w:rPr>
        <w:t xml:space="preserve"> </w:t>
      </w:r>
      <w:r>
        <w:rPr>
          <w:rFonts w:hint="default" w:ascii="Times New Roman" w:hAnsi="Times New Roman" w:cs="Times New Roman"/>
          <w:color w:val="auto"/>
          <w:sz w:val="22"/>
          <w:szCs w:val="22"/>
          <w:highlight w:val="none"/>
          <w:u w:val="dotted"/>
        </w:rPr>
        <w:t xml:space="preserve">                                                                                                        </w:t>
      </w:r>
    </w:p>
    <w:p w14:paraId="5C3B8624">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当合同工程发生保险事故时</w:t>
      </w:r>
      <w:r>
        <w:rPr>
          <w:rFonts w:hint="default" w:ascii="Times New Roman" w:hAnsi="Times New Roman" w:cs="Times New Roman"/>
          <w:color w:val="auto"/>
          <w:sz w:val="22"/>
          <w:szCs w:val="22"/>
          <w:highlight w:val="none"/>
          <w:lang w:eastAsia="zh-CN"/>
        </w:rPr>
        <w:t>，</w:t>
      </w:r>
      <w:r>
        <w:rPr>
          <w:rFonts w:hint="default" w:ascii="Times New Roman" w:hAnsi="Times New Roman" w:cs="Times New Roman"/>
          <w:color w:val="auto"/>
          <w:sz w:val="22"/>
          <w:szCs w:val="22"/>
          <w:highlight w:val="none"/>
        </w:rPr>
        <w:t>被保险人应及时通知保险人，并提供有关资料。合同双方当事人有责任采取合理有效措施防止或减少损失，并应相互协助做好向保险人的报告和理赔工作。</w:t>
      </w:r>
    </w:p>
    <w:p w14:paraId="3BD2DF1A">
      <w:pPr>
        <w:pStyle w:val="15"/>
        <w:tabs>
          <w:tab w:val="left" w:pos="1320"/>
          <w:tab w:val="left" w:pos="1620"/>
        </w:tabs>
        <w:adjustRightInd w:val="0"/>
        <w:snapToGrid w:val="0"/>
        <w:spacing w:line="420" w:lineRule="exact"/>
        <w:rPr>
          <w:rFonts w:hint="default" w:ascii="Times New Roman" w:hAnsi="Times New Roman" w:cs="Times New Roman"/>
          <w:b/>
          <w:bCs/>
          <w:color w:val="auto"/>
          <w:sz w:val="22"/>
          <w:szCs w:val="22"/>
          <w:highlight w:val="none"/>
          <w:u w:val="dotted"/>
        </w:rPr>
      </w:pPr>
      <w:r>
        <w:rPr>
          <w:rFonts w:hint="default" w:ascii="Times New Roman" w:hAnsi="Times New Roman" w:cs="Times New Roman"/>
          <w:b/>
          <w:bCs/>
          <w:color w:val="auto"/>
          <w:sz w:val="22"/>
          <w:szCs w:val="22"/>
          <w:highlight w:val="none"/>
        </w:rPr>
        <w:t xml:space="preserve">32.6  </w:t>
      </w:r>
      <w:r>
        <w:rPr>
          <w:rFonts w:hint="default" w:ascii="Times New Roman" w:hAnsi="Times New Roman" w:cs="Times New Roman"/>
          <w:b/>
          <w:bCs/>
          <w:color w:val="auto"/>
          <w:sz w:val="22"/>
          <w:szCs w:val="22"/>
          <w:highlight w:val="none"/>
          <w:u w:val="dotted"/>
        </w:rPr>
        <w:t xml:space="preserve">                                                                                                        </w:t>
      </w:r>
    </w:p>
    <w:p w14:paraId="76A45C9F">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84192" behindDoc="0" locked="0" layoutInCell="1" allowOverlap="1">
                <wp:simplePos x="0" y="0"/>
                <wp:positionH relativeFrom="column">
                  <wp:posOffset>-114300</wp:posOffset>
                </wp:positionH>
                <wp:positionV relativeFrom="paragraph">
                  <wp:posOffset>0</wp:posOffset>
                </wp:positionV>
                <wp:extent cx="914400" cy="552450"/>
                <wp:effectExtent l="0" t="0" r="0" b="0"/>
                <wp:wrapNone/>
                <wp:docPr id="129" name="文本框 129"/>
                <wp:cNvGraphicFramePr/>
                <a:graphic xmlns:a="http://schemas.openxmlformats.org/drawingml/2006/main">
                  <a:graphicData uri="http://schemas.microsoft.com/office/word/2010/wordprocessingShape">
                    <wps:wsp>
                      <wps:cNvSpPr txBox="1"/>
                      <wps:spPr>
                        <a:xfrm>
                          <a:off x="0" y="0"/>
                          <a:ext cx="914400" cy="552450"/>
                        </a:xfrm>
                        <a:prstGeom prst="rect">
                          <a:avLst/>
                        </a:prstGeom>
                        <a:noFill/>
                        <a:ln>
                          <a:noFill/>
                        </a:ln>
                        <a:effectLst/>
                      </wps:spPr>
                      <wps:txbx>
                        <w:txbxContent>
                          <w:p w14:paraId="1446BC2D">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工程变更被保险人应尽的责任</w:t>
                            </w:r>
                          </w:p>
                        </w:txbxContent>
                      </wps:txbx>
                      <wps:bodyPr wrap="square" upright="1"/>
                    </wps:wsp>
                  </a:graphicData>
                </a:graphic>
              </wp:anchor>
            </w:drawing>
          </mc:Choice>
          <mc:Fallback>
            <w:pict>
              <v:shape id="_x0000_s1026" o:spid="_x0000_s1026" o:spt="202" type="#_x0000_t202" style="position:absolute;left:0pt;margin-left:-9pt;margin-top:0pt;height:43.5pt;width:72pt;z-index:251784192;mso-width-relative:page;mso-height-relative:page;" filled="f" stroked="f" coordsize="21600,21600" o:gfxdata="UEsDBAoAAAAAAIdO4kAAAAAAAAAAAAAAAAAEAAAAZHJzL1BLAwQUAAAACACHTuJAn0QCftQAAAAH&#10;AQAADwAAAGRycy9kb3ducmV2LnhtbE2PQU/DMAyF70j8h8hI3LakE4xS6u4A4gpiAyRuWeO1FY1T&#10;Ndla/j3eCS7Ws5713udyM/tenWiMXWCEbGlAEdfBddwgvO+eFzmomCw72wcmhB+KsKkuL0pbuDDx&#10;G522qVESwrGwCG1KQ6F1rFvyNi7DQCzeIYzeJlnHRrvRThLue70yZq297VgaWjvQY0v19/boET5e&#10;Dl+fN+a1efK3wxRmo9nfa8Trq8w8gEo0p79jOOMLOlTCtA9HdlH1CIssl18SgsyzvVqL2CPkdwZ0&#10;Ver//NUvUEsDBBQAAAAIAIdO4kDqVi1tvQEAAG0DAAAOAAAAZHJzL2Uyb0RvYy54bWytU0tu2zAQ&#10;3RfoHQjua8mGXTSC5QCBkW6KtkDaA9DUyCLAXzm0JV+gvUFX3XTfc/kcHVKKk6abLLKhhvN5nPdm&#10;tL4ejGZHCKicrfl8VnIGVrpG2X3Nv365ffOOM4zCNkI7CzU/AfLrzetX695XsHCd0w0ERiAWq97X&#10;vIvRV0WBsgMjcOY8WAq2LhgR6Rr2RRNET+hGF4uyfFv0LjQ+OAmI5N2OQT4hhucAurZVErZOHgzY&#10;OKIG0CISJeyUR77J3bYtyPipbREi0zUnpjGf9AjZu3QWm7Wo9kH4TsmpBfGcFp5wMkJZevQCtRVR&#10;sENQ/0EZJYND18aZdKYYiWRFiMW8fKLNXSc8ZC4kNfqL6PhysPLj8XNgqqFNWFxxZoWhkZ9//jj/&#10;+nP+/Z0lJ0nUe6wo885Tbhxu3EDp934kZ2I+tMGkL3FiFCeBTxeBYYhMkvNqvlyWFJEUWq0Wy1Ue&#10;QPFQ7APG9+AMS0bNA80vyyqOHzBSI5R6n5Lesu5WaZ1nqO0/DkocPZCXYKpOPMZ+kxWH3TCR27nm&#10;RNx6WoSa47eDCMDZwQe176iNzLVIJTSF3MS0MWnMj+9kP/5LN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n0QCftQAAAAHAQAADwAAAAAAAAABACAAAAAiAAAAZHJzL2Rvd25yZXYueG1sUEsBAhQA&#10;FAAAAAgAh07iQOpWLW29AQAAbQMAAA4AAAAAAAAAAQAgAAAAIwEAAGRycy9lMm9Eb2MueG1sUEsF&#10;BgAAAAAGAAYAWQEAAFIFAAAAAA==&#10;">
                <v:fill on="f" focussize="0,0"/>
                <v:stroke on="f"/>
                <v:imagedata o:title=""/>
                <o:lock v:ext="edit" aspectratio="f"/>
                <v:textbox>
                  <w:txbxContent>
                    <w:p w14:paraId="1446BC2D">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工程变更被保险人应尽的责任</w:t>
                      </w:r>
                    </w:p>
                  </w:txbxContent>
                </v:textbox>
              </v:shape>
            </w:pict>
          </mc:Fallback>
        </mc:AlternateContent>
      </w:r>
      <w:r>
        <w:rPr>
          <w:rFonts w:hint="default" w:ascii="Times New Roman" w:hAnsi="Times New Roman" w:cs="Times New Roman"/>
          <w:color w:val="auto"/>
          <w:sz w:val="22"/>
          <w:szCs w:val="22"/>
          <w:highlight w:val="none"/>
        </w:rPr>
        <w:t>当合同工程的性质、规模或计划发生变更时，被保险人应及时通知保险人，并在合同履行期间按照本条规定保证足够的保险额，由此造成的费用由责任方承担。</w:t>
      </w:r>
    </w:p>
    <w:p w14:paraId="17DBC509">
      <w:pPr>
        <w:pStyle w:val="15"/>
        <w:tabs>
          <w:tab w:val="left" w:pos="1320"/>
        </w:tabs>
        <w:adjustRightInd w:val="0"/>
        <w:snapToGrid w:val="0"/>
        <w:spacing w:line="420" w:lineRule="exact"/>
        <w:rPr>
          <w:rFonts w:hint="default" w:ascii="Times New Roman" w:hAnsi="Times New Roman" w:cs="Times New Roman"/>
          <w:b/>
          <w:bCs/>
          <w:color w:val="auto"/>
          <w:sz w:val="22"/>
          <w:szCs w:val="22"/>
          <w:highlight w:val="none"/>
          <w:u w:val="dotted"/>
        </w:rPr>
      </w:pPr>
      <w:r>
        <w:rPr>
          <w:rFonts w:hint="default" w:ascii="Times New Roman" w:hAnsi="Times New Roman" w:cs="Times New Roman"/>
          <w:b/>
          <w:bCs/>
          <w:color w:val="auto"/>
          <w:sz w:val="22"/>
          <w:szCs w:val="22"/>
          <w:highlight w:val="none"/>
        </w:rPr>
        <w:t xml:space="preserve">32.7  </w:t>
      </w:r>
      <w:r>
        <w:rPr>
          <w:rFonts w:hint="default" w:ascii="Times New Roman" w:hAnsi="Times New Roman" w:cs="Times New Roman"/>
          <w:b/>
          <w:bCs/>
          <w:color w:val="auto"/>
          <w:sz w:val="22"/>
          <w:szCs w:val="22"/>
          <w:highlight w:val="none"/>
          <w:u w:val="dotted"/>
        </w:rPr>
        <w:t xml:space="preserve">                                                                                                        </w:t>
      </w:r>
    </w:p>
    <w:p w14:paraId="4EC1DD74">
      <w:pPr>
        <w:pStyle w:val="15"/>
        <w:tabs>
          <w:tab w:val="left" w:pos="1320"/>
        </w:tabs>
        <w:adjustRightInd w:val="0"/>
        <w:snapToGrid w:val="0"/>
        <w:spacing w:line="420" w:lineRule="exact"/>
        <w:ind w:left="1575" w:leftChars="750"/>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85216" behindDoc="0" locked="0" layoutInCell="1" allowOverlap="1">
                <wp:simplePos x="0" y="0"/>
                <wp:positionH relativeFrom="column">
                  <wp:posOffset>-66675</wp:posOffset>
                </wp:positionH>
                <wp:positionV relativeFrom="paragraph">
                  <wp:posOffset>13970</wp:posOffset>
                </wp:positionV>
                <wp:extent cx="914400" cy="425450"/>
                <wp:effectExtent l="0" t="0" r="0" b="0"/>
                <wp:wrapNone/>
                <wp:docPr id="130" name="文本框 130"/>
                <wp:cNvGraphicFramePr/>
                <a:graphic xmlns:a="http://schemas.openxmlformats.org/drawingml/2006/main">
                  <a:graphicData uri="http://schemas.microsoft.com/office/word/2010/wordprocessingShape">
                    <wps:wsp>
                      <wps:cNvSpPr txBox="1"/>
                      <wps:spPr>
                        <a:xfrm>
                          <a:off x="0" y="0"/>
                          <a:ext cx="914400" cy="425450"/>
                        </a:xfrm>
                        <a:prstGeom prst="rect">
                          <a:avLst/>
                        </a:prstGeom>
                        <a:noFill/>
                        <a:ln>
                          <a:noFill/>
                        </a:ln>
                        <a:effectLst/>
                      </wps:spPr>
                      <wps:txbx>
                        <w:txbxContent>
                          <w:p w14:paraId="07EA4265">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保险赔偿金的用途</w:t>
                            </w:r>
                          </w:p>
                        </w:txbxContent>
                      </wps:txbx>
                      <wps:bodyPr wrap="square" upright="1"/>
                    </wps:wsp>
                  </a:graphicData>
                </a:graphic>
              </wp:anchor>
            </w:drawing>
          </mc:Choice>
          <mc:Fallback>
            <w:pict>
              <v:shape id="_x0000_s1026" o:spid="_x0000_s1026" o:spt="202" type="#_x0000_t202" style="position:absolute;left:0pt;margin-left:-5.25pt;margin-top:1.1pt;height:33.5pt;width:72pt;z-index:251785216;mso-width-relative:page;mso-height-relative:page;" filled="f" stroked="f" coordsize="21600,21600" o:gfxdata="UEsDBAoAAAAAAIdO4kAAAAAAAAAAAAAAAAAEAAAAZHJzL1BLAwQUAAAACACHTuJAqT9TUdUAAAAI&#10;AQAADwAAAGRycy9kb3ducmV2LnhtbE2PwW7CMBBE75X4B2sr9QZ2QkEQsuFA1WurQovEzcRLEjVe&#10;R7Eh6d/XnNrjaEYzb/LtaFtxo943jhGSmQJBXDrTcIXweXidrkD4oNno1jEh/JCHbTF5yHVm3MAf&#10;dNuHSsQS9plGqEPoMil9WZPVfuY64uhdXG91iLKvpOn1EMttK1OlltLqhuNCrTva1VR+768W4evt&#10;cjo+q/fqxS66wY1Ksl1LxKfHRG1ABBrDXxju+BEdish0dlc2XrQI00QtYhQhTUHc/fk86jPCcp2C&#10;LHL5/0DxC1BLAwQUAAAACACHTuJAv7rhdrwBAABtAwAADgAAAGRycy9lMm9Eb2MueG1srVNLbtsw&#10;EN0XyB0I7mPJrlM0guUAhZFuirZAmgPQ1MgiwF85tCVfoL1BV91033P5HB1SipOmmyy6oYbzeZz3&#10;ZrS6GYxmBwionK35fFZyBla6Rtldze+/3F6+5QyjsI3QzkLNj4D8Zn3xatX7Chauc7qBwAjEYtX7&#10;mncx+qooUHZgBM6cB0vB1gUjIl3DrmiC6And6GJRlm+K3oXGBycBkbybMcgnxPASQNe2SsLGyb0B&#10;G0fUAFpEooSd8sjXudu2BRk/tS1CZLrmxDTmkx4he5vOYr0S1S4I3yk5tSBe0sIzTkYoS4+eoTYi&#10;CrYP6h8oo2Rw6No4k84UI5GsCLGYl8+0ueuEh8yFpEZ/Fh3/H6z8ePgcmGpoE16TJlYYGvnpx/fT&#10;z9+nX99YcpJEvceKMu885cbhnRso/cGP5EzMhzaY9CVOjOIEdjwLDENkkpzX8+WypIik0HJxtbzK&#10;6MVjsQ8Y34MzLBk1DzS/LKs4fMBIjVDqQ0p6y7pbpXWeobZ/OShx9EBegqk68Rj7TVYctsNEbuua&#10;I3HraRFqjl/3IgBnex/UrqM2MtcildAUchPTxqQxP72T/fQvWf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qT9TUdUAAAAIAQAADwAAAAAAAAABACAAAAAiAAAAZHJzL2Rvd25yZXYueG1sUEsBAhQA&#10;FAAAAAgAh07iQL+64Xa8AQAAbQMAAA4AAAAAAAAAAQAgAAAAJAEAAGRycy9lMm9Eb2MueG1sUEsF&#10;BgAAAAAGAAYAWQEAAFIFAAAAAA==&#10;">
                <v:fill on="f" focussize="0,0"/>
                <v:stroke on="f"/>
                <v:imagedata o:title=""/>
                <o:lock v:ext="edit" aspectratio="f"/>
                <v:textbox>
                  <w:txbxContent>
                    <w:p w14:paraId="07EA4265">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保险赔偿金的用途</w:t>
                      </w:r>
                    </w:p>
                  </w:txbxContent>
                </v:textbox>
              </v:shape>
            </w:pict>
          </mc:Fallback>
        </mc:AlternateContent>
      </w:r>
      <w:r>
        <w:rPr>
          <w:rFonts w:hint="default" w:ascii="Times New Roman" w:hAnsi="Times New Roman" w:cs="Times New Roman"/>
          <w:color w:val="auto"/>
          <w:sz w:val="22"/>
          <w:szCs w:val="22"/>
          <w:highlight w:val="none"/>
        </w:rPr>
        <w:t>从保险人收到的因合同工程本身损失或损坏的保险金</w:t>
      </w:r>
      <w:r>
        <w:rPr>
          <w:rFonts w:hint="default" w:ascii="Times New Roman" w:hAnsi="Times New Roman" w:cs="Times New Roman"/>
          <w:color w:val="auto"/>
          <w:sz w:val="22"/>
          <w:szCs w:val="22"/>
          <w:highlight w:val="none"/>
          <w:lang w:eastAsia="zh-CN"/>
        </w:rPr>
        <w:t>，</w:t>
      </w:r>
      <w:r>
        <w:rPr>
          <w:rFonts w:hint="default" w:ascii="Times New Roman" w:hAnsi="Times New Roman" w:cs="Times New Roman"/>
          <w:color w:val="auto"/>
          <w:sz w:val="22"/>
          <w:szCs w:val="22"/>
          <w:highlight w:val="none"/>
        </w:rPr>
        <w:t>应专项用于修复合同工程的损失或损坏，或作为对未能修复合同工程这些损失或损坏的补偿。</w:t>
      </w:r>
    </w:p>
    <w:p w14:paraId="40087B61">
      <w:pPr>
        <w:pStyle w:val="15"/>
        <w:tabs>
          <w:tab w:val="left" w:pos="1320"/>
        </w:tabs>
        <w:adjustRightInd w:val="0"/>
        <w:snapToGrid w:val="0"/>
        <w:spacing w:line="420" w:lineRule="exact"/>
        <w:rPr>
          <w:rFonts w:hint="default" w:ascii="Times New Roman" w:hAnsi="Times New Roman" w:cs="Times New Roman"/>
          <w:b/>
          <w:bCs/>
          <w:color w:val="auto"/>
          <w:sz w:val="22"/>
          <w:szCs w:val="22"/>
          <w:highlight w:val="none"/>
          <w:u w:val="dotted"/>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86240" behindDoc="0" locked="0" layoutInCell="1" allowOverlap="1">
                <wp:simplePos x="0" y="0"/>
                <wp:positionH relativeFrom="column">
                  <wp:posOffset>-114300</wp:posOffset>
                </wp:positionH>
                <wp:positionV relativeFrom="paragraph">
                  <wp:posOffset>227330</wp:posOffset>
                </wp:positionV>
                <wp:extent cx="914400" cy="407035"/>
                <wp:effectExtent l="0" t="0" r="0" b="0"/>
                <wp:wrapNone/>
                <wp:docPr id="131" name="文本框 131"/>
                <wp:cNvGraphicFramePr/>
                <a:graphic xmlns:a="http://schemas.openxmlformats.org/drawingml/2006/main">
                  <a:graphicData uri="http://schemas.microsoft.com/office/word/2010/wordprocessingShape">
                    <wps:wsp>
                      <wps:cNvSpPr txBox="1"/>
                      <wps:spPr>
                        <a:xfrm>
                          <a:off x="0" y="0"/>
                          <a:ext cx="914400" cy="407035"/>
                        </a:xfrm>
                        <a:prstGeom prst="rect">
                          <a:avLst/>
                        </a:prstGeom>
                        <a:noFill/>
                        <a:ln>
                          <a:noFill/>
                        </a:ln>
                        <a:effectLst/>
                      </wps:spPr>
                      <wps:txbx>
                        <w:txbxContent>
                          <w:p w14:paraId="2BF421BB">
                            <w:pPr>
                              <w:spacing w:line="240" w:lineRule="exact"/>
                              <w:rPr>
                                <w:rFonts w:ascii="宋体" w:cs="Times New Roman"/>
                                <w:sz w:val="18"/>
                                <w:szCs w:val="18"/>
                              </w:rPr>
                            </w:pPr>
                            <w:r>
                              <w:rPr>
                                <w:rFonts w:hint="eastAsia" w:ascii="楷体_GB2312" w:hAnsi="宋体" w:eastAsia="楷体_GB2312" w:cs="楷体_GB2312"/>
                                <w:b/>
                                <w:bCs/>
                                <w:color w:val="000000"/>
                                <w:sz w:val="18"/>
                                <w:szCs w:val="18"/>
                              </w:rPr>
                              <w:t>约定投保事项</w:t>
                            </w:r>
                          </w:p>
                        </w:txbxContent>
                      </wps:txbx>
                      <wps:bodyPr wrap="square" upright="1"/>
                    </wps:wsp>
                  </a:graphicData>
                </a:graphic>
              </wp:anchor>
            </w:drawing>
          </mc:Choice>
          <mc:Fallback>
            <w:pict>
              <v:shape id="_x0000_s1026" o:spid="_x0000_s1026" o:spt="202" type="#_x0000_t202" style="position:absolute;left:0pt;margin-left:-9pt;margin-top:17.9pt;height:32.05pt;width:72pt;z-index:251786240;mso-width-relative:page;mso-height-relative:page;" filled="f" stroked="f" coordsize="21600,21600" o:gfxdata="UEsDBAoAAAAAAIdO4kAAAAAAAAAAAAAAAAAEAAAAZHJzL1BLAwQUAAAACACHTuJAZdw8uNYAAAAJ&#10;AQAADwAAAGRycy9kb3ducmV2LnhtbE2PwU7DMAyG70i8Q2QkblvSwaa1q7sDiCuIDZC4Za3XVmuc&#10;qsnW8vZ4Jzja/vX7+/Lt5Dp1oSG0nhGSuQFFXPqq5RrhY/8yW4MK0XJlO8+E8EMBtsXtTW6zyo/8&#10;TpddrJWUcMgsQhNjn2kdyoacDXPfE8vt6Adno4xDravBjlLuOr0wZqWdbVk+NLanp4bK0+7sED5f&#10;j99fj+atfnbLfvST0exSjXh/l5gNqEhT/AvDFV/QoRCmgz9zFVSHMEvW4hIRHpaicA0sVrI4IKRp&#10;CrrI9X+D4hdQSwMEFAAAAAgAh07iQCiBqIm8AQAAbQMAAA4AAABkcnMvZTJvRG9jLnhtbK1TS27b&#10;MBDdF+gdCO5ryYnbpoLlAIGRboq2QJoD0NTIIsBfObQlX6C9QVfddN9z+RwdUoqbzyaLbKjhfB7n&#10;vRktLwej2R4CKmdrPp+VnIGVrlF2W/Pbb9dvLjjDKGwjtLNQ8wMgv1y9frXsfQVnrnO6gcAIxGLV&#10;+5p3MfqqKFB2YATOnAdLwdYFIyJdw7ZogugJ3ejirCzfFb0LjQ9OAiJ512OQT4jhOYCubZWEtZM7&#10;AzaOqAG0iEQJO+WRr3K3bQsyfmlbhMh0zYlpzCc9QvYmncVqKaptEL5TcmpBPKeFR5yMUJYePUGt&#10;RRRsF9QTKKNkcOjaOJPOFCORrAixmJePtLnphIfMhaRGfxIdXw5Wft5/DUw1tAnnc86sMDTy46+f&#10;x99/j39+sOQkiXqPFWXeeMqNw5UbKP3Oj+RMzIc2mPQlToziJPDhJDAMkUlyfpgvFiVFJIUW5fvy&#10;/G1CKf4X+4DxIzjDklHzQPPLsor9J4xj6l1Kesu6a6V1nqG2DxyEOXogL8FUnXiM/SYrDpthIrdx&#10;zYG49bQINcfvOxGAs50PattRG5lrkUpoCrnfaWPSmO/fyb7/l6z+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GXcPLjWAAAACQEAAA8AAAAAAAAAAQAgAAAAIgAAAGRycy9kb3ducmV2LnhtbFBLAQIU&#10;ABQAAAAIAIdO4kAogaiJvAEAAG0DAAAOAAAAAAAAAAEAIAAAACUBAABkcnMvZTJvRG9jLnhtbFBL&#10;BQYAAAAABgAGAFkBAABTBQAAAAA=&#10;">
                <v:fill on="f" focussize="0,0"/>
                <v:stroke on="f"/>
                <v:imagedata o:title=""/>
                <o:lock v:ext="edit" aspectratio="f"/>
                <v:textbox>
                  <w:txbxContent>
                    <w:p w14:paraId="2BF421BB">
                      <w:pPr>
                        <w:spacing w:line="240" w:lineRule="exact"/>
                        <w:rPr>
                          <w:rFonts w:ascii="宋体" w:cs="Times New Roman"/>
                          <w:sz w:val="18"/>
                          <w:szCs w:val="18"/>
                        </w:rPr>
                      </w:pPr>
                      <w:r>
                        <w:rPr>
                          <w:rFonts w:hint="eastAsia" w:ascii="楷体_GB2312" w:hAnsi="宋体" w:eastAsia="楷体_GB2312" w:cs="楷体_GB2312"/>
                          <w:b/>
                          <w:bCs/>
                          <w:color w:val="000000"/>
                          <w:sz w:val="18"/>
                          <w:szCs w:val="18"/>
                        </w:rPr>
                        <w:t>约定投保事项</w:t>
                      </w:r>
                    </w:p>
                  </w:txbxContent>
                </v:textbox>
              </v:shape>
            </w:pict>
          </mc:Fallback>
        </mc:AlternateContent>
      </w:r>
      <w:r>
        <w:rPr>
          <w:rFonts w:hint="default" w:ascii="Times New Roman" w:hAnsi="Times New Roman" w:cs="Times New Roman"/>
          <w:b/>
          <w:bCs/>
          <w:color w:val="auto"/>
          <w:sz w:val="22"/>
          <w:szCs w:val="22"/>
          <w:highlight w:val="none"/>
        </w:rPr>
        <w:t xml:space="preserve">32.8  </w:t>
      </w:r>
      <w:r>
        <w:rPr>
          <w:rFonts w:hint="default" w:ascii="Times New Roman" w:hAnsi="Times New Roman" w:cs="Times New Roman"/>
          <w:b/>
          <w:bCs/>
          <w:color w:val="auto"/>
          <w:sz w:val="22"/>
          <w:szCs w:val="22"/>
          <w:highlight w:val="none"/>
          <w:u w:val="dotted"/>
        </w:rPr>
        <w:t xml:space="preserve">                                                                                                        </w:t>
      </w:r>
    </w:p>
    <w:p w14:paraId="3C695B2C">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具体投保内容、保险金、保险期限及相关责任等事项，合同双方当事人应在专用条款中约定。</w:t>
      </w:r>
    </w:p>
    <w:p w14:paraId="08FD5F71">
      <w:pPr>
        <w:pStyle w:val="15"/>
        <w:adjustRightInd w:val="0"/>
        <w:snapToGrid w:val="0"/>
        <w:spacing w:line="420" w:lineRule="exact"/>
        <w:ind w:left="1618" w:leftChars="0" w:hanging="1618" w:hangingChars="735"/>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u w:val="single"/>
        </w:rPr>
        <w:t xml:space="preserve">                                                                                                             </w:t>
      </w:r>
    </w:p>
    <w:p w14:paraId="1EC4F1E1">
      <w:pPr>
        <w:spacing w:line="420" w:lineRule="exact"/>
        <w:jc w:val="center"/>
        <w:outlineLvl w:val="1"/>
        <w:rPr>
          <w:rFonts w:hint="default" w:ascii="Times New Roman" w:hAnsi="Times New Roman" w:eastAsia="方正小标宋_GBK" w:cs="Times New Roman"/>
          <w:b/>
          <w:bCs/>
          <w:color w:val="auto"/>
          <w:sz w:val="24"/>
          <w:szCs w:val="24"/>
          <w:highlight w:val="none"/>
        </w:rPr>
      </w:pPr>
      <w:bookmarkStart w:id="157" w:name="_Toc625106905"/>
      <w:bookmarkStart w:id="158" w:name="_Toc469384014"/>
      <w:bookmarkStart w:id="159" w:name="_Toc30694"/>
      <w:r>
        <w:rPr>
          <w:rFonts w:hint="default" w:ascii="Times New Roman" w:hAnsi="Times New Roman" w:eastAsia="方正小标宋_GBK" w:cs="Times New Roman"/>
          <w:b/>
          <w:bCs/>
          <w:color w:val="auto"/>
          <w:sz w:val="24"/>
          <w:szCs w:val="24"/>
          <w:highlight w:val="none"/>
        </w:rPr>
        <w:t>四、工  期</w:t>
      </w:r>
      <w:bookmarkEnd w:id="157"/>
      <w:bookmarkEnd w:id="158"/>
      <w:bookmarkEnd w:id="159"/>
    </w:p>
    <w:p w14:paraId="11AECE84">
      <w:pPr>
        <w:pStyle w:val="15"/>
        <w:tabs>
          <w:tab w:val="left" w:pos="540"/>
        </w:tabs>
        <w:adjustRightInd w:val="0"/>
        <w:snapToGrid w:val="0"/>
        <w:spacing w:before="240" w:beforeLines="100" w:line="420" w:lineRule="exact"/>
        <w:outlineLvl w:val="2"/>
        <w:rPr>
          <w:rFonts w:hint="default" w:ascii="Times New Roman" w:hAnsi="Times New Roman" w:cs="Times New Roman"/>
          <w:b/>
          <w:bCs/>
          <w:color w:val="auto"/>
          <w:sz w:val="22"/>
          <w:szCs w:val="22"/>
          <w:highlight w:val="none"/>
        </w:rPr>
      </w:pPr>
      <w:bookmarkStart w:id="160" w:name="_Toc4373"/>
      <w:bookmarkStart w:id="161" w:name="_Toc469384015"/>
      <w:r>
        <w:rPr>
          <w:rFonts w:hint="default" w:ascii="Times New Roman" w:hAnsi="Times New Roman" w:cs="Times New Roman"/>
          <w:b/>
          <w:bCs/>
          <w:color w:val="auto"/>
          <w:sz w:val="22"/>
          <w:szCs w:val="22"/>
          <w:highlight w:val="none"/>
        </w:rPr>
        <w:t>33  进度计划和报告</w:t>
      </w:r>
      <w:bookmarkEnd w:id="160"/>
      <w:bookmarkEnd w:id="161"/>
    </w:p>
    <w:p w14:paraId="77E315AB">
      <w:pPr>
        <w:pStyle w:val="15"/>
        <w:tabs>
          <w:tab w:val="left" w:pos="1620"/>
        </w:tabs>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87264" behindDoc="0" locked="0" layoutInCell="1" allowOverlap="1">
                <wp:simplePos x="0" y="0"/>
                <wp:positionH relativeFrom="column">
                  <wp:posOffset>-114300</wp:posOffset>
                </wp:positionH>
                <wp:positionV relativeFrom="paragraph">
                  <wp:posOffset>283845</wp:posOffset>
                </wp:positionV>
                <wp:extent cx="914400" cy="412750"/>
                <wp:effectExtent l="0" t="0" r="0" b="0"/>
                <wp:wrapNone/>
                <wp:docPr id="132" name="文本框 132"/>
                <wp:cNvGraphicFramePr/>
                <a:graphic xmlns:a="http://schemas.openxmlformats.org/drawingml/2006/main">
                  <a:graphicData uri="http://schemas.microsoft.com/office/word/2010/wordprocessingShape">
                    <wps:wsp>
                      <wps:cNvSpPr txBox="1"/>
                      <wps:spPr>
                        <a:xfrm>
                          <a:off x="0" y="0"/>
                          <a:ext cx="914400" cy="412750"/>
                        </a:xfrm>
                        <a:prstGeom prst="rect">
                          <a:avLst/>
                        </a:prstGeom>
                        <a:noFill/>
                        <a:ln>
                          <a:noFill/>
                        </a:ln>
                        <a:effectLst/>
                      </wps:spPr>
                      <wps:txbx>
                        <w:txbxContent>
                          <w:p w14:paraId="4DBD508C">
                            <w:pPr>
                              <w:spacing w:line="240" w:lineRule="exact"/>
                              <w:rPr>
                                <w:rFonts w:ascii="楷体_GB2312" w:hAnsi="宋体" w:eastAsia="楷体_GB2312" w:cs="Times New Roman"/>
                                <w:sz w:val="18"/>
                                <w:szCs w:val="18"/>
                              </w:rPr>
                            </w:pPr>
                            <w:r>
                              <w:rPr>
                                <w:rFonts w:hint="eastAsia" w:ascii="楷体_GB2312" w:hAnsi="宋体" w:eastAsia="楷体_GB2312" w:cs="楷体_GB2312"/>
                                <w:b/>
                                <w:bCs/>
                                <w:color w:val="000000"/>
                                <w:sz w:val="18"/>
                                <w:szCs w:val="18"/>
                              </w:rPr>
                              <w:t>提交工程进度计划</w:t>
                            </w:r>
                          </w:p>
                        </w:txbxContent>
                      </wps:txbx>
                      <wps:bodyPr wrap="square" upright="1"/>
                    </wps:wsp>
                  </a:graphicData>
                </a:graphic>
              </wp:anchor>
            </w:drawing>
          </mc:Choice>
          <mc:Fallback>
            <w:pict>
              <v:shape id="_x0000_s1026" o:spid="_x0000_s1026" o:spt="202" type="#_x0000_t202" style="position:absolute;left:0pt;margin-left:-9pt;margin-top:22.35pt;height:32.5pt;width:72pt;z-index:251787264;mso-width-relative:page;mso-height-relative:page;" filled="f" stroked="f" coordsize="21600,21600" o:gfxdata="UEsDBAoAAAAAAIdO4kAAAAAAAAAAAAAAAAAEAAAAZHJzL1BLAwQUAAAACACHTuJAd3G4O9gAAAAK&#10;AQAADwAAAGRycy9kb3ducmV2LnhtbE2PzU7DMBCE70h9B2uRuLV2qvQvxOmhiCuIQitxc+NtEhGv&#10;o9htwtt3e4Lb7s5o9pt8O7pWXLEPjScNyUyBQCq9bajS8PX5Ol2DCNGQNa0n1PCLAbbF5CE3mfUD&#10;feB1HyvBIRQyo6GOscukDGWNzoSZ75BYO/vemchrX0nbm4HDXSvnSi2lMw3xh9p0uKux/NlfnIbD&#10;2/n7mKr36sUtusGPSpLbSK2fHhP1DCLiGP/McMdndCiY6eQvZINoNUyTNXeJGtJ0BeJumC/5cOJB&#10;bVYgi1z+r1DcAFBLAwQUAAAACACHTuJA2hstV70BAABtAwAADgAAAGRycy9lMm9Eb2MueG1srVNL&#10;btswEN0XyB0I7mPJrvsTLAcojGRTtAXSHoCmhhYB8RMObckXaG/QVTfd91w+R4aU4qbpJotuqOF8&#10;Hue9Ga2uBtOxAwTUztZ8Pis5Aytdo+2u5l+/XF++5QyjsI3onIWaHwH51frixar3FSxc67oGAiMQ&#10;i1Xva97G6KuiQNmCEThzHiwFlQtGRLqGXdEE0RO66YpFWb4uehcaH5wERPJuxiCfEMNzAJ1SWsLG&#10;yb0BG0fUAJ2IRAlb7ZGvc7dKgYyflEKIrKs5MY35pEfI3qazWK9EtQvCt1pOLYjntPCEkxHa0qNn&#10;qI2Igu2D/gfKaBkcOhVn0pliJJIVIRbz8ok2t63wkLmQ1OjPouP/g5UfD58D0w1twssFZ1YYGvnp&#10;x/fTz9+nX99YcpJEvceKMm895cbhvRso/cGP5EzMBxVM+hInRnES+HgWGIbIJDnfzZfLkiKSQsv5&#10;4s2rPIDiT7EPGG/AGZaMmgeaX5ZVHD5gpEYo9SElvWXdte66PMPO/uWgxNEDeQmm6sRj7DdZcdgO&#10;E7mta47EradFqDne7UUAzvY+6F1LbWSuRSqhKeQmpo1JY358J/vxX7K+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HdxuDvYAAAACgEAAA8AAAAAAAAAAQAgAAAAIgAAAGRycy9kb3ducmV2LnhtbFBL&#10;AQIUABQAAAAIAIdO4kDaGy1XvQEAAG0DAAAOAAAAAAAAAAEAIAAAACcBAABkcnMvZTJvRG9jLnht&#10;bFBLBQYAAAAABgAGAFkBAABWBQAAAAA=&#10;">
                <v:fill on="f" focussize="0,0"/>
                <v:stroke on="f"/>
                <v:imagedata o:title=""/>
                <o:lock v:ext="edit" aspectratio="f"/>
                <v:textbox>
                  <w:txbxContent>
                    <w:p w14:paraId="4DBD508C">
                      <w:pPr>
                        <w:spacing w:line="240" w:lineRule="exact"/>
                        <w:rPr>
                          <w:rFonts w:ascii="楷体_GB2312" w:hAnsi="宋体" w:eastAsia="楷体_GB2312" w:cs="Times New Roman"/>
                          <w:sz w:val="18"/>
                          <w:szCs w:val="18"/>
                        </w:rPr>
                      </w:pPr>
                      <w:r>
                        <w:rPr>
                          <w:rFonts w:hint="eastAsia" w:ascii="楷体_GB2312" w:hAnsi="宋体" w:eastAsia="楷体_GB2312" w:cs="楷体_GB2312"/>
                          <w:b/>
                          <w:bCs/>
                          <w:color w:val="000000"/>
                          <w:sz w:val="18"/>
                          <w:szCs w:val="18"/>
                        </w:rPr>
                        <w:t>提交工程进度计划</w:t>
                      </w:r>
                    </w:p>
                  </w:txbxContent>
                </v:textbox>
              </v:shape>
            </w:pict>
          </mc:Fallback>
        </mc:AlternateContent>
      </w:r>
      <w:r>
        <w:rPr>
          <w:rFonts w:hint="default" w:ascii="Times New Roman" w:hAnsi="Times New Roman" w:cs="Times New Roman"/>
          <w:b/>
          <w:bCs/>
          <w:color w:val="auto"/>
          <w:sz w:val="22"/>
          <w:szCs w:val="22"/>
          <w:highlight w:val="none"/>
        </w:rPr>
        <w:t xml:space="preserve">33.1      </w:t>
      </w:r>
    </w:p>
    <w:p w14:paraId="042FE4F8">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承包人应在签订本合同后的31天内，向监理工程师提交一式两份施工组织设计和合同工程进度计划，向发包方提交一份施工组织设计和合同工程进度计划。经发包人批准后，监理工程师应在收到该设计和计划后的7天内予以确认或提出修改意见，逾期不确认也不提出书面意见的，视为同意。工程进度计划，应对合同工程的全部施工作业提出总体上的施工方法、施工安排、作业顺序和时间表。合同约定有单位工程的，承包人还应编制单位工程进度计划。</w:t>
      </w:r>
    </w:p>
    <w:p w14:paraId="567A345E">
      <w:pPr>
        <w:pStyle w:val="15"/>
        <w:tabs>
          <w:tab w:val="left" w:pos="1620"/>
        </w:tabs>
        <w:adjustRightInd w:val="0"/>
        <w:snapToGrid w:val="0"/>
        <w:spacing w:line="420" w:lineRule="exact"/>
        <w:rPr>
          <w:rFonts w:hint="default" w:ascii="Times New Roman" w:hAnsi="Times New Roman" w:cs="Times New Roman"/>
          <w:b/>
          <w:bCs/>
          <w:color w:val="auto"/>
          <w:sz w:val="22"/>
          <w:szCs w:val="22"/>
          <w:highlight w:val="none"/>
          <w:u w:val="dotted"/>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88288" behindDoc="0" locked="0" layoutInCell="1" allowOverlap="1">
                <wp:simplePos x="0" y="0"/>
                <wp:positionH relativeFrom="column">
                  <wp:posOffset>-114300</wp:posOffset>
                </wp:positionH>
                <wp:positionV relativeFrom="paragraph">
                  <wp:posOffset>281305</wp:posOffset>
                </wp:positionV>
                <wp:extent cx="914400" cy="471805"/>
                <wp:effectExtent l="0" t="0" r="0" b="0"/>
                <wp:wrapNone/>
                <wp:docPr id="133" name="文本框 133"/>
                <wp:cNvGraphicFramePr/>
                <a:graphic xmlns:a="http://schemas.openxmlformats.org/drawingml/2006/main">
                  <a:graphicData uri="http://schemas.microsoft.com/office/word/2010/wordprocessingShape">
                    <wps:wsp>
                      <wps:cNvSpPr txBox="1"/>
                      <wps:spPr>
                        <a:xfrm>
                          <a:off x="0" y="0"/>
                          <a:ext cx="914400" cy="471805"/>
                        </a:xfrm>
                        <a:prstGeom prst="rect">
                          <a:avLst/>
                        </a:prstGeom>
                        <a:noFill/>
                        <a:ln>
                          <a:noFill/>
                        </a:ln>
                        <a:effectLst/>
                      </wps:spPr>
                      <wps:txbx>
                        <w:txbxContent>
                          <w:p w14:paraId="62A4D33A">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工程进度的监督和检查</w:t>
                            </w:r>
                          </w:p>
                        </w:txbxContent>
                      </wps:txbx>
                      <wps:bodyPr wrap="square" upright="1"/>
                    </wps:wsp>
                  </a:graphicData>
                </a:graphic>
              </wp:anchor>
            </w:drawing>
          </mc:Choice>
          <mc:Fallback>
            <w:pict>
              <v:shape id="_x0000_s1026" o:spid="_x0000_s1026" o:spt="202" type="#_x0000_t202" style="position:absolute;left:0pt;margin-left:-9pt;margin-top:22.15pt;height:37.15pt;width:72pt;z-index:251788288;mso-width-relative:page;mso-height-relative:page;" filled="f" stroked="f" coordsize="21600,21600" o:gfxdata="UEsDBAoAAAAAAIdO4kAAAAAAAAAAAAAAAAAEAAAAZHJzL1BLAwQUAAAACACHTuJASB+0eNcAAAAK&#10;AQAADwAAAGRycy9kb3ducmV2LnhtbE2PQU/DMAyF70j7D5EncduSjlKV0nQHEFcQg03iljVeW9E4&#10;VZOt5d/jneBm+z09f6/czq4XFxxD50lDslYgkGpvO2o0fH68rHIQIRqypveEGn4wwLZa3JSmsH6i&#10;d7zsYiM4hEJhNLQxDoWUoW7RmbD2AxJrJz86E3kdG2lHM3G46+VGqUw60xF/aM2ATy3W37uz07B/&#10;PX0dUvXWPLv7YfKzkuQepNa3y0Q9gog4xz8zXPEZHSpmOvoz2SB6Dask5y5RQ5regbgaNhkfjjwk&#10;eQayKuX/CtUvUEsDBBQAAAAIAIdO4kBjw326vAEAAG0DAAAOAAAAZHJzL2Uyb0RvYy54bWytU0tu&#10;2zAQ3RfoHQjua8mJ26aC5QCFkWyKtkCSA9DU0CLAXzi0JV+gvUFX3XTfc/kcGUqKm6abLLqhhvN5&#10;nPdmtLzsrWF7iKi9q/l8VnIGTvpGu23N726v3lxwhkm4RhjvoOYHQH65ev1q2YUKznzrTQOREYjD&#10;qgs1b1MKVVGgbMEKnPkAjoLKRysSXeO2aKLoCN2a4qws3xWdj02IXgIieddjkE+I8SWAXiktYe3l&#10;zoJLI2oEIxJRwlYH5KuhW6VApi9KISRmak5M03DSI2Rv8lmslqLaRhFaLacWxEtaeMbJCu3o0RPU&#10;WiTBdlH/A2W1jB69SjPpbTESGRQhFvPymTY3rQgwcCGpMZxEx/8HKz/vv0amG9qE83POnLA08uOP&#10;78efv4+/vrHsJIm6gBVl3gTKTf1H31P6ox/JmZn3Ktr8JU6M4iTw4SQw9IlJcn6YLxYlRSSFFu/n&#10;F+XbjFL8KQ4R0zV4y7JR80jzG2QV+0+YxtTHlPyW81famGGGxv3lIMzRA8MSTNWZx9hvtlK/6Sdy&#10;G98ciFtHi1BzvN+JCJztQtTbltoYuBa5hKYw9DttTB7z0zvZT/+S1Q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IH7R41wAAAAoBAAAPAAAAAAAAAAEAIAAAACIAAABkcnMvZG93bnJldi54bWxQSwEC&#10;FAAUAAAACACHTuJAY8N9urwBAABtAwAADgAAAAAAAAABACAAAAAmAQAAZHJzL2Uyb0RvYy54bWxQ&#10;SwUGAAAAAAYABgBZAQAAVAUAAAAA&#10;">
                <v:fill on="f" focussize="0,0"/>
                <v:stroke on="f"/>
                <v:imagedata o:title=""/>
                <o:lock v:ext="edit" aspectratio="f"/>
                <v:textbox>
                  <w:txbxContent>
                    <w:p w14:paraId="62A4D33A">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工程进度的监督和检查</w:t>
                      </w:r>
                    </w:p>
                  </w:txbxContent>
                </v:textbox>
              </v:shape>
            </w:pict>
          </mc:Fallback>
        </mc:AlternateContent>
      </w:r>
      <w:r>
        <w:rPr>
          <w:rFonts w:hint="default" w:ascii="Times New Roman" w:hAnsi="Times New Roman" w:cs="Times New Roman"/>
          <w:b/>
          <w:bCs/>
          <w:color w:val="auto"/>
          <w:sz w:val="22"/>
          <w:szCs w:val="22"/>
          <w:highlight w:val="none"/>
        </w:rPr>
        <w:t xml:space="preserve">33.2  </w:t>
      </w:r>
      <w:r>
        <w:rPr>
          <w:rFonts w:hint="default" w:ascii="Times New Roman" w:hAnsi="Times New Roman" w:cs="Times New Roman"/>
          <w:b/>
          <w:bCs/>
          <w:color w:val="auto"/>
          <w:sz w:val="22"/>
          <w:szCs w:val="22"/>
          <w:highlight w:val="none"/>
          <w:u w:val="dotted"/>
        </w:rPr>
        <w:t xml:space="preserve">                                                                                                        </w:t>
      </w:r>
    </w:p>
    <w:p w14:paraId="67B83438">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承包人应按照经监理工程师确认并由其报发包人批准的进度计划组织施工，接受监理工程师对工程进度的监督和检查。</w:t>
      </w:r>
    </w:p>
    <w:p w14:paraId="5F3D8DBE">
      <w:pPr>
        <w:pStyle w:val="15"/>
        <w:tabs>
          <w:tab w:val="left" w:pos="1620"/>
        </w:tabs>
        <w:adjustRightInd w:val="0"/>
        <w:snapToGrid w:val="0"/>
        <w:spacing w:line="420" w:lineRule="exact"/>
        <w:rPr>
          <w:rFonts w:hint="default" w:ascii="Times New Roman" w:hAnsi="Times New Roman" w:cs="Times New Roman"/>
          <w:b/>
          <w:bCs/>
          <w:color w:val="auto"/>
          <w:sz w:val="22"/>
          <w:szCs w:val="22"/>
          <w:highlight w:val="none"/>
          <w:u w:val="dotted"/>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89312" behindDoc="0" locked="0" layoutInCell="1" allowOverlap="1">
                <wp:simplePos x="0" y="0"/>
                <wp:positionH relativeFrom="column">
                  <wp:posOffset>-114300</wp:posOffset>
                </wp:positionH>
                <wp:positionV relativeFrom="paragraph">
                  <wp:posOffset>265430</wp:posOffset>
                </wp:positionV>
                <wp:extent cx="914400" cy="555625"/>
                <wp:effectExtent l="0" t="0" r="0" b="0"/>
                <wp:wrapNone/>
                <wp:docPr id="134" name="文本框 134"/>
                <wp:cNvGraphicFramePr/>
                <a:graphic xmlns:a="http://schemas.openxmlformats.org/drawingml/2006/main">
                  <a:graphicData uri="http://schemas.microsoft.com/office/word/2010/wordprocessingShape">
                    <wps:wsp>
                      <wps:cNvSpPr txBox="1"/>
                      <wps:spPr>
                        <a:xfrm>
                          <a:off x="0" y="0"/>
                          <a:ext cx="914400" cy="555625"/>
                        </a:xfrm>
                        <a:prstGeom prst="rect">
                          <a:avLst/>
                        </a:prstGeom>
                        <a:noFill/>
                        <a:ln>
                          <a:noFill/>
                        </a:ln>
                        <a:effectLst/>
                      </wps:spPr>
                      <wps:txbx>
                        <w:txbxContent>
                          <w:p w14:paraId="14C1D993">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提交施工进度报告和修订进度计划</w:t>
                            </w:r>
                          </w:p>
                        </w:txbxContent>
                      </wps:txbx>
                      <wps:bodyPr wrap="square" upright="1"/>
                    </wps:wsp>
                  </a:graphicData>
                </a:graphic>
              </wp:anchor>
            </w:drawing>
          </mc:Choice>
          <mc:Fallback>
            <w:pict>
              <v:shape id="_x0000_s1026" o:spid="_x0000_s1026" o:spt="202" type="#_x0000_t202" style="position:absolute;left:0pt;margin-left:-9pt;margin-top:20.9pt;height:43.75pt;width:72pt;z-index:251789312;mso-width-relative:page;mso-height-relative:page;" filled="f" stroked="f" coordsize="21600,21600" o:gfxdata="UEsDBAoAAAAAAIdO4kAAAAAAAAAAAAAAAAAEAAAAZHJzL1BLAwQUAAAACACHTuJA4Lm4CNcAAAAK&#10;AQAADwAAAGRycy9kb3ducmV2LnhtbE2PQW/CMAyF75P4D5GRdoOkjCEoTTmAdt002CbtFhrTVjRO&#10;1QTa/fu5p+1m+z09fy/bDa4Rd+xC7UlDMlcgkApvayo1fJxeZmsQIRqypvGEGn4wwC6fPGQmtb6n&#10;d7wfYyk4hEJqNFQxtqmUoajQmTD3LRJrF985E3ntSmk703O4a+RCqZV0pib+UJkW9xUW1+PNafh8&#10;vXx/LdVbeXDPbe8HJcltpNaP00RtQUQc4p8ZRnxGh5yZzv5GNohGwyxZc5eoYZlwhdGwWPHhPA6b&#10;J5B5Jv9XyH8BUEsDBBQAAAAIAIdO4kDEYgtqvAEAAG0DAAAOAAAAZHJzL2Uyb0RvYy54bWytU82O&#10;0zAQviPxDpbv1GlpVxA1XQlVywUB0sIDuM6ksRT/4HGb9AXgDThx4c5z9TkYO9my7F72sBdnPD+f&#10;5/tmsr4eTMeOEFA7W/H5rOAMrHK1tvuKf/1y8+oNZxilrWXnLFT8BMivNy9frHtfwsK1rqshMAKx&#10;WPa+4m2MvhQCVQtG4sx5sBRsXDAy0jXsRR1kT+imE4uiuBK9C7UPTgEiebdjkE+I4SmArmm0gq1T&#10;BwM2jqgBOhmJErbaI9/kbpsGVPzUNAiRdRUnpjGf9AjZu3SKzVqW+yB9q9XUgnxKCw84GaktPXqB&#10;2soo2SHoR1BGq+DQNXGmnBEjkawIsZgXD7S5baWHzIWkRn8RHZ8PVn08fg5M17QJr5ecWWlo5Oef&#10;P86//px/f2fJSRL1HkvKvPWUG4d3bqD0Oz+SMzEfmmDSlzgxipPAp4vAMESmyPl2vlwWFFEUWq1W&#10;V4tVQhH/in3A+B6cYcmoeKD5ZVnl8QPGMfUuJb1l3Y3uujzDzv7nIMzRA3kJpurEY+w3WXHYDRO5&#10;natPxK2nRag4fjvIAJwdfND7ltrIXEUqoSnkfqeNSWO+fyf7/l+y+Q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gubgI1wAAAAoBAAAPAAAAAAAAAAEAIAAAACIAAABkcnMvZG93bnJldi54bWxQSwEC&#10;FAAUAAAACACHTuJAxGILarwBAABtAwAADgAAAAAAAAABACAAAAAmAQAAZHJzL2Uyb0RvYy54bWxQ&#10;SwUGAAAAAAYABgBZAQAAVAUAAAAA&#10;">
                <v:fill on="f" focussize="0,0"/>
                <v:stroke on="f"/>
                <v:imagedata o:title=""/>
                <o:lock v:ext="edit" aspectratio="f"/>
                <v:textbox>
                  <w:txbxContent>
                    <w:p w14:paraId="14C1D993">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提交施工进度报告和修订进度计划</w:t>
                      </w:r>
                    </w:p>
                  </w:txbxContent>
                </v:textbox>
              </v:shape>
            </w:pict>
          </mc:Fallback>
        </mc:AlternateContent>
      </w:r>
      <w:r>
        <w:rPr>
          <w:rFonts w:hint="default" w:ascii="Times New Roman" w:hAnsi="Times New Roman" w:cs="Times New Roman"/>
          <w:b/>
          <w:bCs/>
          <w:color w:val="auto"/>
          <w:sz w:val="22"/>
          <w:szCs w:val="22"/>
          <w:highlight w:val="none"/>
        </w:rPr>
        <w:t xml:space="preserve">33.3  </w:t>
      </w:r>
      <w:r>
        <w:rPr>
          <w:rFonts w:hint="default" w:ascii="Times New Roman" w:hAnsi="Times New Roman" w:cs="Times New Roman"/>
          <w:b/>
          <w:bCs/>
          <w:color w:val="auto"/>
          <w:sz w:val="22"/>
          <w:szCs w:val="22"/>
          <w:highlight w:val="none"/>
          <w:u w:val="dotted"/>
        </w:rPr>
        <w:t xml:space="preserve">                                                                                                        </w:t>
      </w:r>
    </w:p>
    <w:p w14:paraId="7861B7CC">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除专用条款另有约定外，承包人应编制每月施工进度报告，同时每季度对进度计划修订一次，并在每月或季结束后的7天内向监理工程师提交上述报告和修订计划一式两份。月施工进度报告的内容至少应包括：</w:t>
      </w:r>
    </w:p>
    <w:p w14:paraId="3FF66397">
      <w:pPr>
        <w:pStyle w:val="15"/>
        <w:adjustRightInd w:val="0"/>
        <w:snapToGrid w:val="0"/>
        <w:spacing w:line="420" w:lineRule="exact"/>
        <w:ind w:firstLine="1430" w:firstLineChars="65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（1）施工、安装、试验以及其他发包人工作等进展情况的图表和说明；</w:t>
      </w:r>
    </w:p>
    <w:p w14:paraId="5AB8FEBF">
      <w:pPr>
        <w:pStyle w:val="15"/>
        <w:adjustRightInd w:val="0"/>
        <w:snapToGrid w:val="0"/>
        <w:spacing w:line="420" w:lineRule="exact"/>
        <w:ind w:firstLine="1430" w:firstLineChars="65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（2）材料、设备、货物的采购和制造商名称、地点以及进入现场情况；</w:t>
      </w:r>
    </w:p>
    <w:p w14:paraId="5A34D435">
      <w:pPr>
        <w:pStyle w:val="15"/>
        <w:adjustRightInd w:val="0"/>
        <w:snapToGrid w:val="0"/>
        <w:spacing w:line="420" w:lineRule="exact"/>
        <w:ind w:firstLine="1430" w:firstLineChars="65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（3）索赔情况和安全统计；</w:t>
      </w:r>
    </w:p>
    <w:p w14:paraId="475D69D8">
      <w:pPr>
        <w:pStyle w:val="15"/>
        <w:adjustRightInd w:val="0"/>
        <w:snapToGrid w:val="0"/>
        <w:spacing w:line="420" w:lineRule="exact"/>
        <w:ind w:firstLine="1430" w:firstLineChars="65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（4）实际进度与计划进度的对比，以及为消除延误正在或准备采取的措施。</w:t>
      </w:r>
    </w:p>
    <w:p w14:paraId="2662624D">
      <w:pPr>
        <w:pStyle w:val="15"/>
        <w:tabs>
          <w:tab w:val="left" w:pos="1620"/>
        </w:tabs>
        <w:adjustRightInd w:val="0"/>
        <w:snapToGrid w:val="0"/>
        <w:spacing w:line="420" w:lineRule="exact"/>
        <w:rPr>
          <w:rFonts w:hint="default" w:ascii="Times New Roman" w:hAnsi="Times New Roman" w:cs="Times New Roman"/>
          <w:color w:val="auto"/>
          <w:sz w:val="22"/>
          <w:szCs w:val="22"/>
          <w:highlight w:val="none"/>
          <w:u w:val="dotted"/>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90336" behindDoc="0" locked="0" layoutInCell="1" allowOverlap="1">
                <wp:simplePos x="0" y="0"/>
                <wp:positionH relativeFrom="column">
                  <wp:posOffset>-114300</wp:posOffset>
                </wp:positionH>
                <wp:positionV relativeFrom="paragraph">
                  <wp:posOffset>243840</wp:posOffset>
                </wp:positionV>
                <wp:extent cx="914400" cy="644525"/>
                <wp:effectExtent l="0" t="0" r="0" b="0"/>
                <wp:wrapNone/>
                <wp:docPr id="138" name="文本框 138"/>
                <wp:cNvGraphicFramePr/>
                <a:graphic xmlns:a="http://schemas.openxmlformats.org/drawingml/2006/main">
                  <a:graphicData uri="http://schemas.microsoft.com/office/word/2010/wordprocessingShape">
                    <wps:wsp>
                      <wps:cNvSpPr txBox="1"/>
                      <wps:spPr>
                        <a:xfrm>
                          <a:off x="0" y="0"/>
                          <a:ext cx="914400" cy="644525"/>
                        </a:xfrm>
                        <a:prstGeom prst="rect">
                          <a:avLst/>
                        </a:prstGeom>
                        <a:noFill/>
                        <a:ln>
                          <a:noFill/>
                        </a:ln>
                        <a:effectLst/>
                      </wps:spPr>
                      <wps:txbx>
                        <w:txbxContent>
                          <w:p w14:paraId="668AC349">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实际进度与进度计划不符时的处理</w:t>
                            </w:r>
                          </w:p>
                        </w:txbxContent>
                      </wps:txbx>
                      <wps:bodyPr wrap="square" upright="1"/>
                    </wps:wsp>
                  </a:graphicData>
                </a:graphic>
              </wp:anchor>
            </w:drawing>
          </mc:Choice>
          <mc:Fallback>
            <w:pict>
              <v:shape id="_x0000_s1026" o:spid="_x0000_s1026" o:spt="202" type="#_x0000_t202" style="position:absolute;left:0pt;margin-left:-9pt;margin-top:19.2pt;height:50.75pt;width:72pt;z-index:251790336;mso-width-relative:page;mso-height-relative:page;" filled="f" stroked="f" coordsize="21600,21600" o:gfxdata="UEsDBAoAAAAAAIdO4kAAAAAAAAAAAAAAAAAEAAAAZHJzL1BLAwQUAAAACACHTuJAoemlUNgAAAAK&#10;AQAADwAAAGRycy9kb3ducmV2LnhtbE2PzW7CMBCE75X6DtZW4gZ2gKIkjcOhVa+g0h+pNxMvSdR4&#10;HcWGhLfvcmpvuzuj2W+K7eQ6ccEhtJ40JAsFAqnytqVaw8f76zwFEaIhazpPqOGKAbbl/V1hcutH&#10;esPLIdaCQyjkRkMTY59LGaoGnQkL3yOxdvKDM5HXoZZ2MCOHu04uldpIZ1riD43p8bnB6udwdho+&#10;d6fvr7Xa1y/usR/9pCS5TGo9e0jUE4iIU/wzww2f0aFkpqM/kw2i0zBPUu4SNazSNYibYbnhw5GH&#10;VZaBLAv5v0L5C1BLAwQUAAAACACHTuJAfEmCfbwBAABtAwAADgAAAGRycy9lMm9Eb2MueG1srVNL&#10;btswEN0XyB0I7mvJrhO0guUAhZFsirZA2gPQ1NAiwF85tCVfILlBV91033P5HB1Kipummyy6oYbz&#10;eZz3ZrS67q1hB4iovav5fFZyBk76Rrtdzb9+uXn9ljNMwjXCeAc1PwLy6/XFq1UXKlj41psGIiMQ&#10;h1UXat6mFKqiQNmCFTjzARwFlY9WJLrGXdFE0RG6NcWiLK+KzscmRC8BkbybMcgnxPgSQK+UlrDx&#10;cm/BpRE1ghGJKGGrA/L10K1SINMnpRASMzUnpmk46RGyt/ks1itR7aIIrZZTC+IlLTzjZIV29OgZ&#10;aiOSYPuo/4GyWkaPXqWZ9LYYiQyKEIt5+Uybu1YEGLiQ1BjOouP/g5UfD58j0w1twhsavBOWRn76&#10;/nD68ev0855lJ0nUBawo8y5Qburf+57SH/1Izsy8V9HmL3FiFCeBj2eBoU9MkvPdfLksKSIpdLVc&#10;Xi4uM0rxpzhETLfgLctGzSPNb5BVHD5gGlMfU/Jbzt9oY4YZGveXgzBHDwxLMFVnHmO/2Ur9tp/I&#10;bX1zJG4dLULN8dteROBsH6LetdTGwLXIJTSFod9pY/KYn97JfvqXrH8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oemlUNgAAAAKAQAADwAAAAAAAAABACAAAAAiAAAAZHJzL2Rvd25yZXYueG1sUEsB&#10;AhQAFAAAAAgAh07iQHxJgn28AQAAbQMAAA4AAAAAAAAAAQAgAAAAJwEAAGRycy9lMm9Eb2MueG1s&#10;UEsFBgAAAAAGAAYAWQEAAFUFAAAAAA==&#10;">
                <v:fill on="f" focussize="0,0"/>
                <v:stroke on="f"/>
                <v:imagedata o:title=""/>
                <o:lock v:ext="edit" aspectratio="f"/>
                <v:textbox>
                  <w:txbxContent>
                    <w:p w14:paraId="668AC349">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实际进度与进度计划不符时的处理</w:t>
                      </w:r>
                    </w:p>
                  </w:txbxContent>
                </v:textbox>
              </v:shape>
            </w:pict>
          </mc:Fallback>
        </mc:AlternateContent>
      </w:r>
      <w:r>
        <w:rPr>
          <w:rFonts w:hint="default" w:ascii="Times New Roman" w:hAnsi="Times New Roman" w:cs="Times New Roman"/>
          <w:b/>
          <w:bCs/>
          <w:color w:val="auto"/>
          <w:sz w:val="22"/>
          <w:szCs w:val="22"/>
          <w:highlight w:val="none"/>
        </w:rPr>
        <w:t xml:space="preserve">33.4  </w:t>
      </w:r>
      <w:r>
        <w:rPr>
          <w:rFonts w:hint="default" w:ascii="Times New Roman" w:hAnsi="Times New Roman" w:cs="Times New Roman"/>
          <w:color w:val="auto"/>
          <w:sz w:val="22"/>
          <w:szCs w:val="22"/>
          <w:highlight w:val="none"/>
          <w:u w:val="dotted"/>
        </w:rPr>
        <w:t xml:space="preserve">                                                                                                        </w:t>
      </w:r>
    </w:p>
    <w:p w14:paraId="22DD5BB0">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如果监理工程师指出承包人的实际进度和经确认的计划进度不符时，承包人应按照监理工程师的要求提出改进措施，经监理工程师确认后执行。因承包人的原因导致实际进度迟于计划进度的，承包人不但无权就改进措施要求发包人支付任何附加费用，而且应按照第66.2款规定向发包人支付由此产生的误期赔偿费。工程进度计划即使经监理工程师确认，也不能免除承包人按照合同约定应承担的任何责任和应履行的任何义务。</w:t>
      </w:r>
    </w:p>
    <w:p w14:paraId="2F16B804">
      <w:pPr>
        <w:pStyle w:val="15"/>
        <w:adjustRightInd w:val="0"/>
        <w:snapToGrid w:val="0"/>
        <w:spacing w:line="420" w:lineRule="exact"/>
        <w:ind w:right="-238"/>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u w:val="single"/>
        </w:rPr>
        <w:t xml:space="preserve">                                                                                                                                                       </w:t>
      </w:r>
    </w:p>
    <w:p w14:paraId="77CB04CA">
      <w:pPr>
        <w:pStyle w:val="15"/>
        <w:adjustRightInd w:val="0"/>
        <w:snapToGrid w:val="0"/>
        <w:spacing w:line="420" w:lineRule="exact"/>
        <w:ind w:right="-238"/>
        <w:outlineLvl w:val="2"/>
        <w:rPr>
          <w:rFonts w:hint="default" w:ascii="Times New Roman" w:hAnsi="Times New Roman" w:cs="Times New Roman"/>
          <w:b/>
          <w:bCs/>
          <w:color w:val="auto"/>
          <w:sz w:val="22"/>
          <w:szCs w:val="22"/>
          <w:highlight w:val="none"/>
        </w:rPr>
      </w:pPr>
      <w:bookmarkStart w:id="162" w:name="_Toc469384016"/>
      <w:bookmarkStart w:id="163" w:name="_Toc16469"/>
      <w:r>
        <w:rPr>
          <w:rFonts w:hint="default" w:ascii="Times New Roman" w:hAnsi="Times New Roman" w:cs="Times New Roman"/>
          <w:b/>
          <w:bCs/>
          <w:color w:val="auto"/>
          <w:sz w:val="22"/>
          <w:szCs w:val="22"/>
          <w:highlight w:val="none"/>
        </w:rPr>
        <w:t>34  开工</w:t>
      </w:r>
      <w:bookmarkEnd w:id="162"/>
      <w:bookmarkEnd w:id="163"/>
    </w:p>
    <w:p w14:paraId="38BC8257">
      <w:pPr>
        <w:pStyle w:val="15"/>
        <w:tabs>
          <w:tab w:val="left" w:pos="1320"/>
        </w:tabs>
        <w:adjustRightInd w:val="0"/>
        <w:snapToGrid w:val="0"/>
        <w:spacing w:line="420" w:lineRule="exact"/>
        <w:ind w:right="3"/>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91360" behindDoc="0" locked="0" layoutInCell="1" allowOverlap="1">
                <wp:simplePos x="0" y="0"/>
                <wp:positionH relativeFrom="column">
                  <wp:posOffset>-114300</wp:posOffset>
                </wp:positionH>
                <wp:positionV relativeFrom="paragraph">
                  <wp:posOffset>247015</wp:posOffset>
                </wp:positionV>
                <wp:extent cx="800100" cy="310515"/>
                <wp:effectExtent l="0" t="0" r="0" b="0"/>
                <wp:wrapNone/>
                <wp:docPr id="135" name="文本框 135"/>
                <wp:cNvGraphicFramePr/>
                <a:graphic xmlns:a="http://schemas.openxmlformats.org/drawingml/2006/main">
                  <a:graphicData uri="http://schemas.microsoft.com/office/word/2010/wordprocessingShape">
                    <wps:wsp>
                      <wps:cNvSpPr txBox="1"/>
                      <wps:spPr>
                        <a:xfrm>
                          <a:off x="0" y="0"/>
                          <a:ext cx="800100" cy="310515"/>
                        </a:xfrm>
                        <a:prstGeom prst="rect">
                          <a:avLst/>
                        </a:prstGeom>
                        <a:noFill/>
                        <a:ln>
                          <a:noFill/>
                        </a:ln>
                        <a:effectLst/>
                      </wps:spPr>
                      <wps:txbx>
                        <w:txbxContent>
                          <w:p w14:paraId="4DD71FAC">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开工条件</w:t>
                            </w:r>
                          </w:p>
                        </w:txbxContent>
                      </wps:txbx>
                      <wps:bodyPr wrap="square" upright="1"/>
                    </wps:wsp>
                  </a:graphicData>
                </a:graphic>
              </wp:anchor>
            </w:drawing>
          </mc:Choice>
          <mc:Fallback>
            <w:pict>
              <v:shape id="_x0000_s1026" o:spid="_x0000_s1026" o:spt="202" type="#_x0000_t202" style="position:absolute;left:0pt;margin-left:-9pt;margin-top:19.45pt;height:24.45pt;width:63pt;z-index:251791360;mso-width-relative:page;mso-height-relative:page;" filled="f" stroked="f" coordsize="21600,21600" o:gfxdata="UEsDBAoAAAAAAIdO4kAAAAAAAAAAAAAAAAAEAAAAZHJzL1BLAwQUAAAACACHTuJAYfiVgNUAAAAJ&#10;AQAADwAAAGRycy9kb3ducmV2LnhtbE2PzU7DMBCE70i8g7VI3Fo7/NUN2fQA4gqiQCVubrxNIuJ1&#10;FLtNeHucEz3Ozmj2m2IzuU6caAitZ4RsqUAQV962XCN8frwsNIgQDVvTeSaEXwqwKS8vCpNbP/I7&#10;nbaxFqmEQ24Qmhj7XMpQNeRMWPqeOHkHPzgTkxxqaQczpnLXyRulHqQzLacPjenpqaHqZ3t0CF+v&#10;h+/dnXqrn919P/pJSXZriXh9lalHEJGm+B+GGT+hQ5mY9v7INogOYZHptCUi3Oo1iDmg5sMeQa80&#10;yLKQ5wvKP1BLAwQUAAAACACHTuJArQRjh7sBAABtAwAADgAAAGRycy9lMm9Eb2MueG1srVNLbtsw&#10;EN0X6B0I7mvKCVIEguUAgZFuirZA2gPQ1NAiIH7CoS35Au0Nuuqm+57L5+iQUtw03WTRDTWcz+O8&#10;N6PVzWh7doCIxruGLxcVZ+CUb43bNfzL57s315xhkq6VvXfQ8CMgv1m/frUaQg0XvvN9C5ERiMN6&#10;CA3vUgq1EKg6sBIXPoCjoPbRykTXuBNtlAOh215cVNVbMfjYhugVIJJ3MwX5jBhfAui1Ngo2Xu0t&#10;uDShRuhlIkrYmYB8XbrVGlT6qDVCYn3DiWkqJz1C9jafYr2S9S7K0Bk1tyBf0sIzTlYaR4+eoTYy&#10;SbaP5h8oa1T06HVaKG/FRKQoQiyW1TNt7jsZoHAhqTGcRcf/B6s+HD5FZlrahMsrzpy0NPLT92+n&#10;H79OP7+y7CSJhoA1Zd4Hyk3jrR8p/dGP5MzMRx1t/hInRnES+HgWGMbEFDmvKyJJEUWhy2V1tSzo&#10;4k9xiJjegbcsGw2PNL8iqzy8x0SNUOpjSn7L+TvT92WGvfvLQYmTB8oSzNWZx9RvttK4HWdyW98e&#10;idtAi9BwfNjLCJztQzS7jtooXEUuoSmUJuaNyWN+eif76V+y/g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Bh+JWA1QAAAAkBAAAPAAAAAAAAAAEAIAAAACIAAABkcnMvZG93bnJldi54bWxQSwECFAAU&#10;AAAACACHTuJArQRjh7sBAABtAwAADgAAAAAAAAABACAAAAAkAQAAZHJzL2Uyb0RvYy54bWxQSwUG&#10;AAAAAAYABgBZAQAAUQUAAAAA&#10;">
                <v:fill on="f" focussize="0,0"/>
                <v:stroke on="f"/>
                <v:imagedata o:title=""/>
                <o:lock v:ext="edit" aspectratio="f"/>
                <v:textbox>
                  <w:txbxContent>
                    <w:p w14:paraId="4DD71FAC">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开工条件</w:t>
                      </w:r>
                    </w:p>
                  </w:txbxContent>
                </v:textbox>
              </v:shape>
            </w:pict>
          </mc:Fallback>
        </mc:AlternateContent>
      </w:r>
      <w:r>
        <w:rPr>
          <w:rFonts w:hint="default" w:ascii="Times New Roman" w:hAnsi="Times New Roman" w:cs="Times New Roman"/>
          <w:b/>
          <w:bCs/>
          <w:color w:val="auto"/>
          <w:sz w:val="22"/>
          <w:szCs w:val="22"/>
          <w:highlight w:val="none"/>
        </w:rPr>
        <w:t xml:space="preserve">34.1    </w:t>
      </w:r>
    </w:p>
    <w:p w14:paraId="679317CE">
      <w:pPr>
        <w:pStyle w:val="15"/>
        <w:adjustRightInd w:val="0"/>
        <w:snapToGrid w:val="0"/>
        <w:spacing w:line="420" w:lineRule="exact"/>
        <w:ind w:left="1619" w:leftChars="771" w:right="6"/>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工程开工必须具备法律规定的开工条件，并已经领取了施工许可证。</w:t>
      </w:r>
    </w:p>
    <w:p w14:paraId="18DAB335">
      <w:pPr>
        <w:pStyle w:val="15"/>
        <w:tabs>
          <w:tab w:val="left" w:pos="1320"/>
        </w:tabs>
        <w:adjustRightInd w:val="0"/>
        <w:snapToGrid w:val="0"/>
        <w:spacing w:line="420" w:lineRule="exact"/>
        <w:ind w:right="3"/>
        <w:rPr>
          <w:rFonts w:hint="default" w:ascii="Times New Roman" w:hAnsi="Times New Roman" w:cs="Times New Roman"/>
          <w:b/>
          <w:bCs/>
          <w:color w:val="auto"/>
          <w:sz w:val="22"/>
          <w:szCs w:val="22"/>
          <w:highlight w:val="none"/>
          <w:u w:val="dotted"/>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92384" behindDoc="0" locked="0" layoutInCell="1" allowOverlap="1">
                <wp:simplePos x="0" y="0"/>
                <wp:positionH relativeFrom="column">
                  <wp:posOffset>-114300</wp:posOffset>
                </wp:positionH>
                <wp:positionV relativeFrom="paragraph">
                  <wp:posOffset>242570</wp:posOffset>
                </wp:positionV>
                <wp:extent cx="800100" cy="297180"/>
                <wp:effectExtent l="0" t="0" r="0" b="0"/>
                <wp:wrapNone/>
                <wp:docPr id="136" name="文本框 136"/>
                <wp:cNvGraphicFramePr/>
                <a:graphic xmlns:a="http://schemas.openxmlformats.org/drawingml/2006/main">
                  <a:graphicData uri="http://schemas.microsoft.com/office/word/2010/wordprocessingShape">
                    <wps:wsp>
                      <wps:cNvSpPr txBox="1"/>
                      <wps:spPr>
                        <a:xfrm>
                          <a:off x="0" y="0"/>
                          <a:ext cx="800100" cy="297180"/>
                        </a:xfrm>
                        <a:prstGeom prst="rect">
                          <a:avLst/>
                        </a:prstGeom>
                        <a:noFill/>
                        <a:ln>
                          <a:noFill/>
                        </a:ln>
                        <a:effectLst/>
                      </wps:spPr>
                      <wps:txbx>
                        <w:txbxContent>
                          <w:p w14:paraId="7663CCC1">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工程开工</w:t>
                            </w:r>
                          </w:p>
                        </w:txbxContent>
                      </wps:txbx>
                      <wps:bodyPr wrap="square" upright="1"/>
                    </wps:wsp>
                  </a:graphicData>
                </a:graphic>
              </wp:anchor>
            </w:drawing>
          </mc:Choice>
          <mc:Fallback>
            <w:pict>
              <v:shape id="_x0000_s1026" o:spid="_x0000_s1026" o:spt="202" type="#_x0000_t202" style="position:absolute;left:0pt;margin-left:-9pt;margin-top:19.1pt;height:23.4pt;width:63pt;z-index:251792384;mso-width-relative:page;mso-height-relative:page;" filled="f" stroked="f" coordsize="21600,21600" o:gfxdata="UEsDBAoAAAAAAIdO4kAAAAAAAAAAAAAAAAAEAAAAZHJzL1BLAwQUAAAACACHTuJAuFm6V9YAAAAJ&#10;AQAADwAAAGRycy9kb3ducmV2LnhtbE2PwU7DMBBE70j8g7VI3Fo7hVZpyKaHVlxBtAWpNzfeJhHx&#10;OordJvw9zgmOszOafZNvRtuKG/W+cYyQzBUI4tKZhiuE4+F1loLwQbPRrWNC+CEPm+L+LteZcQN/&#10;0G0fKhFL2GcaoQ6hy6T0ZU1W+7nriKN3cb3VIcq+kqbXQyy3rVwotZJWNxw/1LqjbU3l9/5qET7f&#10;LqevZ/Ve7eyyG9yoJNu1RHx8SNQLiEBj+AvDhB/RoYhMZ3dl40WLMEvSuCUgPKULEFNATYczQrpU&#10;IItc/l9Q/AJQSwMEFAAAAAgAh07iQMK/IFe7AQAAbQMAAA4AAABkcnMvZTJvRG9jLnhtbK1TS27b&#10;MBDdF+gdCO5jyQ6QuoLlAIGRboqmQNoD0NTIIsBfOLQlXyC9QVfddN9z+RwdUoqbppssuqGG83mc&#10;92a0uh6MZgcIqJyt+XxWcgZWukbZXc2/frm9WHKGUdhGaGeh5kdAfr1++2bV+woWrnO6gcAIxGLV&#10;+5p3MfqqKFB2YATOnAdLwdYFIyJdw65ogugJ3ehiUZZXRe9C44OTgEjezRjkE2J4DaBrWyVh4+Te&#10;gI0jagAtIlHCTnnk69xt24KMd22LEJmuOTGN+aRHyN6ms1ivRLULwndKTi2I17TwgpMRytKjZ6iN&#10;iILtg/oHyigZHLo2zqQzxUgkK0Is5uULbe474SFzIanRn0XH/wcrPx0+B6Ya2oTLK86sMDTy0/dv&#10;px+/Tj8fWXKSRL3HijLvPeXG4cYNlP7kR3Im5kMbTPoSJ0ZxEvh4FhiGyCQ5lyWRpIik0OL9u/ky&#10;D6D4U+wDxg/gDEtGzQPNL8sqDh8xUiOU+pSS3rLuVmmdZ6jtXw5KHD2Ql2CqTjzGfpMVh+0wkdu6&#10;5kjcelqEmuPDXgTgbO+D2nXURuZapBKaQm5i2pg05ud3sp//Je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uFm6V9YAAAAJAQAADwAAAAAAAAABACAAAAAiAAAAZHJzL2Rvd25yZXYueG1sUEsBAhQA&#10;FAAAAAgAh07iQMK/IFe7AQAAbQMAAA4AAAAAAAAAAQAgAAAAJQEAAGRycy9lMm9Eb2MueG1sUEsF&#10;BgAAAAAGAAYAWQEAAFIFAAAAAA==&#10;">
                <v:fill on="f" focussize="0,0"/>
                <v:stroke on="f"/>
                <v:imagedata o:title=""/>
                <o:lock v:ext="edit" aspectratio="f"/>
                <v:textbox>
                  <w:txbxContent>
                    <w:p w14:paraId="7663CCC1">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工程开工</w:t>
                      </w:r>
                    </w:p>
                  </w:txbxContent>
                </v:textbox>
              </v:shape>
            </w:pict>
          </mc:Fallback>
        </mc:AlternateContent>
      </w:r>
      <w:r>
        <w:rPr>
          <w:rFonts w:hint="default" w:ascii="Times New Roman" w:hAnsi="Times New Roman" w:cs="Times New Roman"/>
          <w:b/>
          <w:bCs/>
          <w:color w:val="auto"/>
          <w:sz w:val="22"/>
          <w:szCs w:val="22"/>
          <w:highlight w:val="none"/>
        </w:rPr>
        <w:t xml:space="preserve">34.2  </w:t>
      </w:r>
      <w:r>
        <w:rPr>
          <w:rFonts w:hint="default" w:ascii="Times New Roman" w:hAnsi="Times New Roman" w:cs="Times New Roman"/>
          <w:b/>
          <w:bCs/>
          <w:color w:val="auto"/>
          <w:sz w:val="22"/>
          <w:szCs w:val="22"/>
          <w:highlight w:val="none"/>
          <w:u w:val="dotted"/>
        </w:rPr>
        <w:t xml:space="preserve">                                                                                                        </w:t>
      </w:r>
    </w:p>
    <w:p w14:paraId="11E17586">
      <w:pPr>
        <w:pStyle w:val="15"/>
        <w:adjustRightInd w:val="0"/>
        <w:snapToGrid w:val="0"/>
        <w:spacing w:line="420" w:lineRule="exact"/>
        <w:ind w:left="1619" w:leftChars="771" w:right="3"/>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承包人应在签订本合同后的28天内，向监理工程师提交开工申请书，并附上表明已做好开工准备的有关资料。除专用条款另有约定外，监理工程师应在本合同签订后的42天内报发包人批准后向承包人发出开工令；承包人应在接到开工令后的7天内开工，并一直保持合同工程连续均衡施工，直至其被改变为止。</w:t>
      </w:r>
    </w:p>
    <w:p w14:paraId="582F001C">
      <w:pPr>
        <w:pStyle w:val="15"/>
        <w:tabs>
          <w:tab w:val="left" w:pos="1320"/>
        </w:tabs>
        <w:adjustRightInd w:val="0"/>
        <w:snapToGrid w:val="0"/>
        <w:spacing w:line="420" w:lineRule="exact"/>
        <w:ind w:right="3"/>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93408" behindDoc="0" locked="0" layoutInCell="1" allowOverlap="1">
                <wp:simplePos x="0" y="0"/>
                <wp:positionH relativeFrom="column">
                  <wp:posOffset>-114300</wp:posOffset>
                </wp:positionH>
                <wp:positionV relativeFrom="paragraph">
                  <wp:posOffset>269875</wp:posOffset>
                </wp:positionV>
                <wp:extent cx="914400" cy="594360"/>
                <wp:effectExtent l="0" t="0" r="0" b="0"/>
                <wp:wrapNone/>
                <wp:docPr id="137" name="文本框 137"/>
                <wp:cNvGraphicFramePr/>
                <a:graphic xmlns:a="http://schemas.openxmlformats.org/drawingml/2006/main">
                  <a:graphicData uri="http://schemas.microsoft.com/office/word/2010/wordprocessingShape">
                    <wps:wsp>
                      <wps:cNvSpPr txBox="1"/>
                      <wps:spPr>
                        <a:xfrm>
                          <a:off x="0" y="0"/>
                          <a:ext cx="914400" cy="594360"/>
                        </a:xfrm>
                        <a:prstGeom prst="rect">
                          <a:avLst/>
                        </a:prstGeom>
                        <a:noFill/>
                        <a:ln>
                          <a:noFill/>
                        </a:ln>
                        <a:effectLst/>
                      </wps:spPr>
                      <wps:txbx>
                        <w:txbxContent>
                          <w:p w14:paraId="318018F5">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承包人未按时开工的处理程序和责任</w:t>
                            </w:r>
                          </w:p>
                        </w:txbxContent>
                      </wps:txbx>
                      <wps:bodyPr wrap="square" upright="1"/>
                    </wps:wsp>
                  </a:graphicData>
                </a:graphic>
              </wp:anchor>
            </w:drawing>
          </mc:Choice>
          <mc:Fallback>
            <w:pict>
              <v:shape id="_x0000_s1026" o:spid="_x0000_s1026" o:spt="202" type="#_x0000_t202" style="position:absolute;left:0pt;margin-left:-9pt;margin-top:21.25pt;height:46.8pt;width:72pt;z-index:251793408;mso-width-relative:page;mso-height-relative:page;" filled="f" stroked="f" coordsize="21600,21600" o:gfxdata="UEsDBAoAAAAAAIdO4kAAAAAAAAAAAAAAAAAEAAAAZHJzL1BLAwQUAAAACACHTuJAF6Ck4NgAAAAK&#10;AQAADwAAAGRycy9kb3ducmV2LnhtbE2PzU7DMBCE70h9B2uRuLV2QhuVEKeHIq4g+oPEzY23SUS8&#10;jmK3CW/P9gS33Z3R7DfFZnKduOIQWk8akoUCgVR521Kt4bB/na9BhGjIms4TavjBAJtydleY3PqR&#10;PvC6i7XgEAq50dDE2OdShqpBZ8LC90isnf3gTOR1qKUdzMjhrpOpUpl0piX+0Jgetw1W37uL03B8&#10;O399LtV7/eJW/egnJck9Sa0f7hP1DCLiFP/McMNndCiZ6eQvZIPoNMyTNXeJGpbpCsTNkGZ8OPHw&#10;mCUgy0L+r1D+AlBLAwQUAAAACACHTuJArq7qu74BAABtAwAADgAAAGRycy9lMm9Eb2MueG1srVNL&#10;btswEN0XyB0I7mvKiZM2guUAhZFuirZA2gPQ1MgiIH7CoS35AukNuuqm+57L5+iQUtw03WTRDTWc&#10;z+O8N6PlzWA6toeA2tmKz2cFZ2CVq7XdVvzrl9vXbznDKG0tO2eh4gdAfrM6e7XsfQnnrnVdDYER&#10;iMWy9xVvY/SlEKhaMBJnzoOlYOOCkZGuYSvqIHtCN504L4or0btQ++AUIJJ3PQb5hBheAuiaRitY&#10;O7UzYOOIGqCTkShhqz3yVe62aUDFT02DEFlXcWIa80mPkL1Jp1gtZbkN0rdaTS3Il7TwjJOR2tKj&#10;J6i1jJLtgv4HymgVHLomzpQzYiSSFSEW8+KZNnet9JC5kNToT6Lj/4NVH/efA9M1bcLFG86sNDTy&#10;4/dvxx+/jj8fWHKSRL3HkjLvPOXG4Z0bKP3Rj+RMzIcmmPQlToziJPDhJDAMkSlyXs8Xi4IiikKX&#10;14uLqzwA8afYB4zvwRmWjIoHml+WVe4/YKRGKPUxJb1l3a3uujzDzv7loMTRA3kJpurEY+w3WXHY&#10;DBO5jasPxK2nRag43u9kAM52PuhtS21kriKV0BRyE9PGpDE/vZP99C9Z/QZ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AXoKTg2AAAAAoBAAAPAAAAAAAAAAEAIAAAACIAAABkcnMvZG93bnJldi54bWxQ&#10;SwECFAAUAAAACACHTuJArq7qu74BAABtAwAADgAAAAAAAAABACAAAAAnAQAAZHJzL2Uyb0RvYy54&#10;bWxQSwUGAAAAAAYABgBZAQAAVwUAAAAA&#10;">
                <v:fill on="f" focussize="0,0"/>
                <v:stroke on="f"/>
                <v:imagedata o:title=""/>
                <o:lock v:ext="edit" aspectratio="f"/>
                <v:textbox>
                  <w:txbxContent>
                    <w:p w14:paraId="318018F5">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承包人未按时开工的处理程序和责任</w:t>
                      </w:r>
                    </w:p>
                  </w:txbxContent>
                </v:textbox>
              </v:shape>
            </w:pict>
          </mc:Fallback>
        </mc:AlternateContent>
      </w:r>
      <w:r>
        <w:rPr>
          <w:rFonts w:hint="default" w:ascii="Times New Roman" w:hAnsi="Times New Roman" w:cs="Times New Roman"/>
          <w:b/>
          <w:bCs/>
          <w:color w:val="auto"/>
          <w:sz w:val="22"/>
          <w:szCs w:val="22"/>
          <w:highlight w:val="none"/>
        </w:rPr>
        <w:t xml:space="preserve">34.3  </w:t>
      </w:r>
      <w:r>
        <w:rPr>
          <w:rFonts w:hint="default" w:ascii="Times New Roman" w:hAnsi="Times New Roman" w:cs="Times New Roman"/>
          <w:b/>
          <w:bCs/>
          <w:color w:val="auto"/>
          <w:sz w:val="22"/>
          <w:szCs w:val="22"/>
          <w:highlight w:val="none"/>
          <w:u w:val="dotted"/>
        </w:rPr>
        <w:t xml:space="preserve">                                                                                                        </w:t>
      </w:r>
    </w:p>
    <w:p w14:paraId="6911869A">
      <w:pPr>
        <w:pStyle w:val="15"/>
        <w:adjustRightInd w:val="0"/>
        <w:snapToGrid w:val="0"/>
        <w:spacing w:line="420" w:lineRule="exact"/>
        <w:ind w:left="1619" w:leftChars="771" w:right="3"/>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承包人未能按照时开工，应在接到开工令后立即以书面形式向监理工程师提出延期开工的要求并说明理由。监理工程师应当在接到延期开工申请后的48小时内书面予以答复，否则视为同意。由此造成的损失和延误的工期由承包人承担</w:t>
      </w:r>
      <w:r>
        <w:rPr>
          <w:rFonts w:hint="default" w:ascii="Times New Roman" w:hAnsi="Times New Roman" w:cs="Times New Roman"/>
          <w:color w:val="auto"/>
          <w:sz w:val="22"/>
          <w:szCs w:val="22"/>
          <w:highlight w:val="none"/>
          <w:lang w:eastAsia="zh-CN"/>
        </w:rPr>
        <w:t>。</w:t>
      </w:r>
    </w:p>
    <w:p w14:paraId="0F8B2F88">
      <w:pPr>
        <w:pStyle w:val="15"/>
        <w:tabs>
          <w:tab w:val="left" w:pos="1320"/>
        </w:tabs>
        <w:adjustRightInd w:val="0"/>
        <w:snapToGrid w:val="0"/>
        <w:spacing w:line="420" w:lineRule="exact"/>
        <w:ind w:right="3"/>
        <w:rPr>
          <w:rFonts w:hint="default" w:ascii="Times New Roman" w:hAnsi="Times New Roman" w:cs="Times New Roman"/>
          <w:color w:val="auto"/>
          <w:sz w:val="22"/>
          <w:szCs w:val="22"/>
          <w:highlight w:val="none"/>
          <w:u w:val="dotted"/>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94432" behindDoc="0" locked="0" layoutInCell="1" allowOverlap="1">
                <wp:simplePos x="0" y="0"/>
                <wp:positionH relativeFrom="column">
                  <wp:posOffset>-114300</wp:posOffset>
                </wp:positionH>
                <wp:positionV relativeFrom="paragraph">
                  <wp:posOffset>237490</wp:posOffset>
                </wp:positionV>
                <wp:extent cx="914400" cy="568325"/>
                <wp:effectExtent l="0" t="0" r="0" b="0"/>
                <wp:wrapNone/>
                <wp:docPr id="139" name="文本框 139"/>
                <wp:cNvGraphicFramePr/>
                <a:graphic xmlns:a="http://schemas.openxmlformats.org/drawingml/2006/main">
                  <a:graphicData uri="http://schemas.microsoft.com/office/word/2010/wordprocessingShape">
                    <wps:wsp>
                      <wps:cNvSpPr txBox="1"/>
                      <wps:spPr>
                        <a:xfrm>
                          <a:off x="0" y="0"/>
                          <a:ext cx="914400" cy="568325"/>
                        </a:xfrm>
                        <a:prstGeom prst="rect">
                          <a:avLst/>
                        </a:prstGeom>
                        <a:noFill/>
                        <a:ln>
                          <a:noFill/>
                        </a:ln>
                        <a:effectLst/>
                      </wps:spPr>
                      <wps:txbx>
                        <w:txbxContent>
                          <w:p w14:paraId="7167878C">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发包人推迟开工的处理程序和责任</w:t>
                            </w:r>
                          </w:p>
                        </w:txbxContent>
                      </wps:txbx>
                      <wps:bodyPr wrap="square" upright="1"/>
                    </wps:wsp>
                  </a:graphicData>
                </a:graphic>
              </wp:anchor>
            </w:drawing>
          </mc:Choice>
          <mc:Fallback>
            <w:pict>
              <v:shape id="_x0000_s1026" o:spid="_x0000_s1026" o:spt="202" type="#_x0000_t202" style="position:absolute;left:0pt;margin-left:-9pt;margin-top:18.7pt;height:44.75pt;width:72pt;z-index:251794432;mso-width-relative:page;mso-height-relative:page;" filled="f" stroked="f" coordsize="21600,21600" o:gfxdata="UEsDBAoAAAAAAIdO4kAAAAAAAAAAAAAAAAAEAAAAZHJzL1BLAwQUAAAACACHTuJApB3ZEtcAAAAK&#10;AQAADwAAAGRycy9kb3ducmV2LnhtbE2PzU7DMBCE75X6DtYicWvXKf0NcXoo4gqiQCVubrxNIuJ1&#10;FLtNeHtcLuW2uzOa/SbbDrYRF+p87VhBMpUgiAtnai4VfLw/T9YgfNBsdOOYFPyQh20+HmU6Na7n&#10;N7rsQyliCPtUK6hCaFNEX1RktZ+6ljhqJ9dZHeLalWg63cdw2+BMyiVaXXP8UOmWdhUV3/uzVfD5&#10;cvo6zOVr+WQXbe8GiWw3qNT9XSIfQQQaws0MV/yIDnlkOrozGy8aBZNkHbsEBQ+rOYirYbaMh+Pf&#10;sAHMM/xfIf8FUEsDBBQAAAAIAIdO4kBduNVIvAEAAG0DAAAOAAAAZHJzL2Uyb0RvYy54bWytU0tu&#10;2zAQ3RfoHQjua8nOB4lgOUBhpJuiLZDmADQ1sgjwVw5tyRdob9BVN933XD5Hh5Tipskmi2yo4Xwe&#10;570ZLW8Go9keAipnaz6flZyBla5Rdlvz+6+37644wyhsI7SzUPMDIL9ZvX2z7H0FC9c53UBgBGKx&#10;6n3Nuxh9VRQoOzACZ86DpWDrghGRrmFbNEH0hG50sSjLy6J3ofHBSUAk73oM8gkxvATQta2SsHZy&#10;Z8DGETWAFpEoYac88lXutm1Bxs9tixCZrjkxjfmkR8jepLNYLUW1DcJ3Sk4tiJe08ISTEcrSoyeo&#10;tYiC7YJ6BmWUDA5dG2fSmWIkkhUhFvPyiTZ3nfCQuZDU6E+i4+vByk/7L4Gphjbh7JozKwyN/Pjz&#10;x/HXn+Pv7yw5SaLeY0WZd55y4/DeDZT+4EdyJuZDG0z6EidGcRL4cBIYhsgkOa/n5+clRSSFLi6v&#10;zhYXCaX4V+wDxg/gDEtGzQPNL8sq9h8xjqkPKekt626V1nmG2v7nIMzRA3kJpurEY+w3WXHYDBO5&#10;jWsOxK2nRag5ftuJAJztfFDbjtrIXItUQlPI/U4bk8b8+E72479k9R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kHdkS1wAAAAoBAAAPAAAAAAAAAAEAIAAAACIAAABkcnMvZG93bnJldi54bWxQSwEC&#10;FAAUAAAACACHTuJAXbjVSLwBAABtAwAADgAAAAAAAAABACAAAAAmAQAAZHJzL2Uyb0RvYy54bWxQ&#10;SwUGAAAAAAYABgBZAQAAVAUAAAAA&#10;">
                <v:fill on="f" focussize="0,0"/>
                <v:stroke on="f"/>
                <v:imagedata o:title=""/>
                <o:lock v:ext="edit" aspectratio="f"/>
                <v:textbox>
                  <w:txbxContent>
                    <w:p w14:paraId="7167878C">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发包人推迟开工的处理程序和责任</w:t>
                      </w:r>
                    </w:p>
                  </w:txbxContent>
                </v:textbox>
              </v:shape>
            </w:pict>
          </mc:Fallback>
        </mc:AlternateContent>
      </w:r>
      <w:r>
        <w:rPr>
          <w:rFonts w:hint="default" w:ascii="Times New Roman" w:hAnsi="Times New Roman" w:cs="Times New Roman"/>
          <w:color w:val="auto"/>
          <w:sz w:val="22"/>
          <w:szCs w:val="22"/>
          <w:highlight w:val="none"/>
        </w:rPr>
        <w:t xml:space="preserve">34.4  </w:t>
      </w:r>
      <w:r>
        <w:rPr>
          <w:rFonts w:hint="default" w:ascii="Times New Roman" w:hAnsi="Times New Roman" w:cs="Times New Roman"/>
          <w:color w:val="auto"/>
          <w:sz w:val="22"/>
          <w:szCs w:val="22"/>
          <w:highlight w:val="none"/>
          <w:u w:val="dotted"/>
        </w:rPr>
        <w:t xml:space="preserve">                                                                                                        </w:t>
      </w:r>
    </w:p>
    <w:p w14:paraId="33F16E39">
      <w:pPr>
        <w:pStyle w:val="15"/>
        <w:adjustRightInd w:val="0"/>
        <w:snapToGrid w:val="0"/>
        <w:spacing w:line="420" w:lineRule="exact"/>
        <w:ind w:left="1619" w:leftChars="771" w:right="3"/>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因发包人的原因不能在第34.2款规定的时间内发出开工令的，监理工程师应至少提前7天以书面形式通知承包人推迟开工。由此造成的损失由发包人承担，开工日期相应顺延。监理工程师未能提前7天通知承包人推迟开工的，由此造成损失的扩大由发包人承担。</w:t>
      </w:r>
    </w:p>
    <w:p w14:paraId="6E6FABE8">
      <w:pPr>
        <w:pStyle w:val="15"/>
        <w:adjustRightInd w:val="0"/>
        <w:snapToGrid w:val="0"/>
        <w:spacing w:line="420" w:lineRule="exact"/>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4310BCD5">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      </w:t>
      </w:r>
    </w:p>
    <w:p w14:paraId="258AFE3D">
      <w:pPr>
        <w:pStyle w:val="15"/>
        <w:adjustRightInd w:val="0"/>
        <w:snapToGrid w:val="0"/>
        <w:spacing w:line="420" w:lineRule="exact"/>
        <w:outlineLvl w:val="2"/>
        <w:rPr>
          <w:rFonts w:hint="default" w:ascii="Times New Roman" w:hAnsi="Times New Roman" w:cs="Times New Roman"/>
          <w:b/>
          <w:bCs/>
          <w:color w:val="auto"/>
          <w:sz w:val="22"/>
          <w:szCs w:val="22"/>
          <w:highlight w:val="none"/>
        </w:rPr>
      </w:pPr>
      <w:bookmarkStart w:id="164" w:name="_Toc469384017"/>
      <w:bookmarkStart w:id="165" w:name="_Toc12512"/>
      <w:r>
        <w:rPr>
          <w:rFonts w:hint="default" w:ascii="Times New Roman" w:hAnsi="Times New Roman" w:cs="Times New Roman"/>
          <w:b/>
          <w:bCs/>
          <w:color w:val="auto"/>
          <w:sz w:val="22"/>
          <w:szCs w:val="22"/>
          <w:highlight w:val="none"/>
        </w:rPr>
        <w:t>35  暂停施工和复工</w:t>
      </w:r>
      <w:bookmarkEnd w:id="164"/>
      <w:bookmarkEnd w:id="165"/>
    </w:p>
    <w:p w14:paraId="2024AAB0">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95456" behindDoc="0" locked="0" layoutInCell="1" allowOverlap="1">
                <wp:simplePos x="0" y="0"/>
                <wp:positionH relativeFrom="column">
                  <wp:posOffset>-114300</wp:posOffset>
                </wp:positionH>
                <wp:positionV relativeFrom="paragraph">
                  <wp:posOffset>261620</wp:posOffset>
                </wp:positionV>
                <wp:extent cx="914400" cy="497205"/>
                <wp:effectExtent l="0" t="0" r="0" b="0"/>
                <wp:wrapNone/>
                <wp:docPr id="140" name="文本框 140"/>
                <wp:cNvGraphicFramePr/>
                <a:graphic xmlns:a="http://schemas.openxmlformats.org/drawingml/2006/main">
                  <a:graphicData uri="http://schemas.microsoft.com/office/word/2010/wordprocessingShape">
                    <wps:wsp>
                      <wps:cNvSpPr txBox="1"/>
                      <wps:spPr>
                        <a:xfrm>
                          <a:off x="0" y="0"/>
                          <a:ext cx="914400" cy="497205"/>
                        </a:xfrm>
                        <a:prstGeom prst="rect">
                          <a:avLst/>
                        </a:prstGeom>
                        <a:noFill/>
                        <a:ln>
                          <a:noFill/>
                        </a:ln>
                        <a:effectLst/>
                      </wps:spPr>
                      <wps:txbx>
                        <w:txbxContent>
                          <w:p w14:paraId="2DB6DAC1">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暂停施工的指令</w:t>
                            </w:r>
                          </w:p>
                        </w:txbxContent>
                      </wps:txbx>
                      <wps:bodyPr wrap="square" upright="1"/>
                    </wps:wsp>
                  </a:graphicData>
                </a:graphic>
              </wp:anchor>
            </w:drawing>
          </mc:Choice>
          <mc:Fallback>
            <w:pict>
              <v:shape id="_x0000_s1026" o:spid="_x0000_s1026" o:spt="202" type="#_x0000_t202" style="position:absolute;left:0pt;margin-left:-9pt;margin-top:20.6pt;height:39.15pt;width:72pt;z-index:251795456;mso-width-relative:page;mso-height-relative:page;" filled="f" stroked="f" coordsize="21600,21600" o:gfxdata="UEsDBAoAAAAAAIdO4kAAAAAAAAAAAAAAAAAEAAAAZHJzL1BLAwQUAAAACACHTuJAEbVN6NcAAAAK&#10;AQAADwAAAGRycy9kb3ducmV2LnhtbE2PQU/DMAyF70j8h8iTuG1Jqm3aStMdQFxBjIHELWu8tlrj&#10;VE22ln+Pd4Kb7ff0/L1iN/lOXHGIbSADeqFAIFXBtVQbOHy8zDcgYrLkbBcIDfxghF15f1fY3IWR&#10;3vG6T7XgEIq5NdCk1OdSxqpBb+Mi9EisncLgbeJ1qKUb7MjhvpOZUmvpbUv8obE9PjVYnfcXb+Dz&#10;9fT9tVRv9bNf9WOYlCS/lcY8zLR6BJFwSn9muOEzOpTMdAwXclF0BuZ6w12SgaXOQNwM2ZoPRx70&#10;dgWyLOT/CuUvUEsDBBQAAAAIAIdO4kBgaNFquwEAAG0DAAAOAAAAZHJzL2Uyb0RvYy54bWytU0tu&#10;2zAQ3RfIHQjuY8qG0zaC5QCFkWyKtkCaA9DUyCIgfsqhLfkC7Q266qb7nsvn6JBS3DTdZNENNZzP&#10;47w3o9XNYDp2gIDa2YrPZwVnYJWrtd1V/OHz7eVbzjBKW8vOWaj4EZDfrC9erXpfwsK1rqshMAKx&#10;WPa+4m2MvhQCVQtG4sx5sBRsXDAy0jXsRB1kT+imE4uieC16F2ofnAJE8m7GIJ8Qw0sAXdNoBRun&#10;9gZsHFEDdDISJWy1R77O3TYNqPixaRAi6ypOTGM+6RGyt+kU65Usd0H6VqupBfmSFp5xMlJbevQM&#10;tZFRsn3Q/0AZrYJD18SZckaMRLIixGJePNPmvpUeMheSGv1ZdPx/sOrD4VNguqZNWJImVhoa+en7&#10;t9OPX6efX1lykkS9x5Iy7z3lxuGdGyj90Y/kTMyHJpj0JU6M4gR2PAsMQ2SKnNfz5bKgiKLQ8vrN&#10;orhKKOJPsQ8Y78AZloyKB5pfllUe3mMcUx9T0lvW3equyzPs7F8Owhw9kJdgqk48xn6TFYftMJHb&#10;uvpI3HpahIrjl70MwNneB71rqY3MVaQSmkLud9qYNOand7Kf/iXr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BG1TejXAAAACgEAAA8AAAAAAAAAAQAgAAAAIgAAAGRycy9kb3ducmV2LnhtbFBLAQIU&#10;ABQAAAAIAIdO4kBgaNFquwEAAG0DAAAOAAAAAAAAAAEAIAAAACYBAABkcnMvZTJvRG9jLnhtbFBL&#10;BQYAAAAABgAGAFkBAABTBQAAAAA=&#10;">
                <v:fill on="f" focussize="0,0"/>
                <v:stroke on="f"/>
                <v:imagedata o:title=""/>
                <o:lock v:ext="edit" aspectratio="f"/>
                <v:textbox>
                  <w:txbxContent>
                    <w:p w14:paraId="2DB6DAC1">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暂停施工的指令</w:t>
                      </w:r>
                    </w:p>
                  </w:txbxContent>
                </v:textbox>
              </v:shape>
            </w:pict>
          </mc:Fallback>
        </mc:AlternateContent>
      </w:r>
      <w:r>
        <w:rPr>
          <w:rFonts w:hint="default" w:ascii="Times New Roman" w:hAnsi="Times New Roman" w:cs="Times New Roman"/>
          <w:b/>
          <w:bCs/>
          <w:color w:val="auto"/>
          <w:sz w:val="22"/>
          <w:szCs w:val="22"/>
          <w:highlight w:val="none"/>
        </w:rPr>
        <w:t xml:space="preserve">35.1      </w:t>
      </w:r>
    </w:p>
    <w:p w14:paraId="58A147DE">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监理工程师认为有必要时，可向承包人发出暂停施工令，并在48小时内提出处理意见，承包人应按照监理工程师的指令停止施工。不论任何原因造成的暂停施工，暂停施工期间承包人应妥善保护已完工程并提供安全保障。</w:t>
      </w:r>
    </w:p>
    <w:p w14:paraId="60317C50">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因发包人的原因引起暂停施工的合同工程发生紧急情况，且监理工程师又未及时发出暂停施工令时，承包人可先暂停施工，并及时向监理工程师提出暂停施工报告。监理工程师应在收到暂停施工报告后的24小时内予以答复；逾期未答复的，视为承包人的暂停施工报告被认可。</w:t>
      </w:r>
    </w:p>
    <w:p w14:paraId="01BCEBEA">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35.2</w:t>
      </w:r>
      <w:r>
        <w:rPr>
          <w:rFonts w:hint="default" w:ascii="Times New Roman" w:hAnsi="Times New Roman" w:cs="Times New Roman"/>
          <w:b/>
          <w:bCs/>
          <w:color w:val="auto"/>
          <w:sz w:val="22"/>
          <w:szCs w:val="22"/>
          <w:highlight w:val="none"/>
          <w:u w:val="dotted"/>
        </w:rPr>
        <w:t xml:space="preserve">                                                                             </w:t>
      </w:r>
      <w:r>
        <w:rPr>
          <w:rFonts w:hint="default" w:ascii="Times New Roman" w:hAnsi="Times New Roman" w:cs="Times New Roman"/>
          <w:b/>
          <w:bCs/>
          <w:color w:val="auto"/>
          <w:sz w:val="22"/>
          <w:szCs w:val="22"/>
          <w:highlight w:val="none"/>
        </w:rPr>
        <w:t xml:space="preserve">      </w:t>
      </w:r>
    </w:p>
    <w:p w14:paraId="2DB8CCD4">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96480" behindDoc="0" locked="0" layoutInCell="1" allowOverlap="1">
                <wp:simplePos x="0" y="0"/>
                <wp:positionH relativeFrom="column">
                  <wp:posOffset>-114300</wp:posOffset>
                </wp:positionH>
                <wp:positionV relativeFrom="paragraph">
                  <wp:posOffset>20320</wp:posOffset>
                </wp:positionV>
                <wp:extent cx="914400" cy="497205"/>
                <wp:effectExtent l="0" t="0" r="0" b="0"/>
                <wp:wrapNone/>
                <wp:docPr id="141" name="文本框 141"/>
                <wp:cNvGraphicFramePr/>
                <a:graphic xmlns:a="http://schemas.openxmlformats.org/drawingml/2006/main">
                  <a:graphicData uri="http://schemas.microsoft.com/office/word/2010/wordprocessingShape">
                    <wps:wsp>
                      <wps:cNvSpPr txBox="1"/>
                      <wps:spPr>
                        <a:xfrm>
                          <a:off x="0" y="0"/>
                          <a:ext cx="914400" cy="497205"/>
                        </a:xfrm>
                        <a:prstGeom prst="rect">
                          <a:avLst/>
                        </a:prstGeom>
                        <a:noFill/>
                        <a:ln>
                          <a:noFill/>
                        </a:ln>
                        <a:effectLst/>
                      </wps:spPr>
                      <wps:txbx>
                        <w:txbxContent>
                          <w:p w14:paraId="48EA10A5">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复工的要求</w:t>
                            </w:r>
                          </w:p>
                        </w:txbxContent>
                      </wps:txbx>
                      <wps:bodyPr wrap="square" upright="1"/>
                    </wps:wsp>
                  </a:graphicData>
                </a:graphic>
              </wp:anchor>
            </w:drawing>
          </mc:Choice>
          <mc:Fallback>
            <w:pict>
              <v:shape id="_x0000_s1026" o:spid="_x0000_s1026" o:spt="202" type="#_x0000_t202" style="position:absolute;left:0pt;margin-left:-9pt;margin-top:1.6pt;height:39.15pt;width:72pt;z-index:251796480;mso-width-relative:page;mso-height-relative:page;" filled="f" stroked="f" coordsize="21600,21600" o:gfxdata="UEsDBAoAAAAAAIdO4kAAAAAAAAAAAAAAAAAEAAAAZHJzL1BLAwQUAAAACACHTuJAsTc8tNUAAAAI&#10;AQAADwAAAGRycy9kb3ducmV2LnhtbE2PzW7CMBCE75V4B2uRegM7aUFpmg0HUK9FpT9SbyZekqjx&#10;OooNCW9fc2qPoxnNfFNsJtuJCw2+dYyQLBUI4sqZlmuEj/eXRQbCB81Gd44J4UoeNuXsrtC5cSO/&#10;0eUQahFL2OcaoQmhz6X0VUNW+6XriaN3coPVIcqhlmbQYyy3nUyVWkurW44Lje5p21D1czhbhM/X&#10;0/fXo9rXO7vqRzcpyfZJIt7PE/UMItAU/sJww4/oUEamozuz8aJDWCRZ/BIQHlIQNz9dR31EyJIV&#10;yLKQ/w+Uv1BLAwQUAAAACACHTuJAkpcTlrwBAABtAwAADgAAAGRycy9lMm9Eb2MueG1srVNLbtsw&#10;EN0XyB0I7mPKhtM2guUAhZFsirZAmgPQ1NAiIH7KoS35Au0Nuuqm+57L5+hQUtw03WTRDTWcz+O8&#10;N6PVTW9bdoCIxruKz2cFZ+CUr43bVfzh8+3lW84wSVfL1juo+BGQ36wvXq26UMLCN76tITICcVh2&#10;oeJNSqEUAlUDVuLMB3AU1D5amegad6KOsiN024pFUbwWnY91iF4BInk3Y5BPiPElgF5ro2Dj1d6C&#10;SyNqhFYmooSNCcjXQ7dag0oftUZIrK04MU3DSY+Qvc2nWK9kuYsyNEZNLciXtPCMk5XG0aNnqI1M&#10;ku2j+QfKGhU9ep1mylsxEhkUIRbz4pk2940MMHAhqTGcRcf/B6s+HD5FZmrahOWcMyctjfz0/dvp&#10;x6/Tz68sO0miLmBJmfeBclP/zveU/uhHcmbmvY42f4kTozgJfDwLDH1iipzX8+WyoIii0PL6zaK4&#10;yijiT3GImO7AW5aNikea3yCrPLzHNKY+puS3nL81bTvMsHV/OQhz9MCwBFN15jH2m63Ub/uJ3NbX&#10;R+LW0SJUHL/sZQTO9iGaXUNtDFxFLqEpDP1OG5PH/PRO9tO/ZP0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sTc8tNUAAAAIAQAADwAAAAAAAAABACAAAAAiAAAAZHJzL2Rvd25yZXYueG1sUEsBAhQA&#10;FAAAAAgAh07iQJKXE5a8AQAAbQMAAA4AAAAAAAAAAQAgAAAAJAEAAGRycy9lMm9Eb2MueG1sUEsF&#10;BgAAAAAGAAYAWQEAAFIFAAAAAA==&#10;">
                <v:fill on="f" focussize="0,0"/>
                <v:stroke on="f"/>
                <v:imagedata o:title=""/>
                <o:lock v:ext="edit" aspectratio="f"/>
                <v:textbox>
                  <w:txbxContent>
                    <w:p w14:paraId="48EA10A5">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复工的要求</w:t>
                      </w:r>
                    </w:p>
                  </w:txbxContent>
                </v:textbox>
              </v:shape>
            </w:pict>
          </mc:Fallback>
        </mc:AlternateContent>
      </w:r>
      <w:r>
        <w:rPr>
          <w:rFonts w:hint="default" w:ascii="Times New Roman" w:hAnsi="Times New Roman" w:cs="Times New Roman"/>
          <w:color w:val="auto"/>
          <w:sz w:val="22"/>
          <w:szCs w:val="22"/>
          <w:highlight w:val="none"/>
        </w:rPr>
        <w:t>承包人实施监理工程师的处理意见后，可向监理工程师提交复工报审表要求复工；监理工程师应在收到复工报审表后的48小时内予以答复。具备复工条件时，监理工程师应立即向承包人发出复工令，承包人应立即组织复工。监理工程师在收到复工报审表后的48小时内未答复也未提出处理意见的，承包人可自行复工，监理工程师应予认可。</w:t>
      </w:r>
    </w:p>
    <w:p w14:paraId="1FB3CD2B">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承包人无故拖延或拒绝复工的，由此增加的费用和（或）延误的工期由承包人承担；因发包人的原因无法按时复工的，承包人有权要求发包人增加发生的费用和（或）顺延工期，并支付合理利润。</w:t>
      </w:r>
    </w:p>
    <w:p w14:paraId="7FB74662">
      <w:pPr>
        <w:pStyle w:val="15"/>
        <w:adjustRightInd w:val="0"/>
        <w:snapToGrid w:val="0"/>
        <w:spacing w:line="420" w:lineRule="exact"/>
        <w:rPr>
          <w:rFonts w:hint="default" w:ascii="Times New Roman" w:hAnsi="Times New Roman" w:cs="Times New Roman"/>
          <w:b/>
          <w:bCs/>
          <w:color w:val="auto"/>
          <w:sz w:val="22"/>
          <w:szCs w:val="22"/>
          <w:highlight w:val="none"/>
          <w:u w:val="dotted"/>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97504" behindDoc="0" locked="0" layoutInCell="1" allowOverlap="1">
                <wp:simplePos x="0" y="0"/>
                <wp:positionH relativeFrom="column">
                  <wp:posOffset>-114300</wp:posOffset>
                </wp:positionH>
                <wp:positionV relativeFrom="paragraph">
                  <wp:posOffset>244475</wp:posOffset>
                </wp:positionV>
                <wp:extent cx="914400" cy="792480"/>
                <wp:effectExtent l="0" t="0" r="0" b="0"/>
                <wp:wrapNone/>
                <wp:docPr id="142" name="文本框 142"/>
                <wp:cNvGraphicFramePr/>
                <a:graphic xmlns:a="http://schemas.openxmlformats.org/drawingml/2006/main">
                  <a:graphicData uri="http://schemas.microsoft.com/office/word/2010/wordprocessingShape">
                    <wps:wsp>
                      <wps:cNvSpPr txBox="1"/>
                      <wps:spPr>
                        <a:xfrm>
                          <a:off x="0" y="0"/>
                          <a:ext cx="914400" cy="792480"/>
                        </a:xfrm>
                        <a:prstGeom prst="rect">
                          <a:avLst/>
                        </a:prstGeom>
                        <a:noFill/>
                        <a:ln>
                          <a:noFill/>
                        </a:ln>
                        <a:effectLst/>
                      </wps:spPr>
                      <wps:txbx>
                        <w:txbxContent>
                          <w:p w14:paraId="2E204DC4">
                            <w:pPr>
                              <w:spacing w:line="22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暂停施工持续</w:t>
                            </w:r>
                            <w:r>
                              <w:rPr>
                                <w:rFonts w:ascii="楷体_GB2312" w:hAnsi="宋体" w:eastAsia="楷体_GB2312" w:cs="楷体_GB2312"/>
                                <w:b/>
                                <w:bCs/>
                                <w:color w:val="000000"/>
                                <w:sz w:val="18"/>
                                <w:szCs w:val="18"/>
                              </w:rPr>
                              <w:t>56</w:t>
                            </w:r>
                            <w:r>
                              <w:rPr>
                                <w:rFonts w:hint="eastAsia" w:ascii="楷体_GB2312" w:hAnsi="宋体" w:eastAsia="楷体_GB2312" w:cs="楷体_GB2312"/>
                                <w:b/>
                                <w:bCs/>
                                <w:color w:val="000000"/>
                                <w:sz w:val="18"/>
                                <w:szCs w:val="18"/>
                              </w:rPr>
                              <w:t>天以上的复工要求</w:t>
                            </w:r>
                          </w:p>
                        </w:txbxContent>
                      </wps:txbx>
                      <wps:bodyPr wrap="square" upright="1"/>
                    </wps:wsp>
                  </a:graphicData>
                </a:graphic>
              </wp:anchor>
            </w:drawing>
          </mc:Choice>
          <mc:Fallback>
            <w:pict>
              <v:shape id="_x0000_s1026" o:spid="_x0000_s1026" o:spt="202" type="#_x0000_t202" style="position:absolute;left:0pt;margin-left:-9pt;margin-top:19.25pt;height:62.4pt;width:72pt;z-index:251797504;mso-width-relative:page;mso-height-relative:page;" filled="f" stroked="f" coordsize="21600,21600" o:gfxdata="UEsDBAoAAAAAAIdO4kAAAAAAAAAAAAAAAAAEAAAAZHJzL1BLAwQUAAAACACHTuJA0cJ2d9cAAAAK&#10;AQAADwAAAGRycy9kb3ducmV2LnhtbE2PQU/DMAyF70j8h8hI3LakK6u6rukOIK4gNkDiljVeW9E4&#10;VZOt5d/jneBm+z09f6/cza4XFxxD50lDslQgkGpvO2o0vB+eFzmIEA1Z03tCDT8YYFfd3pSmsH6i&#10;N7zsYyM4hEJhNLQxDoWUoW7RmbD0AxJrJz86E3kdG2lHM3G46+VKqUw60xF/aM2Ajy3W3/uz0/Dx&#10;cvr6fFCvzZNbD5OflSS3kVrf3yVqCyLiHP/McMVndKiY6ejPZIPoNSySnLtEDWm+BnE1rDI+HHnI&#10;0hRkVcr/FapfUEsDBBQAAAAIAIdO4kCmtLqgvAEAAG0DAAAOAAAAZHJzL2Uyb0RvYy54bWytU0tu&#10;2zAQ3RfIHQjua8qG0SaC5QCFkWyKtkDaA9DUyCIgfsqhLfkC7Q266qb7nsvn6JBSnN8mi26o4Xwe&#10;570Zra4H07EDBNTOVnw+KzgDq1yt7a7i377evL3kDKO0teychYofAfn1+uLNqvclLFzruhoCIxCL&#10;Ze8r3sboSyFQtWAkzpwHS8HGBSMjXcNO1EH2hG46sSiKd6J3ofbBKUAk72YM8gkxvAbQNY1WsHFq&#10;b8DGETVAJyNRwlZ75OvcbdOAip+bBiGyruLENOaTHiF7m06xXslyF6RvtZpakK9p4RknI7WlR89Q&#10;Gxkl2wf9AspoFRy6Js6UM2IkkhUhFvPimTZ3rfSQuZDU6M+i4/+DVZ8OXwLTNW3CcsGZlYZGfvr1&#10;8/T77+nPD5acJFHvsaTMO0+5cfjgBkq/9yM5E/OhCSZ9iROjOAl8PAsMQ2SKnFfz5bKgiKLQ+6vF&#10;8jIPQDwU+4DxFpxhyah4oPllWeXhI0ZqhFLvU9Jb1t3orssz7OwTByWOHshLMFUnHmO/yYrDdpjI&#10;bV19JG49LULF8fteBuBs74PetdRG5ipSCU0hNzFtTBrz4zvZj/+S9T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RwnZ31wAAAAoBAAAPAAAAAAAAAAEAIAAAACIAAABkcnMvZG93bnJldi54bWxQSwEC&#10;FAAUAAAACACHTuJAprS6oLwBAABtAwAADgAAAAAAAAABACAAAAAmAQAAZHJzL2Uyb0RvYy54bWxQ&#10;SwUGAAAAAAYABgBZAQAAVAUAAAAA&#10;">
                <v:fill on="f" focussize="0,0"/>
                <v:stroke on="f"/>
                <v:imagedata o:title=""/>
                <o:lock v:ext="edit" aspectratio="f"/>
                <v:textbox>
                  <w:txbxContent>
                    <w:p w14:paraId="2E204DC4">
                      <w:pPr>
                        <w:spacing w:line="22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暂停施工持续</w:t>
                      </w:r>
                      <w:r>
                        <w:rPr>
                          <w:rFonts w:ascii="楷体_GB2312" w:hAnsi="宋体" w:eastAsia="楷体_GB2312" w:cs="楷体_GB2312"/>
                          <w:b/>
                          <w:bCs/>
                          <w:color w:val="000000"/>
                          <w:sz w:val="18"/>
                          <w:szCs w:val="18"/>
                        </w:rPr>
                        <w:t>56</w:t>
                      </w:r>
                      <w:r>
                        <w:rPr>
                          <w:rFonts w:hint="eastAsia" w:ascii="楷体_GB2312" w:hAnsi="宋体" w:eastAsia="楷体_GB2312" w:cs="楷体_GB2312"/>
                          <w:b/>
                          <w:bCs/>
                          <w:color w:val="000000"/>
                          <w:sz w:val="18"/>
                          <w:szCs w:val="18"/>
                        </w:rPr>
                        <w:t>天以上的复工要求</w:t>
                      </w:r>
                    </w:p>
                  </w:txbxContent>
                </v:textbox>
              </v:shape>
            </w:pict>
          </mc:Fallback>
        </mc:AlternateContent>
      </w:r>
      <w:r>
        <w:rPr>
          <w:rFonts w:hint="default" w:ascii="Times New Roman" w:hAnsi="Times New Roman" w:cs="Times New Roman"/>
          <w:b/>
          <w:bCs/>
          <w:color w:val="auto"/>
          <w:sz w:val="22"/>
          <w:szCs w:val="22"/>
          <w:highlight w:val="none"/>
        </w:rPr>
        <w:t xml:space="preserve">35.3  </w:t>
      </w:r>
      <w:r>
        <w:rPr>
          <w:rFonts w:hint="default" w:ascii="Times New Roman" w:hAnsi="Times New Roman" w:cs="Times New Roman"/>
          <w:b/>
          <w:bCs/>
          <w:color w:val="auto"/>
          <w:sz w:val="22"/>
          <w:szCs w:val="22"/>
          <w:highlight w:val="none"/>
          <w:u w:val="dotted"/>
        </w:rPr>
        <w:t xml:space="preserve">                                                                                                       </w:t>
      </w:r>
    </w:p>
    <w:p w14:paraId="2A84628B">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非承包人的原因造成暂停施工持续56天以上时，承包人可向监理工程师提交复工报审表要求复工；监理工程师应在收到复工报审表后的28天内准许复工。如果在上述期限内监理工程师未予准许，则承包人可以作如下选择：</w:t>
      </w:r>
    </w:p>
    <w:p w14:paraId="38749A49">
      <w:pPr>
        <w:pStyle w:val="15"/>
        <w:numPr>
          <w:ilvl w:val="0"/>
          <w:numId w:val="16"/>
        </w:numPr>
        <w:tabs>
          <w:tab w:val="left" w:pos="1080"/>
        </w:tabs>
        <w:adjustRightInd w:val="0"/>
        <w:snapToGrid w:val="0"/>
        <w:spacing w:line="420" w:lineRule="exact"/>
        <w:ind w:left="1618" w:leftChars="770" w:hanging="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如果此项停工仅影响合同工程的一部分时，则根据第56.2款规定及时提出工程变更，取消该部分工程，并书面通知发包人，抄送监理工程师和造价工程师；</w:t>
      </w:r>
    </w:p>
    <w:p w14:paraId="6FD15B43">
      <w:pPr>
        <w:pStyle w:val="15"/>
        <w:numPr>
          <w:ilvl w:val="0"/>
          <w:numId w:val="16"/>
        </w:numPr>
        <w:tabs>
          <w:tab w:val="left" w:pos="1080"/>
        </w:tabs>
        <w:adjustRightInd w:val="0"/>
        <w:snapToGrid w:val="0"/>
        <w:spacing w:line="420" w:lineRule="exact"/>
        <w:ind w:left="2114" w:leftChars="771" w:hanging="495" w:hangingChars="225"/>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如果此项停工影响整个合同工程时，则根据第87.4款规定解除合同。</w:t>
      </w:r>
    </w:p>
    <w:p w14:paraId="00140C8E">
      <w:pPr>
        <w:pStyle w:val="15"/>
        <w:adjustRightInd w:val="0"/>
        <w:snapToGrid w:val="0"/>
        <w:spacing w:line="420" w:lineRule="exact"/>
        <w:ind w:left="1619"/>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因承包人的原因引起暂停施工持续56天以上，承包人不采取有效的复工措施，造成工期延误的，发包人可根据第87.3款规定解除合同。</w:t>
      </w:r>
    </w:p>
    <w:p w14:paraId="0B189CC8">
      <w:pPr>
        <w:pStyle w:val="15"/>
        <w:tabs>
          <w:tab w:val="left" w:pos="2160"/>
        </w:tabs>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35.4  </w:t>
      </w:r>
      <w:r>
        <w:rPr>
          <w:rFonts w:hint="default" w:ascii="Times New Roman" w:hAnsi="Times New Roman" w:cs="Times New Roman"/>
          <w:b/>
          <w:bCs/>
          <w:color w:val="auto"/>
          <w:sz w:val="22"/>
          <w:szCs w:val="22"/>
          <w:highlight w:val="none"/>
          <w:u w:val="dotted"/>
        </w:rPr>
        <w:t xml:space="preserve">                                                                                                        </w:t>
      </w:r>
    </w:p>
    <w:p w14:paraId="6DC00E93">
      <w:pPr>
        <w:pStyle w:val="15"/>
        <w:adjustRightInd w:val="0"/>
        <w:snapToGrid w:val="0"/>
        <w:spacing w:line="420" w:lineRule="exact"/>
        <w:ind w:left="1619" w:leftChars="771" w:firstLine="2"/>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98528" behindDoc="0" locked="0" layoutInCell="1" allowOverlap="1">
                <wp:simplePos x="0" y="0"/>
                <wp:positionH relativeFrom="column">
                  <wp:posOffset>-114300</wp:posOffset>
                </wp:positionH>
                <wp:positionV relativeFrom="paragraph">
                  <wp:posOffset>635</wp:posOffset>
                </wp:positionV>
                <wp:extent cx="914400" cy="792480"/>
                <wp:effectExtent l="0" t="0" r="0" b="0"/>
                <wp:wrapNone/>
                <wp:docPr id="143" name="文本框 143"/>
                <wp:cNvGraphicFramePr/>
                <a:graphic xmlns:a="http://schemas.openxmlformats.org/drawingml/2006/main">
                  <a:graphicData uri="http://schemas.microsoft.com/office/word/2010/wordprocessingShape">
                    <wps:wsp>
                      <wps:cNvSpPr txBox="1"/>
                      <wps:spPr>
                        <a:xfrm>
                          <a:off x="0" y="0"/>
                          <a:ext cx="914400" cy="792480"/>
                        </a:xfrm>
                        <a:prstGeom prst="rect">
                          <a:avLst/>
                        </a:prstGeom>
                        <a:noFill/>
                        <a:ln>
                          <a:noFill/>
                        </a:ln>
                        <a:effectLst/>
                      </wps:spPr>
                      <wps:txbx>
                        <w:txbxContent>
                          <w:p w14:paraId="366F7CDD">
                            <w:pPr>
                              <w:spacing w:line="22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发包人、承包人原因和不可抗力因素造成暂停施工的责任</w:t>
                            </w:r>
                          </w:p>
                        </w:txbxContent>
                      </wps:txbx>
                      <wps:bodyPr wrap="square" upright="1"/>
                    </wps:wsp>
                  </a:graphicData>
                </a:graphic>
              </wp:anchor>
            </w:drawing>
          </mc:Choice>
          <mc:Fallback>
            <w:pict>
              <v:shape id="_x0000_s1026" o:spid="_x0000_s1026" o:spt="202" type="#_x0000_t202" style="position:absolute;left:0pt;margin-left:-9pt;margin-top:0.05pt;height:62.4pt;width:72pt;z-index:251798528;mso-width-relative:page;mso-height-relative:page;" filled="f" stroked="f" coordsize="21600,21600" o:gfxdata="UEsDBAoAAAAAAIdO4kAAAAAAAAAAAAAAAAAEAAAAZHJzL1BLAwQUAAAACACHTuJAbdqHS9QAAAAI&#10;AQAADwAAAGRycy9kb3ducmV2LnhtbE2PzU7DMBCE70i8g7VI3Np1qlK1IU4PIK4gyo/EzY23SUS8&#10;jmK3CW/P5gS3HX2j2ZliP/lOXWiIbWAD2VKDIq6Ca7k28P72tNiCismys11gMvBDEfbl9VVhcxdG&#10;fqXLIdVKQjjm1kCTUp8jxqohb+My9MTCTmHwNokcanSDHSXcd7jSeoPetiwfGtvTQ0PV9+HsDXw8&#10;n74+1/qlfvR3/Rgmjex3aMztTabvQSWa0p8Z5vpSHUrpdAxndlF1BhbZVrakGagZrzYij/Ox3gGW&#10;Bf4fUP4CUEsDBBQAAAAIAIdO4kBUS3hcvQEAAG0DAAAOAAAAZHJzL2Uyb0RvYy54bWytU0tu2zAQ&#10;3RfIHQjuY8qukSaC5QCFkW6KtEDaA9DUyCIgfsqhLfkC7Q266qb7nsvn6JBS3DTdZNENNZzP47w3&#10;o9XtYDp2gIDa2YrPZwVnYJWrtd1V/POnu8trzjBKW8vOWaj4EZDfri9erXpfwsK1rqshMAKxWPa+&#10;4m2MvhQCVQtG4sx5sBRsXDAy0jXsRB1kT+imE4uiuBK9C7UPTgEieTdjkE+I4SWArmm0go1TewM2&#10;jqgBOhmJErbaI1/nbpsGVPzQNAiRdRUnpjGf9AjZ23SK9UqWuyB9q9XUgnxJC884GaktPXqG2sgo&#10;2T7of6CMVsGha+JMOSNGIlkRYjEvnmnz0EoPmQtJjf4sOv4/WHV/+BiYrmkTlq85s9LQyE/fv51+&#10;/Dr9/MqSkyTqPZaU+eApNw5v3UDpj34kZ2I+NMGkL3FiFCeBj2eBYYhMkfNmvlwWFFEUenOzWF7n&#10;AYg/xT5gfAfOsGRUPND8sqzy8B4jNUKpjynpLevudNflGXb2Lwcljh7ISzBVJx5jv8mKw3aYyG1d&#10;fSRuPS1CxfHLXgbgbO+D3rXURuYqUglNITcxbUwa89M72U//kv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bdqHS9QAAAAIAQAADwAAAAAAAAABACAAAAAiAAAAZHJzL2Rvd25yZXYueG1sUEsBAhQA&#10;FAAAAAgAh07iQFRLeFy9AQAAbQMAAA4AAAAAAAAAAQAgAAAAIwEAAGRycy9lMm9Eb2MueG1sUEsF&#10;BgAAAAAGAAYAWQEAAFIFAAAAAA==&#10;">
                <v:fill on="f" focussize="0,0"/>
                <v:stroke on="f"/>
                <v:imagedata o:title=""/>
                <o:lock v:ext="edit" aspectratio="f"/>
                <v:textbox>
                  <w:txbxContent>
                    <w:p w14:paraId="366F7CDD">
                      <w:pPr>
                        <w:spacing w:line="22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发包人、承包人原因和不可抗力因素造成暂停施工的责任</w:t>
                      </w:r>
                    </w:p>
                  </w:txbxContent>
                </v:textbox>
              </v:shape>
            </w:pict>
          </mc:Fallback>
        </mc:AlternateContent>
      </w:r>
      <w:r>
        <w:rPr>
          <w:rFonts w:hint="default" w:ascii="Times New Roman" w:hAnsi="Times New Roman" w:cs="Times New Roman"/>
          <w:color w:val="auto"/>
          <w:sz w:val="22"/>
          <w:szCs w:val="22"/>
          <w:highlight w:val="none"/>
        </w:rPr>
        <w:t>因发包人的原因造成暂停施工且引起工期延误的，承包人有权要求发包人增加由此发生的费用和（或）顺延工期，并支付合理利润。</w:t>
      </w:r>
    </w:p>
    <w:p w14:paraId="7732953D">
      <w:pPr>
        <w:pStyle w:val="15"/>
        <w:adjustRightInd w:val="0"/>
        <w:snapToGrid w:val="0"/>
        <w:spacing w:line="420" w:lineRule="exact"/>
        <w:ind w:left="1619" w:leftChars="771" w:firstLine="2"/>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因承包人下列原因造成的暂停施工，增加的费用和（或）延误的工期由承包人承担：</w:t>
      </w:r>
    </w:p>
    <w:p w14:paraId="2566CFED">
      <w:pPr>
        <w:pStyle w:val="15"/>
        <w:numPr>
          <w:ilvl w:val="0"/>
          <w:numId w:val="17"/>
        </w:numPr>
        <w:adjustRightInd w:val="0"/>
        <w:snapToGrid w:val="0"/>
        <w:spacing w:line="420" w:lineRule="exact"/>
        <w:ind w:left="1617" w:leftChars="770"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工作失误或违约造成的；</w:t>
      </w:r>
    </w:p>
    <w:p w14:paraId="55940DA7">
      <w:pPr>
        <w:pStyle w:val="15"/>
        <w:numPr>
          <w:ilvl w:val="0"/>
          <w:numId w:val="17"/>
        </w:numPr>
        <w:adjustRightInd w:val="0"/>
        <w:snapToGrid w:val="0"/>
        <w:spacing w:line="420" w:lineRule="exact"/>
        <w:ind w:left="2112" w:leftChars="770" w:hanging="495" w:hangingChars="225"/>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为合同工程合理施工和安全保障所必需的；</w:t>
      </w:r>
    </w:p>
    <w:p w14:paraId="031C0CFA">
      <w:pPr>
        <w:pStyle w:val="15"/>
        <w:numPr>
          <w:ilvl w:val="0"/>
          <w:numId w:val="17"/>
        </w:numPr>
        <w:adjustRightInd w:val="0"/>
        <w:snapToGrid w:val="0"/>
        <w:spacing w:line="420" w:lineRule="exact"/>
        <w:ind w:left="1617" w:leftChars="770"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施工现场气候条件（除不可抗力停工外）导致的；</w:t>
      </w:r>
    </w:p>
    <w:p w14:paraId="4AC9F3E4">
      <w:pPr>
        <w:pStyle w:val="15"/>
        <w:numPr>
          <w:ilvl w:val="0"/>
          <w:numId w:val="17"/>
        </w:numPr>
        <w:adjustRightInd w:val="0"/>
        <w:snapToGrid w:val="0"/>
        <w:spacing w:line="420" w:lineRule="exact"/>
        <w:ind w:left="1617" w:leftChars="770"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擅自停工的；</w:t>
      </w:r>
    </w:p>
    <w:p w14:paraId="547DF1F2">
      <w:pPr>
        <w:pStyle w:val="15"/>
        <w:numPr>
          <w:ilvl w:val="0"/>
          <w:numId w:val="17"/>
        </w:numPr>
        <w:adjustRightInd w:val="0"/>
        <w:snapToGrid w:val="0"/>
        <w:spacing w:line="420" w:lineRule="exact"/>
        <w:ind w:left="1617" w:leftChars="770"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专用条款约定的其他原因。</w:t>
      </w:r>
    </w:p>
    <w:p w14:paraId="50E95433">
      <w:pPr>
        <w:pStyle w:val="15"/>
        <w:tabs>
          <w:tab w:val="left" w:pos="1980"/>
        </w:tabs>
        <w:adjustRightInd w:val="0"/>
        <w:snapToGrid w:val="0"/>
        <w:spacing w:line="420" w:lineRule="exact"/>
        <w:ind w:left="1617" w:leftChars="77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因不可抗力因素造成暂停施工的，按照第31条规定处理。</w:t>
      </w:r>
    </w:p>
    <w:p w14:paraId="2DDA4158">
      <w:pPr>
        <w:pStyle w:val="15"/>
        <w:tabs>
          <w:tab w:val="left" w:pos="1320"/>
        </w:tabs>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35.5  </w:t>
      </w:r>
      <w:r>
        <w:rPr>
          <w:rFonts w:hint="default" w:ascii="Times New Roman" w:hAnsi="Times New Roman" w:cs="Times New Roman"/>
          <w:b/>
          <w:bCs/>
          <w:color w:val="auto"/>
          <w:sz w:val="22"/>
          <w:szCs w:val="22"/>
          <w:highlight w:val="none"/>
          <w:u w:val="dotted"/>
        </w:rPr>
        <w:t xml:space="preserve">                                                                                                        </w:t>
      </w:r>
    </w:p>
    <w:p w14:paraId="2F528C72">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799552" behindDoc="0" locked="0" layoutInCell="1" allowOverlap="1">
                <wp:simplePos x="0" y="0"/>
                <wp:positionH relativeFrom="column">
                  <wp:posOffset>-66675</wp:posOffset>
                </wp:positionH>
                <wp:positionV relativeFrom="paragraph">
                  <wp:posOffset>6350</wp:posOffset>
                </wp:positionV>
                <wp:extent cx="914400" cy="693420"/>
                <wp:effectExtent l="0" t="0" r="0" b="0"/>
                <wp:wrapNone/>
                <wp:docPr id="144" name="文本框 144"/>
                <wp:cNvGraphicFramePr/>
                <a:graphic xmlns:a="http://schemas.openxmlformats.org/drawingml/2006/main">
                  <a:graphicData uri="http://schemas.microsoft.com/office/word/2010/wordprocessingShape">
                    <wps:wsp>
                      <wps:cNvSpPr txBox="1"/>
                      <wps:spPr>
                        <a:xfrm>
                          <a:off x="0" y="0"/>
                          <a:ext cx="914400" cy="693420"/>
                        </a:xfrm>
                        <a:prstGeom prst="rect">
                          <a:avLst/>
                        </a:prstGeom>
                        <a:noFill/>
                        <a:ln>
                          <a:noFill/>
                        </a:ln>
                        <a:effectLst/>
                      </wps:spPr>
                      <wps:txbx>
                        <w:txbxContent>
                          <w:p w14:paraId="1FED2666">
                            <w:pPr>
                              <w:spacing w:line="22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发包人不按规定支付工程款造成暂停施工的责任</w:t>
                            </w:r>
                          </w:p>
                        </w:txbxContent>
                      </wps:txbx>
                      <wps:bodyPr wrap="square" upright="1"/>
                    </wps:wsp>
                  </a:graphicData>
                </a:graphic>
              </wp:anchor>
            </w:drawing>
          </mc:Choice>
          <mc:Fallback>
            <w:pict>
              <v:shape id="_x0000_s1026" o:spid="_x0000_s1026" o:spt="202" type="#_x0000_t202" style="position:absolute;left:0pt;margin-left:-5.25pt;margin-top:0.5pt;height:54.6pt;width:72pt;z-index:251799552;mso-width-relative:page;mso-height-relative:page;" filled="f" stroked="f" coordsize="21600,21600" o:gfxdata="UEsDBAoAAAAAAIdO4kAAAAAAAAAAAAAAAAAEAAAAZHJzL1BLAwQUAAAACACHTuJAotUs3tQAAAAJ&#10;AQAADwAAAGRycy9kb3ducmV2LnhtbE2PwU7DMBBE70j8g7VI3Fo7LUUlxOkBxBVEC0i9beNtEhGv&#10;o9htwt+zPcFtR280O1NsJt+pMw2xDWwhmxtQxFVwLdcWPnYvszWomJAddoHJwg9F2JTXVwXmLoz8&#10;TudtqpWEcMzRQpNSn2sdq4Y8xnnoiYUdw+AxiRxq7QYcJdx3emHMvfbYsnxosKenhqrv7clb+Hw9&#10;7r/uzFv97Ff9GCaj2T9oa29vMvMIKtGU/sxwqS/VoZROh3BiF1VnYZaZlVgFyKQLXy5FH+TIzAJ0&#10;Wej/C8pfUEsDBBQAAAAIAIdO4kB/IdeOuwEAAG0DAAAOAAAAZHJzL2Uyb0RvYy54bWytU0tu2zAQ&#10;3RfoHQjuaymuETSC5QCBkW6KtkDSA9DUyCLAXzm0JV+gvUFX2WTfc/kcGVKKk6abLLKhhvN5nPdm&#10;tLwcjGZ7CKicrfnZrOQMrHSNstua/7i9/vCJM4zCNkI7CzU/APLL1ft3y95XMHed0w0ERiAWq97X&#10;vIvRV0WBsgMjcOY8WAq2LhgR6Rq2RRNET+hGF/OyPC96FxofnARE8q7HIJ8Qw2sAXdsqCWsndwZs&#10;HFEDaBGJEnbKI1/lbtsWZPzWtgiR6ZoT05hPeoTsTTqL1VJU2yB8p+TUgnhNCy84GaEsPXqCWoso&#10;2C6o/6CMksGha+NMOlOMRLIixOKsfKHNTSc8ZC4kNfqT6Ph2sPLr/ntgqqFNWCw4s8LQyI9/fh/v&#10;/h7vf7HkJIl6jxVl3njKjcOVGyj90Y/kTMyHNpj0JU6M4iTw4SQwDJFJcl4QXkkRSaHzi4+LeR5A&#10;8VTsA8bP4AxLRs0DzS/LKvZfMFIjlPqYkt6y7lppnWeo7T8OShw9kJdgqk48xn6TFYfNMJHbuOZA&#10;3HpahJrjz50IwNnOB7XtqI3MtUglNIXcxLQxaczP72Q//0tW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KLVLN7UAAAACQEAAA8AAAAAAAAAAQAgAAAAIgAAAGRycy9kb3ducmV2LnhtbFBLAQIUABQA&#10;AAAIAIdO4kB/IdeOuwEAAG0DAAAOAAAAAAAAAAEAIAAAACMBAABkcnMvZTJvRG9jLnhtbFBLBQYA&#10;AAAABgAGAFkBAABQBQAAAAA=&#10;">
                <v:fill on="f" focussize="0,0"/>
                <v:stroke on="f"/>
                <v:imagedata o:title=""/>
                <o:lock v:ext="edit" aspectratio="f"/>
                <v:textbox>
                  <w:txbxContent>
                    <w:p w14:paraId="1FED2666">
                      <w:pPr>
                        <w:spacing w:line="22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发包人不按规定支付工程款造成暂停施工的责任</w:t>
                      </w:r>
                    </w:p>
                  </w:txbxContent>
                </v:textbox>
              </v:shape>
            </w:pict>
          </mc:Fallback>
        </mc:AlternateContent>
      </w:r>
      <w:r>
        <w:rPr>
          <w:rFonts w:hint="default" w:ascii="Times New Roman" w:hAnsi="Times New Roman" w:cs="Times New Roman"/>
          <w:color w:val="auto"/>
          <w:sz w:val="22"/>
          <w:szCs w:val="22"/>
          <w:highlight w:val="none"/>
        </w:rPr>
        <w:t>如果发包人未按照合同约定支付工程进度款，经催告后在28天内仍未支付的，承包人可以暂停施工，直至收到包括第78.2款规定的应付利息在内的所欠全部款项。由此造成的暂停施工，视为是因发包人的原因引起的，并按照第35.4款规定处理。</w:t>
      </w:r>
    </w:p>
    <w:p w14:paraId="5EA7070E">
      <w:pPr>
        <w:pStyle w:val="15"/>
        <w:tabs>
          <w:tab w:val="left" w:pos="1320"/>
        </w:tabs>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35.6  </w:t>
      </w:r>
      <w:r>
        <w:rPr>
          <w:rFonts w:hint="default" w:ascii="Times New Roman" w:hAnsi="Times New Roman" w:cs="Times New Roman"/>
          <w:b/>
          <w:bCs/>
          <w:color w:val="auto"/>
          <w:sz w:val="22"/>
          <w:szCs w:val="22"/>
          <w:highlight w:val="none"/>
          <w:u w:val="dotted"/>
        </w:rPr>
        <w:t xml:space="preserve">                                                                                                        </w:t>
      </w:r>
    </w:p>
    <w:p w14:paraId="411259D1">
      <w:pPr>
        <w:pStyle w:val="15"/>
        <w:adjustRightInd w:val="0"/>
        <w:snapToGrid w:val="0"/>
        <w:spacing w:line="420" w:lineRule="exact"/>
        <w:ind w:left="1619" w:leftChars="771"/>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00576" behindDoc="0" locked="0" layoutInCell="1" allowOverlap="1">
                <wp:simplePos x="0" y="0"/>
                <wp:positionH relativeFrom="column">
                  <wp:posOffset>-114300</wp:posOffset>
                </wp:positionH>
                <wp:positionV relativeFrom="paragraph">
                  <wp:posOffset>635</wp:posOffset>
                </wp:positionV>
                <wp:extent cx="914400" cy="396240"/>
                <wp:effectExtent l="0" t="0" r="0" b="0"/>
                <wp:wrapNone/>
                <wp:docPr id="145" name="文本框 145"/>
                <wp:cNvGraphicFramePr/>
                <a:graphic xmlns:a="http://schemas.openxmlformats.org/drawingml/2006/main">
                  <a:graphicData uri="http://schemas.microsoft.com/office/word/2010/wordprocessingShape">
                    <wps:wsp>
                      <wps:cNvSpPr txBox="1"/>
                      <wps:spPr>
                        <a:xfrm>
                          <a:off x="0" y="0"/>
                          <a:ext cx="914400" cy="396240"/>
                        </a:xfrm>
                        <a:prstGeom prst="rect">
                          <a:avLst/>
                        </a:prstGeom>
                        <a:noFill/>
                        <a:ln>
                          <a:noFill/>
                        </a:ln>
                        <a:effectLst/>
                      </wps:spPr>
                      <wps:txbx>
                        <w:txbxContent>
                          <w:p w14:paraId="5E8E6EFB">
                            <w:pPr>
                              <w:spacing w:line="22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暂停施工结束后的处理</w:t>
                            </w:r>
                          </w:p>
                        </w:txbxContent>
                      </wps:txbx>
                      <wps:bodyPr wrap="square" upright="1"/>
                    </wps:wsp>
                  </a:graphicData>
                </a:graphic>
              </wp:anchor>
            </w:drawing>
          </mc:Choice>
          <mc:Fallback>
            <w:pict>
              <v:shape id="_x0000_s1026" o:spid="_x0000_s1026" o:spt="202" type="#_x0000_t202" style="position:absolute;left:0pt;margin-left:-9pt;margin-top:0.05pt;height:31.2pt;width:72pt;z-index:251800576;mso-width-relative:page;mso-height-relative:page;" filled="f" stroked="f" coordsize="21600,21600" o:gfxdata="UEsDBAoAAAAAAIdO4kAAAAAAAAAAAAAAAAAEAAAAZHJzL1BLAwQUAAAACACHTuJAH8G9LdMAAAAH&#10;AQAADwAAAGRycy9kb3ducmV2LnhtbE2PwU7DMBBE70j8g7VIvbV2ojYqIZseWnEFUQoSNzfeJhHx&#10;OordJvw9zgmOo7eaeVvsJtuJGw2+dYyQrBQI4sqZlmuE0/vzcgvCB81Gd44J4Yc87Mr7u0Lnxo38&#10;RrdjqEUsYZ9rhCaEPpfSVw1Z7VeuJ47s4garQ4xDLc2gx1huO5kqlUmrW44Lje5p31D1fbxahI+X&#10;y9fnWr3WB7vpRzcpyfZRIi4eEvUEItAU/o5h1o/qUEans7uy8aJDWCbb+EuYgZhxmsV4RsjSDciy&#10;kP/9y19QSwMEFAAAAAgAh07iQLLSj8m9AQAAbQMAAA4AAABkcnMvZTJvRG9jLnhtbK1TS27bMBDd&#10;F8gdCO5jyq4TNILlAIWRboq0QNoD0NTIIiB+yqEt+QLtDbrqpvuey+fokFLcNN1k0Q01nM/jvDej&#10;1e1gOnaAgNrZis9nBWdglau13VX886e7yzecYZS2lp2zUPEjIL9dX7xa9b6EhWtdV0NgBGKx7H3F&#10;2xh9KQSqFozEmfNgKdi4YGSka9iJOsie0E0nFkVxLXoXah+cAkTybsYgnxDDSwBd02gFG6f2Bmwc&#10;UQN0MhIlbLVHvs7dNg2o+KFpECLrKk5MYz7pEbK36RTrlSx3QfpWq6kF+ZIWnnEyUlt69Ay1kVGy&#10;fdD/QBmtgkPXxJlyRoxEsiLEYl480+ahlR4yF5Ia/Vl0/H+w6v7wMTBd0yYsrziz0tDIT9+/nX78&#10;Ov38ypKTJOo9lpT54Ck3Dm/dQOmPfiRnYj40waQvcWIUJ4GPZ4FhiEyR82a+XBYUURR6fXO9WOYB&#10;iD/FPmB8B86wZFQ80PyyrPLwHiM1QqmPKekt6+501+UZdvYvByWOHshLMFUnHmO/yYrDdpjIbV19&#10;JG49LULF8cteBuBs74PetdRG5ipSCU0hNzFtTBrz0zvZT/+S9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fwb0t0wAAAAcBAAAPAAAAAAAAAAEAIAAAACIAAABkcnMvZG93bnJldi54bWxQSwECFAAU&#10;AAAACACHTuJAstKPyb0BAABtAwAADgAAAAAAAAABACAAAAAiAQAAZHJzL2Uyb0RvYy54bWxQSwUG&#10;AAAAAAYABgBZAQAAUQUAAAAA&#10;">
                <v:fill on="f" focussize="0,0"/>
                <v:stroke on="f"/>
                <v:imagedata o:title=""/>
                <o:lock v:ext="edit" aspectratio="f"/>
                <v:textbox>
                  <w:txbxContent>
                    <w:p w14:paraId="5E8E6EFB">
                      <w:pPr>
                        <w:spacing w:line="22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暂停施工结束后的处理</w:t>
                      </w:r>
                    </w:p>
                  </w:txbxContent>
                </v:textbox>
              </v:shape>
            </w:pict>
          </mc:Fallback>
        </mc:AlternateContent>
      </w:r>
      <w:r>
        <w:rPr>
          <w:rFonts w:hint="default" w:ascii="Times New Roman" w:hAnsi="Times New Roman" w:cs="Times New Roman"/>
          <w:color w:val="auto"/>
          <w:sz w:val="22"/>
          <w:szCs w:val="22"/>
          <w:highlight w:val="none"/>
        </w:rPr>
        <w:t>暂停施工结束后，承包人和监理工程师应对受暂停施工影响的工程、材料和工程设备进行检查。承包人负责修复在暂停期间发生的任何变质、缺陷或损坏，因而发生的费用和造成的损失按照第35.4款规定处理。</w:t>
      </w:r>
    </w:p>
    <w:p w14:paraId="4D4794FB">
      <w:pPr>
        <w:pStyle w:val="15"/>
        <w:adjustRightInd w:val="0"/>
        <w:snapToGrid w:val="0"/>
        <w:spacing w:line="420" w:lineRule="exact"/>
        <w:outlineLvl w:val="2"/>
        <w:rPr>
          <w:rFonts w:hint="default" w:ascii="Times New Roman" w:hAnsi="Times New Roman" w:cs="Times New Roman"/>
          <w:b/>
          <w:bCs/>
          <w:color w:val="auto"/>
          <w:sz w:val="22"/>
          <w:szCs w:val="22"/>
          <w:highlight w:val="none"/>
        </w:rPr>
      </w:pPr>
      <w:bookmarkStart w:id="166" w:name="_Toc22602"/>
      <w:bookmarkStart w:id="167" w:name="_Toc469384018"/>
      <w:r>
        <w:rPr>
          <w:rFonts w:hint="default" w:ascii="Times New Roman" w:hAnsi="Times New Roman" w:cs="Times New Roman"/>
          <w:b/>
          <w:bCs/>
          <w:color w:val="auto"/>
          <w:sz w:val="22"/>
          <w:szCs w:val="22"/>
          <w:highlight w:val="none"/>
        </w:rPr>
        <w:t>36  工期和工期延误</w:t>
      </w:r>
      <w:bookmarkEnd w:id="166"/>
      <w:bookmarkEnd w:id="167"/>
    </w:p>
    <w:p w14:paraId="59908DD2">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36.1     </w:t>
      </w:r>
    </w:p>
    <w:p w14:paraId="6BCACD04">
      <w:pPr>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合同工程的工期，由合同双方当事人根据广东省建设工程工期定额等有关规定，结合合同工程拟实施的施工组织设计或施工方案等情况，科学合理地编制工期，并在合同中约定。</w:t>
      </w: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01600" behindDoc="0" locked="0" layoutInCell="1" allowOverlap="1">
                <wp:simplePos x="0" y="0"/>
                <wp:positionH relativeFrom="column">
                  <wp:posOffset>-114300</wp:posOffset>
                </wp:positionH>
                <wp:positionV relativeFrom="paragraph">
                  <wp:posOffset>393700</wp:posOffset>
                </wp:positionV>
                <wp:extent cx="977900" cy="335915"/>
                <wp:effectExtent l="0" t="0" r="0" b="0"/>
                <wp:wrapNone/>
                <wp:docPr id="148" name="文本框 148"/>
                <wp:cNvGraphicFramePr/>
                <a:graphic xmlns:a="http://schemas.openxmlformats.org/drawingml/2006/main">
                  <a:graphicData uri="http://schemas.microsoft.com/office/word/2010/wordprocessingShape">
                    <wps:wsp>
                      <wps:cNvSpPr txBox="1"/>
                      <wps:spPr>
                        <a:xfrm>
                          <a:off x="0" y="0"/>
                          <a:ext cx="977900" cy="335915"/>
                        </a:xfrm>
                        <a:prstGeom prst="rect">
                          <a:avLst/>
                        </a:prstGeom>
                        <a:noFill/>
                        <a:ln>
                          <a:noFill/>
                        </a:ln>
                        <a:effectLst/>
                      </wps:spPr>
                      <wps:txbx>
                        <w:txbxContent>
                          <w:p w14:paraId="0EBFA99F">
                            <w:pPr>
                              <w:rPr>
                                <w:rFonts w:cs="Times New Roman"/>
                              </w:rPr>
                            </w:pPr>
                          </w:p>
                        </w:txbxContent>
                      </wps:txbx>
                      <wps:bodyPr wrap="square" upright="1"/>
                    </wps:wsp>
                  </a:graphicData>
                </a:graphic>
              </wp:anchor>
            </w:drawing>
          </mc:Choice>
          <mc:Fallback>
            <w:pict>
              <v:shape id="_x0000_s1026" o:spid="_x0000_s1026" o:spt="202" type="#_x0000_t202" style="position:absolute;left:0pt;margin-left:-9pt;margin-top:31pt;height:26.45pt;width:77pt;z-index:251801600;mso-width-relative:page;mso-height-relative:page;" filled="f" stroked="f" coordsize="21600,21600" o:gfxdata="UEsDBAoAAAAAAIdO4kAAAAAAAAAAAAAAAAAEAAAAZHJzL1BLAwQUAAAACACHTuJAmX/eiNcAAAAK&#10;AQAADwAAAGRycy9kb3ducmV2LnhtbE2PQW/CMAyF75P4D5GRdoOkjFVQmnIA7bppsE3aLTSmrWic&#10;qgm0+/czp+3kZ/np+Xv5dnStuGEfGk8akrkCgVR621Cl4eP4MluBCNGQNa0n1PCDAbbF5CE3mfUD&#10;vePtECvBIRQyo6GOscukDGWNzoS575D4dva9M5HXvpK2NwOHu1YulEqlMw3xh9p0uKuxvByuTsPn&#10;6/n7a6neqr177gY/KkluLbV+nCZqAyLiGP/McMdndCiY6eSvZINoNcySFXeJGtIFz7vhKWVxYpEs&#10;1yCLXP6vUPwCUEsDBBQAAAAIAIdO4kB+0ipLvAEAAG0DAAAOAAAAZHJzL2Uyb0RvYy54bWytU0tu&#10;2zAQ3RfIHQjua8lJ09SC5QCFkW6CtkDaA9DU0CLAXzi0JV8gvUFX3XTfc/kcHUqKm6abLLqhhvN5&#10;nPdmtLzurWF7iKi9q/l8VnIGTvpGu23Nv365ef2OM0zCNcJ4BzU/APLr1dmrZRcqOPetNw1ERiAO&#10;qy7UvE0pVEWBsgUrcOYDOAoqH61IdI3boomiI3RrivOyfFt0PjYhegmI5F2PQT4hxpcAeqW0hLWX&#10;OwsujagRjEhECVsdkK+GbpUCmT4phZCYqTkxTcNJj5C9yWexWopqG0VotZxaEC9p4RknK7SjR09Q&#10;a5EE20X9D5TVMnr0Ks2kt8VIZFCEWMzLZ9rctSLAwIWkxnASHf8frPy4/xyZbmgT3tDgnbA08uP3&#10;b8cfv44/H1h2kkRdwIoy7wLlpv697yn90Y/kzMx7FW3+EidGcRL4cBIY+sQkORdXV4uSIpJCFxeX&#10;i/llRin+FIeI6QN4y7JR80jzG2QV+1tMY+pjSn7L+RttzDBD4/5yEObogWEJpurMY+w3W6nf9BO5&#10;jW8OxK2jRag53u9EBM52IeptS20MXItcQlMY+p02Jo/56Z3sp3/J6j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Zf96I1wAAAAoBAAAPAAAAAAAAAAEAIAAAACIAAABkcnMvZG93bnJldi54bWxQSwEC&#10;FAAUAAAACACHTuJAftIqS7wBAABtAwAADgAAAAAAAAABACAAAAAmAQAAZHJzL2Uyb0RvYy54bWxQ&#10;SwUGAAAAAAYABgBZAQAAVAUAAAAA&#10;">
                <v:fill on="f" focussize="0,0"/>
                <v:stroke on="f"/>
                <v:imagedata o:title=""/>
                <o:lock v:ext="edit" aspectratio="f"/>
                <v:textbox>
                  <w:txbxContent>
                    <w:p w14:paraId="0EBFA99F">
                      <w:pPr>
                        <w:rPr>
                          <w:rFonts w:cs="Times New Roman"/>
                        </w:rPr>
                      </w:pPr>
                    </w:p>
                  </w:txbxContent>
                </v:textbox>
              </v:shape>
            </w:pict>
          </mc:Fallback>
        </mc:AlternateContent>
      </w: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02624" behindDoc="0" locked="0" layoutInCell="1" allowOverlap="1">
                <wp:simplePos x="0" y="0"/>
                <wp:positionH relativeFrom="column">
                  <wp:posOffset>-114300</wp:posOffset>
                </wp:positionH>
                <wp:positionV relativeFrom="paragraph">
                  <wp:posOffset>31750</wp:posOffset>
                </wp:positionV>
                <wp:extent cx="800100" cy="459740"/>
                <wp:effectExtent l="0" t="0" r="0" b="0"/>
                <wp:wrapNone/>
                <wp:docPr id="146" name="文本框 146"/>
                <wp:cNvGraphicFramePr/>
                <a:graphic xmlns:a="http://schemas.openxmlformats.org/drawingml/2006/main">
                  <a:graphicData uri="http://schemas.microsoft.com/office/word/2010/wordprocessingShape">
                    <wps:wsp>
                      <wps:cNvSpPr txBox="1"/>
                      <wps:spPr>
                        <a:xfrm>
                          <a:off x="0" y="0"/>
                          <a:ext cx="800100" cy="459740"/>
                        </a:xfrm>
                        <a:prstGeom prst="rect">
                          <a:avLst/>
                        </a:prstGeom>
                        <a:noFill/>
                        <a:ln>
                          <a:noFill/>
                        </a:ln>
                        <a:effectLst/>
                      </wps:spPr>
                      <wps:txbx>
                        <w:txbxContent>
                          <w:p w14:paraId="76FD3C6E">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工期计算</w:t>
                            </w:r>
                          </w:p>
                        </w:txbxContent>
                      </wps:txbx>
                      <wps:bodyPr wrap="square" upright="1"/>
                    </wps:wsp>
                  </a:graphicData>
                </a:graphic>
              </wp:anchor>
            </w:drawing>
          </mc:Choice>
          <mc:Fallback>
            <w:pict>
              <v:shape id="_x0000_s1026" o:spid="_x0000_s1026" o:spt="202" type="#_x0000_t202" style="position:absolute;left:0pt;margin-left:-9pt;margin-top:2.5pt;height:36.2pt;width:63pt;z-index:251802624;mso-width-relative:page;mso-height-relative:page;" filled="f" stroked="f" coordsize="21600,21600" o:gfxdata="UEsDBAoAAAAAAIdO4kAAAAAAAAAAAAAAAAAEAAAAZHJzL1BLAwQUAAAACACHTuJAVyCmINUAAAAI&#10;AQAADwAAAGRycy9kb3ducmV2LnhtbE2PzU7DMBCE70i8g7VI3Fo7qKUlZNMDiCuI8iNxc+NtEhGv&#10;o9htwtuzOcFpNZrR7DfFbvKdOtMQ28AI2dKAIq6Ca7lGeH97WmxBxWTZ2S4wIfxQhF15eVHY3IWR&#10;X+m8T7WSEo65RWhS6nOtY9WQt3EZemLxjmHwNokcau0GO0q57/SNMbfa25blQ2N7emio+t6fPMLH&#10;8/Hrc2Ve6ke/7scwGc3+TiNeX2XmHlSiKf2FYcYXdCiF6RBO7KLqEBbZVrYkhLWc2TezPiBsNivQ&#10;ZaH/Dyh/AVBLAwQUAAAACACHTuJAmiAV9LsBAABtAwAADgAAAGRycy9lMm9Eb2MueG1srVPNjtMw&#10;EL4j8Q6W7zTZVVmWqOlKqFouCJAWHsB1xo0l/+Fxm/QF4A04ceHOc/U5GDvZsiyXPXBxxvPzeb5v&#10;Jqub0Rp2gIjau5ZfLGrOwEnfabdr+edPty+uOcMkXCeMd9DyIyC/WT9/thpCA5e+96aDyAjEYTOE&#10;lvcphaaqUPZgBS58AEdB5aMVia5xV3VRDIRuTXVZ11fV4GMXopeASN7NFOQzYnwKoFdKS9h4ubfg&#10;0oQawYhElLDXAfm6dKsUyPRBKYTETMuJaSonPUL2Np/VeiWaXRSh13JuQTylhUecrNCOHj1DbUQS&#10;bB/1P1BWy+jRq7SQ3lYTkaIIsbioH2lz14sAhQtJjeEsOv4/WPn+8DEy3dEmLK84c8LSyE/fv51+&#10;/Dr9/MqykyQaAjaUeRcoN41v/Ejp934kZ2Y+qmjzlzgxipPAx7PAMCYmyXldE0mKSAotX75+tSwD&#10;qP4Uh4jpLXjLstHySPMrsorDO0zUCKXep+S3nL/VxpQZGveXgxInD5QlmKszj6nfbKVxO87ktr47&#10;EreBFqHl+GUvInC2D1HvemqjcK1yCU2hNDFvTB7zwzvZD/+S9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BXIKYg1QAAAAgBAAAPAAAAAAAAAAEAIAAAACIAAABkcnMvZG93bnJldi54bWxQSwECFAAU&#10;AAAACACHTuJAmiAV9LsBAABtAwAADgAAAAAAAAABACAAAAAkAQAAZHJzL2Uyb0RvYy54bWxQSwUG&#10;AAAAAAYABgBZAQAAUQUAAAAA&#10;">
                <v:fill on="f" focussize="0,0"/>
                <v:stroke on="f"/>
                <v:imagedata o:title=""/>
                <o:lock v:ext="edit" aspectratio="f"/>
                <v:textbox>
                  <w:txbxContent>
                    <w:p w14:paraId="76FD3C6E">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工期计算</w:t>
                      </w:r>
                    </w:p>
                  </w:txbxContent>
                </v:textbox>
              </v:shape>
            </w:pict>
          </mc:Fallback>
        </mc:AlternateContent>
      </w:r>
      <w:r>
        <w:rPr>
          <w:rFonts w:hint="default" w:ascii="Times New Roman" w:hAnsi="Times New Roman" w:cs="Times New Roman"/>
          <w:color w:val="auto"/>
          <w:sz w:val="22"/>
          <w:szCs w:val="22"/>
          <w:highlight w:val="none"/>
        </w:rPr>
        <w:t>如合同工期与广东省建设工程工期定额规定不一致的，需说明与省工期定额规定不一致的原因，并制定保障措施，确保质量、施工安全。</w:t>
      </w:r>
    </w:p>
    <w:p w14:paraId="6B7E6FC5">
      <w:pPr>
        <w:pStyle w:val="15"/>
        <w:adjustRightInd w:val="0"/>
        <w:snapToGrid w:val="0"/>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 xml:space="preserve">36.2 </w:t>
      </w:r>
      <w:r>
        <w:rPr>
          <w:rFonts w:hint="default" w:ascii="Times New Roman" w:hAnsi="Times New Roman" w:cs="Times New Roman"/>
          <w:color w:val="auto"/>
          <w:sz w:val="22"/>
          <w:szCs w:val="22"/>
          <w:highlight w:val="none"/>
          <w:u w:val="dotted"/>
        </w:rPr>
        <w:t xml:space="preserve">                                                                          </w:t>
      </w:r>
    </w:p>
    <w:p w14:paraId="38903486">
      <w:pPr>
        <w:pStyle w:val="15"/>
        <w:adjustRightInd w:val="0"/>
        <w:snapToGrid w:val="0"/>
        <w:spacing w:line="420" w:lineRule="exact"/>
        <w:ind w:left="1674" w:leftChars="771" w:hanging="55" w:hangingChars="25"/>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03648" behindDoc="0" locked="0" layoutInCell="1" allowOverlap="1">
                <wp:simplePos x="0" y="0"/>
                <wp:positionH relativeFrom="column">
                  <wp:posOffset>-114300</wp:posOffset>
                </wp:positionH>
                <wp:positionV relativeFrom="paragraph">
                  <wp:posOffset>31750</wp:posOffset>
                </wp:positionV>
                <wp:extent cx="800100" cy="459740"/>
                <wp:effectExtent l="0" t="0" r="0" b="0"/>
                <wp:wrapNone/>
                <wp:docPr id="147" name="文本框 147"/>
                <wp:cNvGraphicFramePr/>
                <a:graphic xmlns:a="http://schemas.openxmlformats.org/drawingml/2006/main">
                  <a:graphicData uri="http://schemas.microsoft.com/office/word/2010/wordprocessingShape">
                    <wps:wsp>
                      <wps:cNvSpPr txBox="1"/>
                      <wps:spPr>
                        <a:xfrm>
                          <a:off x="0" y="0"/>
                          <a:ext cx="800100" cy="459740"/>
                        </a:xfrm>
                        <a:prstGeom prst="rect">
                          <a:avLst/>
                        </a:prstGeom>
                        <a:noFill/>
                        <a:ln>
                          <a:noFill/>
                        </a:ln>
                        <a:effectLst/>
                      </wps:spPr>
                      <wps:txbx>
                        <w:txbxContent>
                          <w:p w14:paraId="65612D8B">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工期约定的要求</w:t>
                            </w:r>
                          </w:p>
                        </w:txbxContent>
                      </wps:txbx>
                      <wps:bodyPr wrap="square" upright="1"/>
                    </wps:wsp>
                  </a:graphicData>
                </a:graphic>
              </wp:anchor>
            </w:drawing>
          </mc:Choice>
          <mc:Fallback>
            <w:pict>
              <v:shape id="_x0000_s1026" o:spid="_x0000_s1026" o:spt="202" type="#_x0000_t202" style="position:absolute;left:0pt;margin-left:-9pt;margin-top:2.5pt;height:36.2pt;width:63pt;z-index:251803648;mso-width-relative:page;mso-height-relative:page;" filled="f" stroked="f" coordsize="21600,21600" o:gfxdata="UEsDBAoAAAAAAIdO4kAAAAAAAAAAAAAAAAAEAAAAZHJzL1BLAwQUAAAACACHTuJAVyCmINUAAAAI&#10;AQAADwAAAGRycy9kb3ducmV2LnhtbE2PzU7DMBCE70i8g7VI3Fo7qKUlZNMDiCuI8iNxc+NtEhGv&#10;o9htwtuzOcFpNZrR7DfFbvKdOtMQ28AI2dKAIq6Ca7lGeH97WmxBxWTZ2S4wIfxQhF15eVHY3IWR&#10;X+m8T7WSEo65RWhS6nOtY9WQt3EZemLxjmHwNokcau0GO0q57/SNMbfa25blQ2N7emio+t6fPMLH&#10;8/Hrc2Ve6ke/7scwGc3+TiNeX2XmHlSiKf2FYcYXdCiF6RBO7KLqEBbZVrYkhLWc2TezPiBsNivQ&#10;ZaH/Dyh/AVBLAwQUAAAACACHTuJAaN/XCLsBAABtAwAADgAAAGRycy9lMm9Eb2MueG1srVPNjtMw&#10;EL4j8Q6W79TZVWGXqOlKqFouCJAWHsB1Jo0l/+Fxm/QF4A04ceHOc/U5GDvZsiyXPXBxxvPzeb5v&#10;Jqub0Rp2gIjau4ZfLCrOwCnfardr+OdPty+uOcMkXSuNd9DwIyC/WT9/thpCDZe+96aFyAjEYT2E&#10;hvcphVoIVD1YiQsfwFGw89HKRNe4E22UA6FbIy6r6pUYfGxD9AoQybuZgnxGjE8B9F2nFWy82ltw&#10;aUKNYGQiStjrgHxduu06UOlD1yEkZhpOTFM56RGyt/kU65Wsd1GGXqu5BfmUFh5xslI7evQMtZFJ&#10;sn3U/0BZraJH36WF8lZMRIoixOKieqTNXS8DFC4kNYaz6Pj/YNX7w8fIdEubsLzizElLIz99/3b6&#10;8ev08yvLTpJoCFhT5l2g3DS+8SOl3/uRnJn52EWbv8SJUZwEPp4FhjExRc7rikhSRFFo+fL11bIM&#10;QPwpDhHTW/CWZaPhkeZXZJWHd5ioEUq9T8lvOX+rjSkzNO4vByVOHihLMFdnHlO/2UrjdpzJbX17&#10;JG4DLULD8cteRuBsH6Le9dRG4SpyCU2hNDFvTB7zwzvZD/+S9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BXIKYg1QAAAAgBAAAPAAAAAAAAAAEAIAAAACIAAABkcnMvZG93bnJldi54bWxQSwECFAAU&#10;AAAACACHTuJAaN/XCLsBAABtAwAADgAAAAAAAAABACAAAAAkAQAAZHJzL2Uyb0RvYy54bWxQSwUG&#10;AAAAAAYABgBZAQAAUQUAAAAA&#10;">
                <v:fill on="f" focussize="0,0"/>
                <v:stroke on="f"/>
                <v:imagedata o:title=""/>
                <o:lock v:ext="edit" aspectratio="f"/>
                <v:textbox>
                  <w:txbxContent>
                    <w:p w14:paraId="65612D8B">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工期约定的要求</w:t>
                      </w:r>
                    </w:p>
                  </w:txbxContent>
                </v:textbox>
              </v:shape>
            </w:pict>
          </mc:Fallback>
        </mc:AlternateContent>
      </w:r>
      <w:r>
        <w:rPr>
          <w:rFonts w:hint="default" w:ascii="Times New Roman" w:hAnsi="Times New Roman" w:cs="Times New Roman"/>
          <w:color w:val="auto"/>
          <w:sz w:val="22"/>
          <w:szCs w:val="22"/>
          <w:highlight w:val="none"/>
        </w:rPr>
        <w:t>合同双方当事人应在专用条款中约定合同工程的工期，工期从开工日期开始计算。合同中包括有多个单位工程的，应在专用条款中约定各单位工程的工期。</w:t>
      </w:r>
    </w:p>
    <w:p w14:paraId="1F34F382">
      <w:pPr>
        <w:pStyle w:val="15"/>
        <w:adjustRightInd w:val="0"/>
        <w:snapToGrid w:val="0"/>
        <w:spacing w:line="420" w:lineRule="exact"/>
        <w:ind w:right="-2"/>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36.3  </w:t>
      </w:r>
      <w:r>
        <w:rPr>
          <w:rFonts w:hint="default" w:ascii="Times New Roman" w:hAnsi="Times New Roman" w:cs="Times New Roman"/>
          <w:b/>
          <w:bCs/>
          <w:color w:val="auto"/>
          <w:sz w:val="22"/>
          <w:szCs w:val="22"/>
          <w:highlight w:val="none"/>
          <w:u w:val="dotted"/>
        </w:rPr>
        <w:t xml:space="preserve">                                                                                                       </w:t>
      </w:r>
    </w:p>
    <w:p w14:paraId="2DA0B272">
      <w:pPr>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04672" behindDoc="0" locked="0" layoutInCell="1" allowOverlap="1">
                <wp:simplePos x="0" y="0"/>
                <wp:positionH relativeFrom="column">
                  <wp:posOffset>-114300</wp:posOffset>
                </wp:positionH>
                <wp:positionV relativeFrom="paragraph">
                  <wp:posOffset>16510</wp:posOffset>
                </wp:positionV>
                <wp:extent cx="800100" cy="261620"/>
                <wp:effectExtent l="0" t="0" r="0" b="0"/>
                <wp:wrapNone/>
                <wp:docPr id="150" name="文本框 150"/>
                <wp:cNvGraphicFramePr/>
                <a:graphic xmlns:a="http://schemas.openxmlformats.org/drawingml/2006/main">
                  <a:graphicData uri="http://schemas.microsoft.com/office/word/2010/wordprocessingShape">
                    <wps:wsp>
                      <wps:cNvSpPr txBox="1"/>
                      <wps:spPr>
                        <a:xfrm>
                          <a:off x="0" y="0"/>
                          <a:ext cx="800100" cy="261620"/>
                        </a:xfrm>
                        <a:prstGeom prst="rect">
                          <a:avLst/>
                        </a:prstGeom>
                        <a:noFill/>
                        <a:ln>
                          <a:noFill/>
                        </a:ln>
                        <a:effectLst/>
                      </wps:spPr>
                      <wps:txbx>
                        <w:txbxContent>
                          <w:p w14:paraId="7DA8E3B3">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工期顺延</w:t>
                            </w:r>
                          </w:p>
                        </w:txbxContent>
                      </wps:txbx>
                      <wps:bodyPr wrap="square" upright="1"/>
                    </wps:wsp>
                  </a:graphicData>
                </a:graphic>
              </wp:anchor>
            </w:drawing>
          </mc:Choice>
          <mc:Fallback>
            <w:pict>
              <v:shape id="_x0000_s1026" o:spid="_x0000_s1026" o:spt="202" type="#_x0000_t202" style="position:absolute;left:0pt;margin-left:-9pt;margin-top:1.3pt;height:20.6pt;width:63pt;z-index:251804672;mso-width-relative:page;mso-height-relative:page;" filled="f" stroked="f" coordsize="21600,21600" o:gfxdata="UEsDBAoAAAAAAIdO4kAAAAAAAAAAAAAAAAAEAAAAZHJzL1BLAwQUAAAACACHTuJAqcduCNUAAAAI&#10;AQAADwAAAGRycy9kb3ducmV2LnhtbE2PzW7CMBCE75X6DtZW6g3sUEBpmg0HUK9FpT9SbyZekqjx&#10;OooNCW9f50SPoxnNfJNvRtuKC/W+cYyQzBUI4tKZhiuEz4/XWQrCB81Gt44J4UoeNsX9Xa4z4wZ+&#10;p8shVCKWsM80Qh1Cl0npy5qs9nPXEUfv5HqrQ5R9JU2vh1huW7lQai2tbjgu1LqjbU3l7+FsEb7e&#10;Tj/fS7WvdnbVDW5Uku2zRHx8SNQLiEBjuIVhwo/oUESmozuz8aJFmCVp/BIQFmsQk68mfURYPqUg&#10;i1z+P1D8AVBLAwQUAAAACACHTuJAwpNRJbkBAABtAwAADgAAAGRycy9lMm9Eb2MueG1srVPNjtMw&#10;EL4j8Q6W7zRpJapV1HQlVC0XBEgLD+A648aS//C4TfoC8AacuHDnufocjJ1sWZbLHrg44/n5PN83&#10;k83taA07QUTtXcuXi5ozcNJ32h1a/vnT3asbzjAJ1wnjHbT8DMhvty9fbIbQwMr33nQQGYE4bIbQ&#10;8j6l0FQVyh6swIUP4CiofLQi0TUeqi6KgdCtqVZ1va4GH7sQvQRE8u6mIJ8R43MAvVJaws7LowWX&#10;JtQIRiSihL0OyLelW6VApg9KISRmWk5MUznpEbL3+ay2G9Ecogi9lnML4jktPOFkhXb06BVqJ5Jg&#10;x6j/gbJaRo9epYX0tpqIFEWIxbJ+os19LwIULiQ1hqvo+P9g5fvTx8h0R5vwmjRxwtLIL9+/XX78&#10;uvz8yrKTJBoCNpR5Hyg3jW/8SOkPfiRnZj6qaPOXODGKE9j5KjCMiUly3tREkiKSQqv1cr0q6NWf&#10;4hAxvQVvWTZaHml+RVZxeoeJGqHUh5T8lvN32pgyQ+P+clDi5IGyBHN15jH1m6007seZ3N53Z+I2&#10;0CK0HL8cRQTOjiHqQ09tFK5VLqEplCbmjcljfnwn+/Ffsv0N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qcduCNUAAAAIAQAADwAAAAAAAAABACAAAAAiAAAAZHJzL2Rvd25yZXYueG1sUEsBAhQAFAAA&#10;AAgAh07iQMKTUSW5AQAAbQMAAA4AAAAAAAAAAQAgAAAAJAEAAGRycy9lMm9Eb2MueG1sUEsFBgAA&#10;AAAGAAYAWQEAAE8FAAAAAA==&#10;">
                <v:fill on="f" focussize="0,0"/>
                <v:stroke on="f"/>
                <v:imagedata o:title=""/>
                <o:lock v:ext="edit" aspectratio="f"/>
                <v:textbox>
                  <w:txbxContent>
                    <w:p w14:paraId="7DA8E3B3">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工期顺延</w:t>
                      </w:r>
                    </w:p>
                  </w:txbxContent>
                </v:textbox>
              </v:shape>
            </w:pict>
          </mc:Fallback>
        </mc:AlternateContent>
      </w:r>
      <w:r>
        <w:rPr>
          <w:rFonts w:hint="default" w:ascii="Times New Roman" w:hAnsi="Times New Roman" w:cs="Times New Roman"/>
          <w:color w:val="auto"/>
          <w:sz w:val="22"/>
          <w:szCs w:val="22"/>
          <w:highlight w:val="none"/>
        </w:rPr>
        <w:t>合同履行期间，由于下列原因造成工期延误的，承包人有权要求发包人增加由此发生的费用和（或）顺延工期，并支付合理利润。本款发生顺延的工期，由承包人提出，经监理工程师核实后由合同双方当事人协商确定；协商不能达成一致的，由监理工程师暂定，通知承包人并抄报发包人。构成争议的，由合同双方当事人按照第86条规定处理。</w:t>
      </w:r>
    </w:p>
    <w:p w14:paraId="5547D690">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（1） 发包人未能按照专用条款的约定提供施工设计图纸及其它开工条件；</w:t>
      </w:r>
    </w:p>
    <w:p w14:paraId="31D05D6C">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（2）发包人未能按照专用条款约定的时间支付工程预付款、绿色施工安全防护费和进度款；</w:t>
      </w:r>
    </w:p>
    <w:p w14:paraId="706D355B">
      <w:pPr>
        <w:pStyle w:val="15"/>
        <w:adjustRightInd w:val="0"/>
        <w:snapToGrid w:val="0"/>
        <w:spacing w:line="420" w:lineRule="exact"/>
        <w:ind w:left="2279" w:leftChars="771" w:hanging="660" w:hangingChars="3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（3） 发包人代表或施工现场发包人雇用的其他人员造成的人为因素；</w:t>
      </w:r>
    </w:p>
    <w:p w14:paraId="24704306">
      <w:pPr>
        <w:pStyle w:val="15"/>
        <w:adjustRightInd w:val="0"/>
        <w:snapToGrid w:val="0"/>
        <w:spacing w:line="420" w:lineRule="exact"/>
        <w:ind w:left="2279" w:leftChars="771" w:hanging="660" w:hangingChars="3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（4） 监理工程师未按照合同约定及时提供所需指令、回复等；</w:t>
      </w:r>
    </w:p>
    <w:p w14:paraId="7D03A70F">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（5） 工程变更（含增加合同工作内容、改变合同的任何一项工作等）；</w:t>
      </w:r>
    </w:p>
    <w:p w14:paraId="50A9C169">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（6） 工程量增加；</w:t>
      </w:r>
    </w:p>
    <w:p w14:paraId="690604C9">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（7） 一周内非承包人原因停水、停电、停气造成停工累计超过8小时；</w:t>
      </w:r>
    </w:p>
    <w:p w14:paraId="1C824891">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（8） 不可抗力；</w:t>
      </w:r>
    </w:p>
    <w:p w14:paraId="7B2CF197">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（9） 发包人风险事件；</w:t>
      </w:r>
    </w:p>
    <w:p w14:paraId="151AB707">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（10）因发包人的原因导致的暂停施工；</w:t>
      </w:r>
    </w:p>
    <w:p w14:paraId="31571E1F">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（11）非承包人失误、违约，以及监理工程师同意的工期顺延。</w:t>
      </w:r>
    </w:p>
    <w:p w14:paraId="5CBAD616">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（12）发包人造成工期延误的其他原因。</w:t>
      </w:r>
    </w:p>
    <w:p w14:paraId="66373D00">
      <w:pPr>
        <w:pStyle w:val="15"/>
        <w:adjustRightInd w:val="0"/>
        <w:snapToGrid w:val="0"/>
        <w:spacing w:line="420" w:lineRule="exact"/>
        <w:ind w:right="-2"/>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 xml:space="preserve">36.4 </w:t>
      </w:r>
      <w:r>
        <w:rPr>
          <w:rFonts w:hint="default" w:ascii="Times New Roman" w:hAnsi="Times New Roman" w:cs="Times New Roman"/>
          <w:color w:val="auto"/>
          <w:sz w:val="22"/>
          <w:szCs w:val="22"/>
          <w:highlight w:val="none"/>
        </w:rPr>
        <w:t xml:space="preserve"> </w:t>
      </w:r>
      <w:r>
        <w:rPr>
          <w:rFonts w:hint="default" w:ascii="Times New Roman" w:hAnsi="Times New Roman" w:cs="Times New Roman"/>
          <w:color w:val="auto"/>
          <w:sz w:val="22"/>
          <w:szCs w:val="22"/>
          <w:highlight w:val="none"/>
          <w:u w:val="dotted"/>
        </w:rPr>
        <w:t xml:space="preserve">                                                                                                        </w:t>
      </w:r>
    </w:p>
    <w:p w14:paraId="32AF808B">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05696" behindDoc="0" locked="0" layoutInCell="1" allowOverlap="1">
                <wp:simplePos x="0" y="0"/>
                <wp:positionH relativeFrom="column">
                  <wp:posOffset>-114300</wp:posOffset>
                </wp:positionH>
                <wp:positionV relativeFrom="paragraph">
                  <wp:posOffset>62230</wp:posOffset>
                </wp:positionV>
                <wp:extent cx="914400" cy="396240"/>
                <wp:effectExtent l="0" t="0" r="0" b="0"/>
                <wp:wrapNone/>
                <wp:docPr id="151" name="文本框 151"/>
                <wp:cNvGraphicFramePr/>
                <a:graphic xmlns:a="http://schemas.openxmlformats.org/drawingml/2006/main">
                  <a:graphicData uri="http://schemas.microsoft.com/office/word/2010/wordprocessingShape">
                    <wps:wsp>
                      <wps:cNvSpPr txBox="1"/>
                      <wps:spPr>
                        <a:xfrm>
                          <a:off x="0" y="0"/>
                          <a:ext cx="914400" cy="396240"/>
                        </a:xfrm>
                        <a:prstGeom prst="rect">
                          <a:avLst/>
                        </a:prstGeom>
                        <a:noFill/>
                        <a:ln>
                          <a:noFill/>
                        </a:ln>
                        <a:effectLst/>
                      </wps:spPr>
                      <wps:txbx>
                        <w:txbxContent>
                          <w:p w14:paraId="658AA6AB">
                            <w:pPr>
                              <w:spacing w:line="220" w:lineRule="exact"/>
                              <w:rPr>
                                <w:rFonts w:ascii="宋体" w:cs="Times New Roman"/>
                                <w:sz w:val="18"/>
                                <w:szCs w:val="18"/>
                              </w:rPr>
                            </w:pPr>
                            <w:r>
                              <w:rPr>
                                <w:rFonts w:hint="eastAsia" w:ascii="楷体_GB2312" w:hAnsi="宋体" w:eastAsia="楷体_GB2312" w:cs="楷体_GB2312"/>
                                <w:b/>
                                <w:bCs/>
                                <w:color w:val="000000"/>
                                <w:sz w:val="18"/>
                                <w:szCs w:val="18"/>
                              </w:rPr>
                              <w:t>提交工期顺延报告</w:t>
                            </w:r>
                          </w:p>
                        </w:txbxContent>
                      </wps:txbx>
                      <wps:bodyPr wrap="square" upright="1"/>
                    </wps:wsp>
                  </a:graphicData>
                </a:graphic>
              </wp:anchor>
            </w:drawing>
          </mc:Choice>
          <mc:Fallback>
            <w:pict>
              <v:shape id="_x0000_s1026" o:spid="_x0000_s1026" o:spt="202" type="#_x0000_t202" style="position:absolute;left:0pt;margin-left:-9pt;margin-top:4.9pt;height:31.2pt;width:72pt;z-index:251805696;mso-width-relative:page;mso-height-relative:page;" filled="f" stroked="f" coordsize="21600,21600" o:gfxdata="UEsDBAoAAAAAAIdO4kAAAAAAAAAAAAAAAAAEAAAAZHJzL1BLAwQUAAAACACHTuJAWuW5mtUAAAAI&#10;AQAADwAAAGRycy9kb3ducmV2LnhtbE2Py07DMBBF90j8gzVI7Fo7EZQ2ZNIFiC2I8pDYufE0iYjH&#10;Uew24e+ZrmB5dUd3zim3s+/VicbYBUbIlgYUcR1cxw3C+9vTYg0qJsvO9oEJ4YcibKvLi9IWLkz8&#10;SqddapSMcCwsQpvSUGgd65a8jcswEEt3CKO3SeLYaDfaScZ9r3NjVtrbjuVDawd6aKn+3h09wsfz&#10;4evzxrw0j/52mMJsNPuNRry+ysw9qERz+juGM76gQyVM+3BkF1WPsMjW4pIQNmJw7vOV5D3CXZ6D&#10;rkr9X6D6BVBLAwQUAAAACACHTuJAN3Ap370BAABtAwAADgAAAGRycy9lMm9Eb2MueG1srVNLbtsw&#10;EN0X6B0I7mvJjhs0guUAhZFsgrZA2gPQ1MgiwF84tCVfoL1BV91033P5HB1Sipummyy6oYbzeZz3&#10;ZrS6HoxmBwionK35fFZyBla6Rtldzb98vnnzjjOMwjZCOws1PwLy6/XrV6veV7BwndMNBEYgFqve&#10;17yL0VdFgbIDI3DmPFgKti4YEekadkUTRE/oRheLsrwsehcaH5wERPJuxiCfEMNLAF3bKgkbJ/cG&#10;bBxRA2gRiRJ2yiNf527bFmT82LYIkemaE9OYT3qE7G06i/VKVLsgfKfk1IJ4SQvPOBmhLD16htqI&#10;KNg+qH+gjJLBoWvjTDpTjESyIsRiXj7T5r4THjIXkhr9WXT8f7Dyw+FTYKqhTXg758wKQyM/ff92&#10;+vHr9PMrS06SqPdYUea9p9w4vHcDpT/6kZyJ+dAGk77EiVGcBD6eBYYhMknOq/lyWVJEUuji6nKx&#10;zAMo/hT7gPEWnGHJqHmg+WVZxeEOIzVCqY8p6S3rbpTWeYba/uWgxNEDeQmm6sRj7DdZcdgOE7mt&#10;a47EradFqDk+7EUAzvY+qF1HbWSuRSqhKeQmpo1JY356J/vpX7L+D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FrluZrVAAAACAEAAA8AAAAAAAAAAQAgAAAAIgAAAGRycy9kb3ducmV2LnhtbFBLAQIU&#10;ABQAAAAIAIdO4kA3cCnfvQEAAG0DAAAOAAAAAAAAAAEAIAAAACQBAABkcnMvZTJvRG9jLnhtbFBL&#10;BQYAAAAABgAGAFkBAABTBQAAAAA=&#10;">
                <v:fill on="f" focussize="0,0"/>
                <v:stroke on="f"/>
                <v:imagedata o:title=""/>
                <o:lock v:ext="edit" aspectratio="f"/>
                <v:textbox>
                  <w:txbxContent>
                    <w:p w14:paraId="658AA6AB">
                      <w:pPr>
                        <w:spacing w:line="220" w:lineRule="exact"/>
                        <w:rPr>
                          <w:rFonts w:ascii="宋体" w:cs="Times New Roman"/>
                          <w:sz w:val="18"/>
                          <w:szCs w:val="18"/>
                        </w:rPr>
                      </w:pPr>
                      <w:r>
                        <w:rPr>
                          <w:rFonts w:hint="eastAsia" w:ascii="楷体_GB2312" w:hAnsi="宋体" w:eastAsia="楷体_GB2312" w:cs="楷体_GB2312"/>
                          <w:b/>
                          <w:bCs/>
                          <w:color w:val="000000"/>
                          <w:sz w:val="18"/>
                          <w:szCs w:val="18"/>
                        </w:rPr>
                        <w:t>提交工期顺延报告</w:t>
                      </w:r>
                    </w:p>
                  </w:txbxContent>
                </v:textbox>
              </v:shape>
            </w:pict>
          </mc:Fallback>
        </mc:AlternateContent>
      </w:r>
      <w:r>
        <w:rPr>
          <w:rFonts w:hint="default" w:ascii="Times New Roman" w:hAnsi="Times New Roman" w:cs="Times New Roman"/>
          <w:color w:val="auto"/>
          <w:sz w:val="22"/>
          <w:szCs w:val="22"/>
          <w:highlight w:val="none"/>
        </w:rPr>
        <w:t>当第36.3款所述事件首次发生后，承包人应在14天内向监理工程师发出工期顺延意向书，并抄送发包人。承包人应在发出工期顺延意向书后的14天内，向监理工程师提交工期顺延报告和有关详细资料。</w:t>
      </w:r>
    </w:p>
    <w:p w14:paraId="6F2A018E">
      <w:pPr>
        <w:pStyle w:val="15"/>
        <w:adjustRightInd w:val="0"/>
        <w:snapToGrid w:val="0"/>
        <w:spacing w:line="420" w:lineRule="exact"/>
        <w:rPr>
          <w:rFonts w:hint="default" w:ascii="Times New Roman" w:hAnsi="Times New Roman" w:cs="Times New Roman"/>
          <w:b/>
          <w:bCs/>
          <w:color w:val="auto"/>
          <w:sz w:val="22"/>
          <w:szCs w:val="22"/>
          <w:highlight w:val="none"/>
          <w:u w:val="dotted"/>
        </w:rPr>
      </w:pPr>
      <w:r>
        <w:rPr>
          <w:rFonts w:hint="default" w:ascii="Times New Roman" w:hAnsi="Times New Roman" w:cs="Times New Roman"/>
          <w:b/>
          <w:bCs/>
          <w:color w:val="auto"/>
          <w:sz w:val="22"/>
          <w:szCs w:val="22"/>
          <w:highlight w:val="none"/>
        </w:rPr>
        <w:t xml:space="preserve">36.5 </w:t>
      </w:r>
      <w:r>
        <w:rPr>
          <w:rFonts w:hint="default" w:ascii="Times New Roman" w:hAnsi="Times New Roman" w:cs="Times New Roman"/>
          <w:b/>
          <w:bCs/>
          <w:color w:val="auto"/>
          <w:sz w:val="22"/>
          <w:szCs w:val="22"/>
          <w:highlight w:val="none"/>
          <w:u w:val="dotted"/>
        </w:rPr>
        <w:t xml:space="preserve">                                                                                                        </w:t>
      </w:r>
    </w:p>
    <w:p w14:paraId="6DBDE0B7">
      <w:pPr>
        <w:pStyle w:val="15"/>
        <w:adjustRightInd w:val="0"/>
        <w:snapToGrid w:val="0"/>
        <w:spacing w:line="420" w:lineRule="exact"/>
        <w:ind w:left="1619" w:leftChars="771"/>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06720" behindDoc="0" locked="0" layoutInCell="1" allowOverlap="1">
                <wp:simplePos x="0" y="0"/>
                <wp:positionH relativeFrom="column">
                  <wp:posOffset>-114300</wp:posOffset>
                </wp:positionH>
                <wp:positionV relativeFrom="paragraph">
                  <wp:posOffset>46990</wp:posOffset>
                </wp:positionV>
                <wp:extent cx="914400" cy="396240"/>
                <wp:effectExtent l="0" t="0" r="0" b="0"/>
                <wp:wrapNone/>
                <wp:docPr id="152" name="文本框 152"/>
                <wp:cNvGraphicFramePr/>
                <a:graphic xmlns:a="http://schemas.openxmlformats.org/drawingml/2006/main">
                  <a:graphicData uri="http://schemas.microsoft.com/office/word/2010/wordprocessingShape">
                    <wps:wsp>
                      <wps:cNvSpPr txBox="1"/>
                      <wps:spPr>
                        <a:xfrm>
                          <a:off x="0" y="0"/>
                          <a:ext cx="914400" cy="396240"/>
                        </a:xfrm>
                        <a:prstGeom prst="rect">
                          <a:avLst/>
                        </a:prstGeom>
                        <a:noFill/>
                        <a:ln>
                          <a:noFill/>
                        </a:ln>
                        <a:effectLst/>
                      </wps:spPr>
                      <wps:txbx>
                        <w:txbxContent>
                          <w:p w14:paraId="40254D55">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工期顺延持续发生的要求</w:t>
                            </w:r>
                          </w:p>
                        </w:txbxContent>
                      </wps:txbx>
                      <wps:bodyPr wrap="square" upright="1"/>
                    </wps:wsp>
                  </a:graphicData>
                </a:graphic>
              </wp:anchor>
            </w:drawing>
          </mc:Choice>
          <mc:Fallback>
            <w:pict>
              <v:shape id="_x0000_s1026" o:spid="_x0000_s1026" o:spt="202" type="#_x0000_t202" style="position:absolute;left:0pt;margin-left:-9pt;margin-top:3.7pt;height:31.2pt;width:72pt;z-index:251806720;mso-width-relative:page;mso-height-relative:page;" filled="f" stroked="f" coordsize="21600,21600" o:gfxdata="UEsDBAoAAAAAAIdO4kAAAAAAAAAAAAAAAAAEAAAAZHJzL1BLAwQUAAAACACHTuJAz9yQatUAAAAI&#10;AQAADwAAAGRycy9kb3ducmV2LnhtbE2PwU7DMBBE70j9B2uRuLV2qpKmIZseiriCaAsSNzfeJhHx&#10;OordJvw97gmOoxnNvCm2k+3ElQbfOkZIFgoEceVMyzXC8fAyz0D4oNnozjEh/JCHbTm7K3Ru3Mjv&#10;dN2HWsQS9rlGaELocyl91ZDVfuF64uid3WB1iHKopRn0GMttJ5dKpdLqluNCo3vaNVR97y8W4eP1&#10;/PW5Um/1s33sRzcpyXYjER/uE/UEItAU/sJww4/oUEamk7uw8aJDmCdZ/BIQ1isQN3+ZRn1CSDcZ&#10;yLKQ/w+Uv1BLAwQUAAAACACHTuJAYHYfAb0BAABtAwAADgAAAGRycy9lMm9Eb2MueG1srVNLbtsw&#10;EN0XyB0I7mPKrhM0guUAhZFuirRA2gPQ1MgiIH7KoS35Au0Nuuqm+57L5+iQUtw03WTRDTWcz+O8&#10;N6PV7WA6doCA2tmKz2cFZ2CVq7XdVfzzp7vLN5xhlLaWnbNQ8SMgv11fvFr1voSFa11XQ2AEYrHs&#10;fcXbGH0pBKoWjMSZ82Ap2LhgZKRr2Ik6yJ7QTScWRXEtehdqH5wCRPJuxiCfEMNLAF3TaAUbp/YG&#10;bBxRA3QyEiVstUe+zt02Daj4oWkQIusqTkxjPukRsrfpFOuVLHdB+larqQX5khaecTJSW3r0DLWR&#10;UbJ90P9AGa2CQ9fEmXJGjESyIsRiXjzT5qGVHjIXkhr9WXT8f7Dq/vAxMF3TJlwtOLPS0MhP37+d&#10;fvw6/fzKkpMk6j2WlPngKTcOb91A6Y9+JGdiPjTBpC9xYhQngY9ngWGITJHzZr5cFhRRFHp9c71Y&#10;5gGIP8U+YHwHzrBkVDzQ/LKs8vAeIzVCqY8p6S3r7nTX5Rl29i8HJY4eyEswVSceY7/JisN2mMht&#10;XX0kbj0tQsXxy14G4Gzvg9611EbmKlIJTSE3MW1MGvPTO9lP/5L1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M/ckGrVAAAACAEAAA8AAAAAAAAAAQAgAAAAIgAAAGRycy9kb3ducmV2LnhtbFBLAQIU&#10;ABQAAAAIAIdO4kBgdh8BvQEAAG0DAAAOAAAAAAAAAAEAIAAAACQBAABkcnMvZTJvRG9jLnhtbFBL&#10;BQYAAAAABgAGAFkBAABTBQAAAAA=&#10;">
                <v:fill on="f" focussize="0,0"/>
                <v:stroke on="f"/>
                <v:imagedata o:title=""/>
                <o:lock v:ext="edit" aspectratio="f"/>
                <v:textbox>
                  <w:txbxContent>
                    <w:p w14:paraId="40254D55">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工期顺延持续发生的要求</w:t>
                      </w:r>
                    </w:p>
                  </w:txbxContent>
                </v:textbox>
              </v:shape>
            </w:pict>
          </mc:Fallback>
        </mc:AlternateContent>
      </w:r>
      <w:r>
        <w:rPr>
          <w:rFonts w:hint="default" w:ascii="Times New Roman" w:hAnsi="Times New Roman" w:cs="Times New Roman"/>
          <w:color w:val="auto"/>
          <w:sz w:val="22"/>
          <w:szCs w:val="22"/>
          <w:highlight w:val="none"/>
        </w:rPr>
        <w:t>如果工期顺延事件持续发生时，承包人应每隔7天向监理工程师发出工期顺延意向书，并在工期顺延事件终结后的14天内，向监理工程师提交最终工期顺延报告和详细资料。</w:t>
      </w:r>
    </w:p>
    <w:p w14:paraId="19FDB169">
      <w:pPr>
        <w:pStyle w:val="15"/>
        <w:adjustRightInd w:val="0"/>
        <w:snapToGrid w:val="0"/>
        <w:spacing w:line="420" w:lineRule="exact"/>
        <w:ind w:right="-2"/>
        <w:rPr>
          <w:rFonts w:hint="default" w:ascii="Times New Roman" w:hAnsi="Times New Roman" w:cs="Times New Roman"/>
          <w:b/>
          <w:bCs/>
          <w:color w:val="auto"/>
          <w:sz w:val="22"/>
          <w:szCs w:val="22"/>
          <w:highlight w:val="none"/>
          <w:u w:val="dotted"/>
        </w:rPr>
      </w:pPr>
      <w:r>
        <w:rPr>
          <w:rFonts w:hint="default" w:ascii="Times New Roman" w:hAnsi="Times New Roman" w:cs="Times New Roman"/>
          <w:b/>
          <w:bCs/>
          <w:color w:val="auto"/>
          <w:sz w:val="22"/>
          <w:szCs w:val="22"/>
          <w:highlight w:val="none"/>
        </w:rPr>
        <w:t xml:space="preserve">36.6  </w:t>
      </w:r>
      <w:r>
        <w:rPr>
          <w:rFonts w:hint="default" w:ascii="Times New Roman" w:hAnsi="Times New Roman" w:cs="Times New Roman"/>
          <w:b/>
          <w:bCs/>
          <w:color w:val="auto"/>
          <w:sz w:val="22"/>
          <w:szCs w:val="22"/>
          <w:highlight w:val="none"/>
          <w:u w:val="dotted"/>
        </w:rPr>
        <w:t xml:space="preserve">                                                                                                        </w:t>
      </w:r>
    </w:p>
    <w:p w14:paraId="23138B12">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07744" behindDoc="0" locked="0" layoutInCell="1" allowOverlap="1">
                <wp:simplePos x="0" y="0"/>
                <wp:positionH relativeFrom="column">
                  <wp:posOffset>-114300</wp:posOffset>
                </wp:positionH>
                <wp:positionV relativeFrom="paragraph">
                  <wp:posOffset>45720</wp:posOffset>
                </wp:positionV>
                <wp:extent cx="914400" cy="483870"/>
                <wp:effectExtent l="0" t="0" r="0" b="0"/>
                <wp:wrapNone/>
                <wp:docPr id="153" name="文本框 153"/>
                <wp:cNvGraphicFramePr/>
                <a:graphic xmlns:a="http://schemas.openxmlformats.org/drawingml/2006/main">
                  <a:graphicData uri="http://schemas.microsoft.com/office/word/2010/wordprocessingShape">
                    <wps:wsp>
                      <wps:cNvSpPr txBox="1"/>
                      <wps:spPr>
                        <a:xfrm>
                          <a:off x="0" y="0"/>
                          <a:ext cx="914400" cy="483870"/>
                        </a:xfrm>
                        <a:prstGeom prst="rect">
                          <a:avLst/>
                        </a:prstGeom>
                        <a:noFill/>
                        <a:ln>
                          <a:noFill/>
                        </a:ln>
                        <a:effectLst/>
                      </wps:spPr>
                      <wps:txbx>
                        <w:txbxContent>
                          <w:p w14:paraId="2CC9DE26">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拒绝延期</w:t>
                            </w:r>
                          </w:p>
                        </w:txbxContent>
                      </wps:txbx>
                      <wps:bodyPr wrap="square" upright="1"/>
                    </wps:wsp>
                  </a:graphicData>
                </a:graphic>
              </wp:anchor>
            </w:drawing>
          </mc:Choice>
          <mc:Fallback>
            <w:pict>
              <v:shape id="_x0000_s1026" o:spid="_x0000_s1026" o:spt="202" type="#_x0000_t202" style="position:absolute;left:0pt;margin-left:-9pt;margin-top:3.6pt;height:38.1pt;width:72pt;z-index:251807744;mso-width-relative:page;mso-height-relative:page;" filled="f" stroked="f" coordsize="21600,21600" o:gfxdata="UEsDBAoAAAAAAIdO4kAAAAAAAAAAAAAAAAAEAAAAZHJzL1BLAwQUAAAACACHTuJA2pdDx9YAAAAI&#10;AQAADwAAAGRycy9kb3ducmV2LnhtbE2PzU7DMBCE70h9B2uRuLV2QikhZNNDEVdQy4/EzY23SUS8&#10;jmK3CW+Pe2qPoxnNfFOsJ9uJEw2+dYyQLBQI4sqZlmuEz4/XeQbCB81Gd44J4Y88rMvZTaFz40be&#10;0mkXahFL2OcaoQmhz6X0VUNW+4XriaN3cIPVIcqhlmbQYyy3nUyVWkmrW44Lje5p01D1uztahK+3&#10;w8/3Ur3XL/ahH92kJNsniXh3m6hnEIGmcAnDGT+iQxmZ9u7IxosOYZ5k8UtAeExBnP10FfUeIbtf&#10;giwLeX2g/AdQSwMEFAAAAAgAh07iQDSMizW9AQAAbQMAAA4AAABkcnMvZTJvRG9jLnhtbK1TzY7T&#10;MBC+I/EOlu806W6BEjVdCVXLBQHSwgO4zrixFP/gcZv0BeANOHHhznP1OXbsZMv+XPbAxRnPz+f5&#10;vpmsrgbTsQME1M7WfD4rOQMrXaPtrubfvl6/WnKGUdhGdM5CzY+A/Gr98sWq9xVcuNZ1DQRGIBar&#10;3te8jdFXRYGyBSNw5jxYCioXjIh0DbuiCaIndNMVF2X5puhdaHxwEhDJuxmDfEIMzwF0SmkJGyf3&#10;BmwcUQN0IhIlbLVHvs7dKgUyflYKIbKu5sQ05pMeIXubzmK9EtUuCN9qObUgntPCI05GaEuPnqE2&#10;Igq2D/oJlNEyOHQqzqQzxUgkK0Is5uUjbW5a4SFzIanRn0XH/wcrPx2+BKYb2oTXl5xZYWjkp18/&#10;T7//nv78YMlJEvUeK8q88ZQbh/duoPQ7P5IzMR9UMOlLnBjFSeDjWWAYIpPkfDdfLEqKSAotlpfL&#10;t3kAxb9iHzB+AGdYMmoeaH5ZVnH4iJEaodS7lPSWdde66/IMO/vAQYmjB/ISTNWJx9hvsuKwHSZy&#10;W9cciVtPi1Bz/L4XATjb+6B3LbWRuRaphKaQm5g2Jo35/p3s+3/J+h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al0PH1gAAAAgBAAAPAAAAAAAAAAEAIAAAACIAAABkcnMvZG93bnJldi54bWxQSwEC&#10;FAAUAAAACACHTuJANIyLNb0BAABtAwAADgAAAAAAAAABACAAAAAlAQAAZHJzL2Uyb0RvYy54bWxQ&#10;SwUGAAAAAAYABgBZAQAAVAUAAAAA&#10;">
                <v:fill on="f" focussize="0,0"/>
                <v:stroke on="f"/>
                <v:imagedata o:title=""/>
                <o:lock v:ext="edit" aspectratio="f"/>
                <v:textbox>
                  <w:txbxContent>
                    <w:p w14:paraId="2CC9DE26">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拒绝延期</w:t>
                      </w:r>
                    </w:p>
                  </w:txbxContent>
                </v:textbox>
              </v:shape>
            </w:pict>
          </mc:Fallback>
        </mc:AlternateContent>
      </w:r>
      <w:r>
        <w:rPr>
          <w:rFonts w:hint="default" w:ascii="Times New Roman" w:hAnsi="Times New Roman" w:cs="Times New Roman"/>
          <w:color w:val="auto"/>
          <w:sz w:val="22"/>
          <w:szCs w:val="22"/>
          <w:highlight w:val="none"/>
        </w:rPr>
        <w:t xml:space="preserve">如果承包人未能在第36.4款和第36.5款（发生时）规定的时间内提交（最终）工期顺延报告和详细资料，则视为该事件不影响施工进度或承包人放弃顺延工期的权利。 </w:t>
      </w:r>
    </w:p>
    <w:p w14:paraId="447A396E">
      <w:pPr>
        <w:pStyle w:val="15"/>
        <w:adjustRightInd w:val="0"/>
        <w:snapToGrid w:val="0"/>
        <w:spacing w:line="420" w:lineRule="exact"/>
        <w:ind w:right="-2"/>
        <w:rPr>
          <w:rFonts w:hint="default" w:ascii="Times New Roman" w:hAnsi="Times New Roman" w:cs="Times New Roman"/>
          <w:b/>
          <w:bCs/>
          <w:color w:val="auto"/>
          <w:sz w:val="22"/>
          <w:szCs w:val="22"/>
          <w:highlight w:val="none"/>
          <w:u w:val="dotted"/>
        </w:rPr>
      </w:pPr>
      <w:r>
        <w:rPr>
          <w:rFonts w:hint="default" w:ascii="Times New Roman" w:hAnsi="Times New Roman" w:cs="Times New Roman"/>
          <w:b/>
          <w:bCs/>
          <w:color w:val="auto"/>
          <w:sz w:val="22"/>
          <w:szCs w:val="22"/>
          <w:highlight w:val="none"/>
        </w:rPr>
        <w:t xml:space="preserve">36.7  </w:t>
      </w:r>
      <w:r>
        <w:rPr>
          <w:rFonts w:hint="default" w:ascii="Times New Roman" w:hAnsi="Times New Roman" w:cs="Times New Roman"/>
          <w:b/>
          <w:bCs/>
          <w:color w:val="auto"/>
          <w:sz w:val="22"/>
          <w:szCs w:val="22"/>
          <w:highlight w:val="none"/>
          <w:u w:val="dotted"/>
        </w:rPr>
        <w:t xml:space="preserve">                                                                                                        </w:t>
      </w:r>
    </w:p>
    <w:p w14:paraId="3E8E55D5">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08768" behindDoc="0" locked="0" layoutInCell="1" allowOverlap="1">
                <wp:simplePos x="0" y="0"/>
                <wp:positionH relativeFrom="column">
                  <wp:posOffset>-114300</wp:posOffset>
                </wp:positionH>
                <wp:positionV relativeFrom="paragraph">
                  <wp:posOffset>45720</wp:posOffset>
                </wp:positionV>
                <wp:extent cx="914400" cy="483870"/>
                <wp:effectExtent l="0" t="0" r="0" b="0"/>
                <wp:wrapNone/>
                <wp:docPr id="154" name="文本框 154"/>
                <wp:cNvGraphicFramePr/>
                <a:graphic xmlns:a="http://schemas.openxmlformats.org/drawingml/2006/main">
                  <a:graphicData uri="http://schemas.microsoft.com/office/word/2010/wordprocessingShape">
                    <wps:wsp>
                      <wps:cNvSpPr txBox="1"/>
                      <wps:spPr>
                        <a:xfrm>
                          <a:off x="0" y="0"/>
                          <a:ext cx="914400" cy="483870"/>
                        </a:xfrm>
                        <a:prstGeom prst="rect">
                          <a:avLst/>
                        </a:prstGeom>
                        <a:noFill/>
                        <a:ln>
                          <a:noFill/>
                        </a:ln>
                        <a:effectLst/>
                      </wps:spPr>
                      <wps:txbx>
                        <w:txbxContent>
                          <w:p w14:paraId="67405EEE">
                            <w:pPr>
                              <w:spacing w:line="240" w:lineRule="exact"/>
                              <w:rPr>
                                <w:rFonts w:ascii="宋体" w:cs="Times New Roman"/>
                                <w:sz w:val="18"/>
                                <w:szCs w:val="18"/>
                              </w:rPr>
                            </w:pPr>
                            <w:r>
                              <w:rPr>
                                <w:rFonts w:hint="eastAsia" w:ascii="楷体_GB2312" w:hAnsi="宋体" w:eastAsia="楷体_GB2312" w:cs="楷体_GB2312"/>
                                <w:b/>
                                <w:bCs/>
                                <w:color w:val="000000"/>
                                <w:sz w:val="18"/>
                                <w:szCs w:val="18"/>
                              </w:rPr>
                              <w:t>工期顺延的核实与确定</w:t>
                            </w:r>
                          </w:p>
                        </w:txbxContent>
                      </wps:txbx>
                      <wps:bodyPr wrap="square" upright="1"/>
                    </wps:wsp>
                  </a:graphicData>
                </a:graphic>
              </wp:anchor>
            </w:drawing>
          </mc:Choice>
          <mc:Fallback>
            <w:pict>
              <v:shape id="_x0000_s1026" o:spid="_x0000_s1026" o:spt="202" type="#_x0000_t202" style="position:absolute;left:0pt;margin-left:-9pt;margin-top:3.6pt;height:38.1pt;width:72pt;z-index:251808768;mso-width-relative:page;mso-height-relative:page;" filled="f" stroked="f" coordsize="21600,21600" o:gfxdata="UEsDBAoAAAAAAIdO4kAAAAAAAAAAAAAAAAAEAAAAZHJzL1BLAwQUAAAACACHTuJA2pdDx9YAAAAI&#10;AQAADwAAAGRycy9kb3ducmV2LnhtbE2PzU7DMBCE70h9B2uRuLV2QikhZNNDEVdQy4/EzY23SUS8&#10;jmK3CW+Pe2qPoxnNfFOsJ9uJEw2+dYyQLBQI4sqZlmuEz4/XeQbCB81Gd44J4Y88rMvZTaFz40be&#10;0mkXahFL2OcaoQmhz6X0VUNW+4XriaN3cIPVIcqhlmbQYyy3nUyVWkmrW44Lje5p01D1uztahK+3&#10;w8/3Ur3XL/ahH92kJNsniXh3m6hnEIGmcAnDGT+iQxmZ9u7IxosOYZ5k8UtAeExBnP10FfUeIbtf&#10;giwLeX2g/AdQSwMEFAAAAAgAh07iQCl5VK69AQAAbQMAAA4AAABkcnMvZTJvRG9jLnhtbK1TzY7T&#10;MBC+I+07WL5vnS4FStR0JVTtXhAgLTyA60waS/HPetwmfQF4A05cuPNcfQ7GTrYsy2UPXJzx/Hye&#10;75vJ6nowHTtAQO1sxeezgjOwytXa7ir+5fPN5ZIzjNLWsnMWKn4E5Nfrixer3pdw5VrX1RAYgVgs&#10;e1/xNkZfCoGqBSNx5jxYCjYuGBnpGnaiDrIndNOJq6J4LXoXah+cAkTybsYgnxDDcwBd02gFG6f2&#10;BmwcUQN0MhIlbLVHvs7dNg2o+LFpECLrKk5MYz7pEbK36RTrlSx3QfpWq6kF+ZwWnnAyUlt69Ay1&#10;kVGyfdD/QBmtgkPXxJlyRoxEsiLEYl480eaulR4yF5Ia/Vl0/H+w6sPhU2C6pk14teDMSkMjP33/&#10;dvrx6/TzK0tOkqj3WFLmnafcOLxzA6U/+JGcifnQBJO+xIlRnAQ+ngWGITJFzrfzxaKgiKLQYvly&#10;+SYPQPwp9gHjLTjDklHxQPPLssrDe4zUCKU+pKS3rLvRXZdn2Nm/HJQ4eiAvwVSdeIz9JisO22Ei&#10;t3X1kbj1tAgVx/u9DMDZ3ge9a6mNzFWkEppCbmLamDTmx3eyH/8l69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al0PH1gAAAAgBAAAPAAAAAAAAAAEAIAAAACIAAABkcnMvZG93bnJldi54bWxQSwEC&#10;FAAUAAAACACHTuJAKXlUrr0BAABtAwAADgAAAAAAAAABACAAAAAlAQAAZHJzL2Uyb0RvYy54bWxQ&#10;SwUGAAAAAAYABgBZAQAAVAUAAAAA&#10;">
                <v:fill on="f" focussize="0,0"/>
                <v:stroke on="f"/>
                <v:imagedata o:title=""/>
                <o:lock v:ext="edit" aspectratio="f"/>
                <v:textbox>
                  <w:txbxContent>
                    <w:p w14:paraId="67405EEE">
                      <w:pPr>
                        <w:spacing w:line="240" w:lineRule="exact"/>
                        <w:rPr>
                          <w:rFonts w:ascii="宋体" w:cs="Times New Roman"/>
                          <w:sz w:val="18"/>
                          <w:szCs w:val="18"/>
                        </w:rPr>
                      </w:pPr>
                      <w:r>
                        <w:rPr>
                          <w:rFonts w:hint="eastAsia" w:ascii="楷体_GB2312" w:hAnsi="宋体" w:eastAsia="楷体_GB2312" w:cs="楷体_GB2312"/>
                          <w:b/>
                          <w:bCs/>
                          <w:color w:val="000000"/>
                          <w:sz w:val="18"/>
                          <w:szCs w:val="18"/>
                        </w:rPr>
                        <w:t>工期顺延的核实与确定</w:t>
                      </w:r>
                    </w:p>
                  </w:txbxContent>
                </v:textbox>
              </v:shape>
            </w:pict>
          </mc:Fallback>
        </mc:AlternateContent>
      </w:r>
      <w:r>
        <w:rPr>
          <w:rFonts w:hint="default" w:ascii="Times New Roman" w:hAnsi="Times New Roman" w:cs="Times New Roman"/>
          <w:color w:val="auto"/>
          <w:sz w:val="22"/>
          <w:szCs w:val="22"/>
          <w:highlight w:val="none"/>
        </w:rPr>
        <w:t>监理工程师应在收到承包人按照第36.4款和第36.5款（发生时）规定提交（最终）工期顺延报告和详细资料后的28天内，按照第36.3款规定予以核实，或要求承包人进一步补充顺延工期的理由。合同双方当事人一旦协商确定顺延的工期，发包人应承担由此增加的费用，并向承包人支付合理利润。</w:t>
      </w:r>
    </w:p>
    <w:p w14:paraId="2E1C128F">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如果监理工程师在收到上述报告和资料后的28天内未予核实也未对承包人作出进一步要求，则视为监理工程师已认可承包人上述报告中提出的顺延工期天数。</w:t>
      </w:r>
    </w:p>
    <w:p w14:paraId="17E7DACA">
      <w:pPr>
        <w:pStyle w:val="15"/>
        <w:adjustRightInd w:val="0"/>
        <w:snapToGrid w:val="0"/>
        <w:spacing w:line="420" w:lineRule="exact"/>
        <w:ind w:left="1486" w:leftChars="1" w:hanging="1484" w:hangingChars="674"/>
        <w:rPr>
          <w:rFonts w:hint="default" w:ascii="Times New Roman" w:hAnsi="Times New Roman" w:cs="Times New Roman"/>
          <w:b/>
          <w:bCs/>
          <w:color w:val="auto"/>
          <w:sz w:val="22"/>
          <w:szCs w:val="22"/>
          <w:highlight w:val="none"/>
          <w:u w:val="dotted"/>
        </w:rPr>
      </w:pPr>
      <w:r>
        <w:rPr>
          <w:rFonts w:hint="default" w:ascii="Times New Roman" w:hAnsi="Times New Roman" w:cs="Times New Roman"/>
          <w:b/>
          <w:bCs/>
          <w:color w:val="auto"/>
          <w:sz w:val="22"/>
          <w:szCs w:val="22"/>
          <w:highlight w:val="none"/>
        </w:rPr>
        <w:t xml:space="preserve">36.8  </w:t>
      </w:r>
      <w:r>
        <w:rPr>
          <w:rFonts w:hint="default" w:ascii="Times New Roman" w:hAnsi="Times New Roman" w:cs="Times New Roman"/>
          <w:b/>
          <w:bCs/>
          <w:color w:val="auto"/>
          <w:sz w:val="22"/>
          <w:szCs w:val="22"/>
          <w:highlight w:val="none"/>
          <w:u w:val="dotted"/>
        </w:rPr>
        <w:t xml:space="preserve">                                                                                                        </w:t>
      </w:r>
    </w:p>
    <w:p w14:paraId="77285053">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09792" behindDoc="0" locked="0" layoutInCell="1" allowOverlap="1">
                <wp:simplePos x="0" y="0"/>
                <wp:positionH relativeFrom="column">
                  <wp:posOffset>-114300</wp:posOffset>
                </wp:positionH>
                <wp:positionV relativeFrom="paragraph">
                  <wp:posOffset>45720</wp:posOffset>
                </wp:positionV>
                <wp:extent cx="914400" cy="593725"/>
                <wp:effectExtent l="0" t="0" r="0" b="0"/>
                <wp:wrapNone/>
                <wp:docPr id="155" name="文本框 155"/>
                <wp:cNvGraphicFramePr/>
                <a:graphic xmlns:a="http://schemas.openxmlformats.org/drawingml/2006/main">
                  <a:graphicData uri="http://schemas.microsoft.com/office/word/2010/wordprocessingShape">
                    <wps:wsp>
                      <wps:cNvSpPr txBox="1"/>
                      <wps:spPr>
                        <a:xfrm>
                          <a:off x="0" y="0"/>
                          <a:ext cx="914400" cy="593725"/>
                        </a:xfrm>
                        <a:prstGeom prst="rect">
                          <a:avLst/>
                        </a:prstGeom>
                        <a:noFill/>
                        <a:ln>
                          <a:noFill/>
                        </a:ln>
                        <a:effectLst/>
                      </wps:spPr>
                      <wps:txbx>
                        <w:txbxContent>
                          <w:p w14:paraId="64515E5F">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承包人误期的赔偿、责任承担</w:t>
                            </w:r>
                          </w:p>
                        </w:txbxContent>
                      </wps:txbx>
                      <wps:bodyPr wrap="square" upright="1"/>
                    </wps:wsp>
                  </a:graphicData>
                </a:graphic>
              </wp:anchor>
            </w:drawing>
          </mc:Choice>
          <mc:Fallback>
            <w:pict>
              <v:shape id="_x0000_s1026" o:spid="_x0000_s1026" o:spt="202" type="#_x0000_t202" style="position:absolute;left:0pt;margin-left:-9pt;margin-top:3.6pt;height:46.75pt;width:72pt;z-index:251809792;mso-width-relative:page;mso-height-relative:page;" filled="f" stroked="f" coordsize="21600,21600" o:gfxdata="UEsDBAoAAAAAAIdO4kAAAAAAAAAAAAAAAAAEAAAAZHJzL1BLAwQUAAAACACHTuJA7io4r9YAAAAJ&#10;AQAADwAAAGRycy9kb3ducmV2LnhtbE2PzU7DMBCE70i8g7VI3Fo7EbQlxOkBxBVE+ZG4beNtEhGv&#10;o9htwtuzPcFtRzOa/abczr5XJxpjF9hCtjSgiOvgOm4svL89LTagYkJ22AcmCz8UYVtdXpRYuDDx&#10;K512qVFSwrFAC21KQ6F1rFvyGJdhIBbvEEaPSeTYaDfiJOW+17kxK+2xY/nQ4kAPLdXfu6O38PF8&#10;+Pq8MS/No78dpjAbzf5OW3t9lZl7UInm9BeGM76gQyVM+3BkF1VvYZFtZEuysM5Bnf18JXovhzFr&#10;0FWp/y+ofgFQSwMEFAAAAAgAh07iQFFk9R29AQAAbQMAAA4AAABkcnMvZTJvRG9jLnhtbK1TzY7T&#10;MBC+I/EOlu80adkCGzVdCVXLBQHSwgO4zrixFP/gcZv0BeANOHHhznP1OXbsZMv+XPbAxRnPz+f5&#10;vpmsrgbTsQME1M7WfD4rOQMrXaPtrubfvl6/escZRmEb0TkLNT8C8qv1yxer3lewcK3rGgiMQCxW&#10;va95G6OvigJlC0bgzHmwFFQuGBHpGnZFE0RP6KYrFmX5puhdaHxwEhDJuxmDfEIMzwF0SmkJGyf3&#10;BmwcUQN0IhIlbLVHvs7dKgUyflYKIbKu5sQ05pMeIXubzmK9EtUuCN9qObUgntPCI05GaEuPnqE2&#10;Igq2D/oJlNEyOHQqzqQzxUgkK0Is5uUjbW5a4SFzIanRn0XH/wcrPx2+BKYb2oTlkjMrDI389Ovn&#10;6fff058fLDlJot5jRZk3nnLj8N4NlH7nR3Im5oMKJn2JE6M4CXw8CwxDZJKcl/OLi5IikkLLy9dv&#10;Fxm9+FfsA8YP4AxLRs0DzS/LKg4fMVIjlHqXkt6y7lp3XZ5hZx84KHH0QF6CqTrxGPtNVhy2w0Ru&#10;65ojcetpEWqO3/ciAGd7H/SupTYy1yKV0BRyE9PGpDHfv5N9/y9Z3wJ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uKjiv1gAAAAkBAAAPAAAAAAAAAAEAIAAAACIAAABkcnMvZG93bnJldi54bWxQSwEC&#10;FAAUAAAACACHTuJAUWT1Hb0BAABtAwAADgAAAAAAAAABACAAAAAlAQAAZHJzL2Uyb0RvYy54bWxQ&#10;SwUGAAAAAAYABgBZAQAAVAUAAAAA&#10;">
                <v:fill on="f" focussize="0,0"/>
                <v:stroke on="f"/>
                <v:imagedata o:title=""/>
                <o:lock v:ext="edit" aspectratio="f"/>
                <v:textbox>
                  <w:txbxContent>
                    <w:p w14:paraId="64515E5F">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承包人误期的赔偿、责任承担</w:t>
                      </w:r>
                    </w:p>
                  </w:txbxContent>
                </v:textbox>
              </v:shape>
            </w:pict>
          </mc:Fallback>
        </mc:AlternateContent>
      </w:r>
      <w:r>
        <w:rPr>
          <w:rFonts w:hint="default" w:ascii="Times New Roman" w:hAnsi="Times New Roman" w:cs="Times New Roman"/>
          <w:color w:val="auto"/>
          <w:sz w:val="22"/>
          <w:szCs w:val="22"/>
          <w:highlight w:val="none"/>
        </w:rPr>
        <w:t>承包人未能按照合同进度计划完成工作，或因承包人的原因造成工期延误，发包人可按照本条规定的时限和第66.2款规定要求承包人支付该支付期的误期赔偿费。</w:t>
      </w:r>
    </w:p>
    <w:p w14:paraId="69A66B87">
      <w:pPr>
        <w:spacing w:line="420" w:lineRule="exact"/>
        <w:rPr>
          <w:rFonts w:hint="default" w:ascii="Times New Roman" w:hAnsi="Times New Roman" w:cs="Times New Roman"/>
          <w:b/>
          <w:bCs/>
          <w:color w:val="auto"/>
          <w:sz w:val="22"/>
          <w:szCs w:val="22"/>
          <w:highlight w:val="none"/>
          <w:u w:val="dotted"/>
        </w:rPr>
      </w:pPr>
      <w:r>
        <w:rPr>
          <w:rFonts w:hint="default" w:ascii="Times New Roman" w:hAnsi="Times New Roman" w:cs="Times New Roman"/>
          <w:b/>
          <w:bCs/>
          <w:color w:val="auto"/>
          <w:sz w:val="22"/>
          <w:szCs w:val="22"/>
          <w:highlight w:val="none"/>
        </w:rPr>
        <w:t xml:space="preserve">36.9  </w:t>
      </w:r>
      <w:r>
        <w:rPr>
          <w:rFonts w:hint="default" w:ascii="Times New Roman" w:hAnsi="Times New Roman" w:cs="Times New Roman"/>
          <w:b/>
          <w:bCs/>
          <w:color w:val="auto"/>
          <w:sz w:val="22"/>
          <w:szCs w:val="22"/>
          <w:highlight w:val="none"/>
          <w:u w:val="dotted"/>
        </w:rPr>
        <w:t xml:space="preserve">                                                                                </w:t>
      </w:r>
    </w:p>
    <w:p w14:paraId="610D1A37">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76032" behindDoc="0" locked="0" layoutInCell="1" allowOverlap="1">
                <wp:simplePos x="0" y="0"/>
                <wp:positionH relativeFrom="column">
                  <wp:posOffset>-64770</wp:posOffset>
                </wp:positionH>
                <wp:positionV relativeFrom="paragraph">
                  <wp:posOffset>65405</wp:posOffset>
                </wp:positionV>
                <wp:extent cx="923290" cy="454025"/>
                <wp:effectExtent l="0" t="0" r="0" b="0"/>
                <wp:wrapNone/>
                <wp:docPr id="407" name="文本框 407"/>
                <wp:cNvGraphicFramePr/>
                <a:graphic xmlns:a="http://schemas.openxmlformats.org/drawingml/2006/main">
                  <a:graphicData uri="http://schemas.microsoft.com/office/word/2010/wordprocessingShape">
                    <wps:wsp>
                      <wps:cNvSpPr txBox="1"/>
                      <wps:spPr>
                        <a:xfrm>
                          <a:off x="0" y="0"/>
                          <a:ext cx="923290" cy="454025"/>
                        </a:xfrm>
                        <a:prstGeom prst="rect">
                          <a:avLst/>
                        </a:prstGeom>
                        <a:noFill/>
                        <a:ln>
                          <a:noFill/>
                        </a:ln>
                        <a:effectLst/>
                      </wps:spPr>
                      <wps:txbx>
                        <w:txbxContent>
                          <w:p w14:paraId="6B2907C7">
                            <w:pPr>
                              <w:spacing w:line="240" w:lineRule="exact"/>
                              <w:rPr>
                                <w:rFonts w:ascii="楷体_GB2312" w:hAnsi="宋体" w:eastAsia="楷体_GB2312" w:cs="楷体_GB2312"/>
                                <w:b/>
                                <w:bCs/>
                                <w:sz w:val="18"/>
                                <w:szCs w:val="18"/>
                              </w:rPr>
                            </w:pPr>
                            <w:r>
                              <w:rPr>
                                <w:rFonts w:hint="eastAsia" w:ascii="楷体_GB2312" w:hAnsi="宋体" w:eastAsia="楷体_GB2312" w:cs="楷体_GB2312"/>
                                <w:b/>
                                <w:bCs/>
                                <w:sz w:val="18"/>
                                <w:szCs w:val="18"/>
                              </w:rPr>
                              <w:t>赶工措施费</w:t>
                            </w:r>
                            <w:r>
                              <w:rPr>
                                <w:rFonts w:ascii="楷体_GB2312" w:hAnsi="宋体" w:eastAsia="楷体_GB2312" w:cs="楷体_GB2312"/>
                                <w:b/>
                                <w:bCs/>
                                <w:sz w:val="18"/>
                                <w:szCs w:val="18"/>
                              </w:rPr>
                              <w:t xml:space="preserve">           </w:t>
                            </w:r>
                          </w:p>
                        </w:txbxContent>
                      </wps:txbx>
                      <wps:bodyPr wrap="square" upright="1"/>
                    </wps:wsp>
                  </a:graphicData>
                </a:graphic>
              </wp:anchor>
            </w:drawing>
          </mc:Choice>
          <mc:Fallback>
            <w:pict>
              <v:shape id="_x0000_s1026" o:spid="_x0000_s1026" o:spt="202" type="#_x0000_t202" style="position:absolute;left:0pt;margin-left:-5.1pt;margin-top:5.15pt;height:35.75pt;width:72.7pt;z-index:252076032;mso-width-relative:page;mso-height-relative:page;" filled="f" stroked="f" coordsize="21600,21600" o:gfxdata="UEsDBAoAAAAAAIdO4kAAAAAAAAAAAAAAAAAEAAAAZHJzL1BLAwQUAAAACACHTuJABrYro9UAAAAJ&#10;AQAADwAAAGRycy9kb3ducmV2LnhtbE2PTU/DMAyG70j8h8hI3LakG0OlNN0BxBXE+JC4eY3XVjRO&#10;1WRr+fd4Jzja76PXj8vt7Ht1ojF2gS1kSwOKuA6u48bC+9vTIgcVE7LDPjBZ+KEI2+ryosTChYlf&#10;6bRLjZISjgVaaFMaCq1j3ZLHuAwDsWSHMHpMMo6NdiNOUu57vTLmVnvsWC60ONBDS/X37ugtfDwf&#10;vj5vzEvz6DfDFGaj2d9pa6+vMnMPKtGc/mA464s6VOK0D0d2UfUWFplZCSqBWYM6A+uNLPYW8iwH&#10;XZX6/wfVL1BLAwQUAAAACACHTuJA4Ytg9r0BAABtAwAADgAAAGRycy9lMm9Eb2MueG1srVPNjtMw&#10;EL4j8Q6W79TZ0AU2aroSqpYLAqSFB3CdSWMp/sHjNukLwBtw4sKd5+pz7NjJlmW57IGLM56fz/N9&#10;M1ldj6ZnBwiona35xaLgDKxyjba7mn/5fPPiDWcYpW1k7yzU/AjIr9fPn60GX0HpOtc3EBiBWKwG&#10;X/MuRl8JgaoDI3HhPFgKti4YGekadqIJciB004uyKF6JwYXGB6cAkbybKchnxPAUQNe2WsHGqb0B&#10;GyfUAL2MRAk77ZGvc7dtCyp+bFuEyPqaE9OYT3qE7G06xXolq12QvtNqbkE+pYVHnIzUlh49Q21k&#10;lGwf9D9QRqvg0LVxoZwRE5GsCLG4KB5pc9tJD5kLSY3+LDr+P1j14fApMN3UfFm85sxKQyM//fh+&#10;+vn79OsbS06SaPBYUeatp9w4vnUjLc69H8mZmI9tMOlLnBjFSeDjWWAYI1PkvCpfllcUURRaXi6L&#10;8jKhiD/FPmB8B86wZNQ80PyyrPLwHuOUep+S3rLuRvd9nmFv/3IQ5uSBvARzdeIx9ZusOG7HmdzW&#10;NUfiNtAi1By/7mUAzvY+6F1HbWSuIpXQFHK/88akMT+8k/3wL1nf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Aa2K6PVAAAACQEAAA8AAAAAAAAAAQAgAAAAIgAAAGRycy9kb3ducmV2LnhtbFBLAQIU&#10;ABQAAAAIAIdO4kDhi2D2vQEAAG0DAAAOAAAAAAAAAAEAIAAAACQBAABkcnMvZTJvRG9jLnhtbFBL&#10;BQYAAAAABgAGAFkBAABTBQAAAAA=&#10;">
                <v:fill on="f" focussize="0,0"/>
                <v:stroke on="f"/>
                <v:imagedata o:title=""/>
                <o:lock v:ext="edit" aspectratio="f"/>
                <v:textbox>
                  <w:txbxContent>
                    <w:p w14:paraId="6B2907C7">
                      <w:pPr>
                        <w:spacing w:line="240" w:lineRule="exact"/>
                        <w:rPr>
                          <w:rFonts w:ascii="楷体_GB2312" w:hAnsi="宋体" w:eastAsia="楷体_GB2312" w:cs="楷体_GB2312"/>
                          <w:b/>
                          <w:bCs/>
                          <w:sz w:val="18"/>
                          <w:szCs w:val="18"/>
                        </w:rPr>
                      </w:pPr>
                      <w:r>
                        <w:rPr>
                          <w:rFonts w:hint="eastAsia" w:ascii="楷体_GB2312" w:hAnsi="宋体" w:eastAsia="楷体_GB2312" w:cs="楷体_GB2312"/>
                          <w:b/>
                          <w:bCs/>
                          <w:sz w:val="18"/>
                          <w:szCs w:val="18"/>
                        </w:rPr>
                        <w:t>赶工措施费</w:t>
                      </w:r>
                      <w:r>
                        <w:rPr>
                          <w:rFonts w:ascii="楷体_GB2312" w:hAnsi="宋体" w:eastAsia="楷体_GB2312" w:cs="楷体_GB2312"/>
                          <w:b/>
                          <w:bCs/>
                          <w:sz w:val="18"/>
                          <w:szCs w:val="18"/>
                        </w:rPr>
                        <w:t xml:space="preserve">           </w:t>
                      </w:r>
                    </w:p>
                  </w:txbxContent>
                </v:textbox>
              </v:shape>
            </w:pict>
          </mc:Fallback>
        </mc:AlternateContent>
      </w:r>
      <w:r>
        <w:rPr>
          <w:rFonts w:hint="default" w:ascii="Times New Roman" w:hAnsi="Times New Roman" w:cs="Times New Roman"/>
          <w:color w:val="auto"/>
          <w:sz w:val="22"/>
          <w:szCs w:val="22"/>
          <w:highlight w:val="none"/>
        </w:rPr>
        <w:t>发包人要求的合同工程工期小于定额工期时，按合同工程基准日期实施的赶工措施费规定执行：广东省建设工程计价依据的赶工措施费、广州市住房和城乡建设局或广州市造价管理部门发布的赶工措施费。同时在专用条款中约定具体计算方法。</w:t>
      </w:r>
    </w:p>
    <w:p w14:paraId="3F104417">
      <w:pPr>
        <w:pStyle w:val="15"/>
        <w:tabs>
          <w:tab w:val="left" w:pos="540"/>
        </w:tabs>
        <w:adjustRightInd w:val="0"/>
        <w:snapToGrid w:val="0"/>
        <w:spacing w:before="240" w:beforeLines="100" w:line="420" w:lineRule="exact"/>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3F5A487D">
      <w:pPr>
        <w:pStyle w:val="15"/>
        <w:tabs>
          <w:tab w:val="left" w:pos="540"/>
        </w:tabs>
        <w:adjustRightInd w:val="0"/>
        <w:snapToGrid w:val="0"/>
        <w:spacing w:before="240" w:beforeLines="100" w:line="420" w:lineRule="exact"/>
        <w:outlineLvl w:val="2"/>
        <w:rPr>
          <w:rFonts w:hint="default" w:ascii="Times New Roman" w:hAnsi="Times New Roman" w:cs="Times New Roman"/>
          <w:b/>
          <w:bCs/>
          <w:color w:val="auto"/>
          <w:sz w:val="22"/>
          <w:szCs w:val="22"/>
          <w:highlight w:val="none"/>
        </w:rPr>
      </w:pPr>
      <w:bookmarkStart w:id="168" w:name="_Toc23324"/>
      <w:bookmarkStart w:id="169" w:name="_Toc469384019"/>
      <w:r>
        <w:rPr>
          <w:rFonts w:hint="default" w:ascii="Times New Roman" w:hAnsi="Times New Roman" w:cs="Times New Roman"/>
          <w:b/>
          <w:bCs/>
          <w:color w:val="auto"/>
          <w:sz w:val="22"/>
          <w:szCs w:val="22"/>
          <w:highlight w:val="none"/>
        </w:rPr>
        <w:t>37  加快进度</w:t>
      </w:r>
      <w:bookmarkEnd w:id="168"/>
      <w:bookmarkEnd w:id="169"/>
    </w:p>
    <w:p w14:paraId="6D7AED35">
      <w:pPr>
        <w:pStyle w:val="15"/>
        <w:tabs>
          <w:tab w:val="left" w:pos="1320"/>
        </w:tabs>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10816" behindDoc="0" locked="0" layoutInCell="1" allowOverlap="1">
                <wp:simplePos x="0" y="0"/>
                <wp:positionH relativeFrom="column">
                  <wp:posOffset>-114300</wp:posOffset>
                </wp:positionH>
                <wp:positionV relativeFrom="paragraph">
                  <wp:posOffset>160655</wp:posOffset>
                </wp:positionV>
                <wp:extent cx="914400" cy="540385"/>
                <wp:effectExtent l="0" t="0" r="0" b="0"/>
                <wp:wrapNone/>
                <wp:docPr id="164" name="文本框 164"/>
                <wp:cNvGraphicFramePr/>
                <a:graphic xmlns:a="http://schemas.openxmlformats.org/drawingml/2006/main">
                  <a:graphicData uri="http://schemas.microsoft.com/office/word/2010/wordprocessingShape">
                    <wps:wsp>
                      <wps:cNvSpPr txBox="1"/>
                      <wps:spPr>
                        <a:xfrm>
                          <a:off x="0" y="0"/>
                          <a:ext cx="914400" cy="540385"/>
                        </a:xfrm>
                        <a:prstGeom prst="rect">
                          <a:avLst/>
                        </a:prstGeom>
                        <a:noFill/>
                        <a:ln>
                          <a:noFill/>
                        </a:ln>
                        <a:effectLst/>
                      </wps:spPr>
                      <wps:txbx>
                        <w:txbxContent>
                          <w:p w14:paraId="7E5AEA12">
                            <w:pPr>
                              <w:rPr>
                                <w:rFonts w:ascii="宋体" w:cs="Times New Roman"/>
                                <w:sz w:val="18"/>
                                <w:szCs w:val="18"/>
                              </w:rPr>
                            </w:pPr>
                            <w:r>
                              <w:rPr>
                                <w:rFonts w:hint="eastAsia" w:ascii="楷体_GB2312" w:hAnsi="宋体" w:eastAsia="楷体_GB2312" w:cs="楷体_GB2312"/>
                                <w:b/>
                                <w:bCs/>
                                <w:color w:val="000000"/>
                                <w:sz w:val="18"/>
                                <w:szCs w:val="18"/>
                              </w:rPr>
                              <w:t>承包人原因加快进度的要求</w:t>
                            </w:r>
                          </w:p>
                        </w:txbxContent>
                      </wps:txbx>
                      <wps:bodyPr wrap="square" upright="1"/>
                    </wps:wsp>
                  </a:graphicData>
                </a:graphic>
              </wp:anchor>
            </w:drawing>
          </mc:Choice>
          <mc:Fallback>
            <w:pict>
              <v:shape id="_x0000_s1026" o:spid="_x0000_s1026" o:spt="202" type="#_x0000_t202" style="position:absolute;left:0pt;margin-left:-9pt;margin-top:12.65pt;height:42.55pt;width:72pt;z-index:251810816;mso-width-relative:page;mso-height-relative:page;" filled="f" stroked="f" coordsize="21600,21600" o:gfxdata="UEsDBAoAAAAAAIdO4kAAAAAAAAAAAAAAAAAEAAAAZHJzL1BLAwQUAAAACACHTuJAXg0UYNcAAAAK&#10;AQAADwAAAGRycy9kb3ducmV2LnhtbE2PQW/CMAyF75P4D5GRdoOkHSAoTTkw7bppsE3aLTSmrWic&#10;qgm0+/czp+1m+z09fy/fja4VN+xD40lDMlcgkEpvG6o0fBxfZmsQIRqypvWEGn4wwK6YPOQms36g&#10;d7wdYiU4hEJmNNQxdpmUoazRmTD3HRJrZ987E3ntK2l7M3C4a2Wq1Eo60xB/qE2H+xrLy+HqNHy+&#10;nr+/FuqtenbLbvCjkuQ2UuvHaaK2ICKO8c8Md3xGh4KZTv5KNohWwyxZc5eoIV0+gbgb0hUfTjwk&#10;agGyyOX/CsUvUEsDBBQAAAAIAIdO4kBcjWv5vAEAAG0DAAAOAAAAZHJzL2Uyb0RvYy54bWytU0tu&#10;2zAQ3RfIHQjuY8qpE6SC5QCFkWyCtkCaA9DUyCLAXzm0JV+gvUFX3XTfc/kcHUqKm6abLLqhhvN5&#10;nPdmtLzprWF7iKi9q/h8VnAGTvlau23FHz/fnl9zhkm6WhrvoOIHQH6zOnuz7EIJF771pobICMRh&#10;2YWKtymFUghULViJMx/AUbDx0cpE17gVdZQdoVsjLoriSnQ+1iF6BYjkXY9BPiHG1wD6ptEK1l7t&#10;LLg0okYwMhElbHVAvhq6bRpQ6WPTICRmKk5M03DSI2Rv8ilWS1luowytVlML8jUtvOBkpXb06Alq&#10;LZNku6j/gbJaRY++STPlrRiJDIoQi3nxQpuHVgYYuJDUGE6i4/+DVR/2nyLTNW3C1YIzJy2N/Pj9&#10;2/HHr+PPryw7SaIuYEmZD4FyU//e95T+5EdyZuZ9E23+EidGcRL4cBIY+sQUOd/NF4uCIopCl4vi&#10;7fVlRhF/ikPEdAfesmxUPNL8Blnl/h7TmPqUkt9y/lYbM8zQuL8chDl6YFiCqTrzGPvNVuo3/URu&#10;4+sDcetoESqOX3YyAme7EPW2pTYGriKX0BSGfqeNyWN+fif7+V+y+g1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eDRRg1wAAAAoBAAAPAAAAAAAAAAEAIAAAACIAAABkcnMvZG93bnJldi54bWxQSwEC&#10;FAAUAAAACACHTuJAXI1r+bwBAABtAwAADgAAAAAAAAABACAAAAAmAQAAZHJzL2Uyb0RvYy54bWxQ&#10;SwUGAAAAAAYABgBZAQAAVAUAAAAA&#10;">
                <v:fill on="f" focussize="0,0"/>
                <v:stroke on="f"/>
                <v:imagedata o:title=""/>
                <o:lock v:ext="edit" aspectratio="f"/>
                <v:textbox>
                  <w:txbxContent>
                    <w:p w14:paraId="7E5AEA12">
                      <w:pPr>
                        <w:rPr>
                          <w:rFonts w:ascii="宋体" w:cs="Times New Roman"/>
                          <w:sz w:val="18"/>
                          <w:szCs w:val="18"/>
                        </w:rPr>
                      </w:pPr>
                      <w:r>
                        <w:rPr>
                          <w:rFonts w:hint="eastAsia" w:ascii="楷体_GB2312" w:hAnsi="宋体" w:eastAsia="楷体_GB2312" w:cs="楷体_GB2312"/>
                          <w:b/>
                          <w:bCs/>
                          <w:color w:val="000000"/>
                          <w:sz w:val="18"/>
                          <w:szCs w:val="18"/>
                        </w:rPr>
                        <w:t>承包人原因加快进度的要求</w:t>
                      </w:r>
                    </w:p>
                  </w:txbxContent>
                </v:textbox>
              </v:shape>
            </w:pict>
          </mc:Fallback>
        </mc:AlternateContent>
      </w:r>
      <w:r>
        <w:rPr>
          <w:rFonts w:hint="default" w:ascii="Times New Roman" w:hAnsi="Times New Roman" w:cs="Times New Roman"/>
          <w:b/>
          <w:bCs/>
          <w:color w:val="auto"/>
          <w:sz w:val="22"/>
          <w:szCs w:val="22"/>
          <w:highlight w:val="none"/>
        </w:rPr>
        <w:t xml:space="preserve">37.1     </w:t>
      </w:r>
    </w:p>
    <w:p w14:paraId="6EF6EE88">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在非发包人延误工期的情况下，如果监理工程师书面指出承包人实施合同工程或其任何部分的进度过慢，迟于进度计划或不能按期竣工，则承包人应按照第33.4款规定采取改进措施，加快工程进度。</w:t>
      </w:r>
    </w:p>
    <w:p w14:paraId="0637C528">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 xml:space="preserve">如果承包人在接到监理工程师通知后的14天内，未能采取加快工程进度的措施，致使实际进度进一步延迟；或承包人虽然采取了改进措施，仍无法按期竣工，监理工程师应立即报告发包人，并抄送承包人。发包人可按照第87.3款规定解除合同，也可将合同工程中的一部分工作交由第三方完成，由此增加的一切费用由承包人承担。即使承包人承担增加的费用，也不能免除其按照合同约定应承担的任何责任和应履行的任何义务。 </w:t>
      </w:r>
    </w:p>
    <w:p w14:paraId="2D753970">
      <w:pPr>
        <w:pStyle w:val="15"/>
        <w:tabs>
          <w:tab w:val="left" w:pos="1320"/>
        </w:tabs>
        <w:adjustRightInd w:val="0"/>
        <w:snapToGrid w:val="0"/>
        <w:spacing w:line="420" w:lineRule="exact"/>
        <w:rPr>
          <w:rFonts w:hint="default" w:ascii="Times New Roman" w:hAnsi="Times New Roman" w:cs="Times New Roman"/>
          <w:b/>
          <w:bCs/>
          <w:color w:val="auto"/>
          <w:sz w:val="22"/>
          <w:szCs w:val="22"/>
          <w:highlight w:val="none"/>
          <w:u w:val="dotted"/>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11840" behindDoc="0" locked="0" layoutInCell="1" allowOverlap="1">
                <wp:simplePos x="0" y="0"/>
                <wp:positionH relativeFrom="column">
                  <wp:posOffset>-114300</wp:posOffset>
                </wp:positionH>
                <wp:positionV relativeFrom="paragraph">
                  <wp:posOffset>278130</wp:posOffset>
                </wp:positionV>
                <wp:extent cx="914400" cy="494665"/>
                <wp:effectExtent l="0" t="0" r="0" b="0"/>
                <wp:wrapNone/>
                <wp:docPr id="156" name="文本框 156"/>
                <wp:cNvGraphicFramePr/>
                <a:graphic xmlns:a="http://schemas.openxmlformats.org/drawingml/2006/main">
                  <a:graphicData uri="http://schemas.microsoft.com/office/word/2010/wordprocessingShape">
                    <wps:wsp>
                      <wps:cNvSpPr txBox="1"/>
                      <wps:spPr>
                        <a:xfrm>
                          <a:off x="0" y="0"/>
                          <a:ext cx="914400" cy="494665"/>
                        </a:xfrm>
                        <a:prstGeom prst="rect">
                          <a:avLst/>
                        </a:prstGeom>
                        <a:noFill/>
                        <a:ln>
                          <a:noFill/>
                        </a:ln>
                        <a:effectLst/>
                      </wps:spPr>
                      <wps:txbx>
                        <w:txbxContent>
                          <w:p w14:paraId="3C414C9D">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发包人原因加快进度的要求</w:t>
                            </w:r>
                          </w:p>
                        </w:txbxContent>
                      </wps:txbx>
                      <wps:bodyPr wrap="square" upright="1"/>
                    </wps:wsp>
                  </a:graphicData>
                </a:graphic>
              </wp:anchor>
            </w:drawing>
          </mc:Choice>
          <mc:Fallback>
            <w:pict>
              <v:shape id="_x0000_s1026" o:spid="_x0000_s1026" o:spt="202" type="#_x0000_t202" style="position:absolute;left:0pt;margin-left:-9pt;margin-top:21.9pt;height:38.95pt;width:72pt;z-index:251811840;mso-width-relative:page;mso-height-relative:page;" filled="f" stroked="f" coordsize="21600,21600" o:gfxdata="UEsDBAoAAAAAAIdO4kAAAAAAAAAAAAAAAAAEAAAAZHJzL1BLAwQUAAAACACHTuJANZ9rvNcAAAAK&#10;AQAADwAAAGRycy9kb3ducmV2LnhtbE2PzU7DMBCE70i8g7VI3Fo7pfQnjdMDiCuIQiv15sbbJCJe&#10;R7HbhLdnc6K33Z3R7DfZdnCNuGIXak8akqkCgVR4W1Op4fvrbbICEaIhaxpPqOEXA2zz+7vMpNb3&#10;9InXXSwFh1BIjYYqxjaVMhQVOhOmvkVi7ew7ZyKvXSltZ3oOd42cKbWQztTEHyrT4kuFxc/u4jTs&#10;38/Hw1x9lK/uue39oCS5tdT68SFRGxARh/hvhhGf0SFnppO/kA2i0TBJVtwlapg/cYXRMFvw4TQO&#10;yRJknsnbCvkfUEsDBBQAAAAIAIdO4kA0/hKCvAEAAG0DAAAOAAAAZHJzL2Uyb0RvYy54bWytU0tu&#10;2zAQ3RfoHQjua8qBYySC5QCFkW6KNkDaA9DUyCLAXzm0JV+gvUFW3XSfc/kcHUqKm6abLLqhhvN5&#10;nPdmtLrprWEHiKi9q/h8VnAGTvlau13Fv365fXfFGSbpamm8g4ofAfnN+u2bVRdKuPCtNzVERiAO&#10;yy5UvE0plEKgasFKnPkAjoKNj1YmusadqKPsCN0acVEUS9H5WIfoFSCSdzMG+YQYXwPom0Yr2Hi1&#10;t+DSiBrByESUsNUB+XrotmlApc9Ng5CYqTgxTcNJj5C9zadYr2S5izK0Wk0tyNe08IKTldrRo2eo&#10;jUyS7aP+B8pqFT36Js2Ut2IkMihCLObFC23uWxlg4EJSYziLjv8PVn063EWma9qEyyVnTloa+enh&#10;x+nn4+nXd5adJFEXsKTM+0C5qX/ve0p/8iM5M/O+iTZ/iROjOAl8PAsMfWKKnNfzxaKgiKLQ4nqx&#10;XF5mFPGnOERMH8Bblo2KR5rfIKs8fMQ0pj6l5Lecv9XGDDM07i8HYY4eGJZgqs48xn6zlfptP5Hb&#10;+vpI3DpahIrjt72MwNk+RL1rqY2Bq8glNIWh32lj8pif38l+/pesfw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1n2u81wAAAAoBAAAPAAAAAAAAAAEAIAAAACIAAABkcnMvZG93bnJldi54bWxQSwEC&#10;FAAUAAAACACHTuJANP4SgrwBAABtAwAADgAAAAAAAAABACAAAAAmAQAAZHJzL2Uyb0RvYy54bWxQ&#10;SwUGAAAAAAYABgBZAQAAVAUAAAAA&#10;">
                <v:fill on="f" focussize="0,0"/>
                <v:stroke on="f"/>
                <v:imagedata o:title=""/>
                <o:lock v:ext="edit" aspectratio="f"/>
                <v:textbox>
                  <w:txbxContent>
                    <w:p w14:paraId="3C414C9D">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发包人原因加快进度的要求</w:t>
                      </w:r>
                    </w:p>
                  </w:txbxContent>
                </v:textbox>
              </v:shape>
            </w:pict>
          </mc:Fallback>
        </mc:AlternateContent>
      </w:r>
      <w:r>
        <w:rPr>
          <w:rFonts w:hint="default" w:ascii="Times New Roman" w:hAnsi="Times New Roman" w:cs="Times New Roman"/>
          <w:b/>
          <w:bCs/>
          <w:color w:val="auto"/>
          <w:sz w:val="22"/>
          <w:szCs w:val="22"/>
          <w:highlight w:val="none"/>
        </w:rPr>
        <w:t xml:space="preserve">37.2  </w:t>
      </w:r>
      <w:r>
        <w:rPr>
          <w:rFonts w:hint="default" w:ascii="Times New Roman" w:hAnsi="Times New Roman" w:cs="Times New Roman"/>
          <w:b/>
          <w:bCs/>
          <w:color w:val="auto"/>
          <w:sz w:val="22"/>
          <w:szCs w:val="22"/>
          <w:highlight w:val="none"/>
          <w:u w:val="dotted"/>
        </w:rPr>
        <w:t xml:space="preserve">                                                                                                        </w:t>
      </w:r>
    </w:p>
    <w:p w14:paraId="3C49EAD1">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如果发包人希望承包人提前竣工，那么发包人可要求承包人提交为加快进度而编制的提前竣工建议书。承包人应在接到发包人要求后的7天内完成编制并向发包人提交提前竣工建议书，该建议书的内容至少应包括：</w:t>
      </w:r>
    </w:p>
    <w:p w14:paraId="5B153E42">
      <w:pPr>
        <w:pStyle w:val="15"/>
        <w:numPr>
          <w:ilvl w:val="0"/>
          <w:numId w:val="18"/>
        </w:numPr>
        <w:tabs>
          <w:tab w:val="left" w:pos="1980"/>
        </w:tabs>
        <w:adjustRightInd w:val="0"/>
        <w:snapToGrid w:val="0"/>
        <w:spacing w:line="420" w:lineRule="exact"/>
        <w:ind w:left="1620"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加快进度拟采取的措施；</w:t>
      </w:r>
    </w:p>
    <w:p w14:paraId="76780A3B">
      <w:pPr>
        <w:pStyle w:val="15"/>
        <w:numPr>
          <w:ilvl w:val="0"/>
          <w:numId w:val="18"/>
        </w:numPr>
        <w:tabs>
          <w:tab w:val="left" w:pos="1980"/>
        </w:tabs>
        <w:adjustRightInd w:val="0"/>
        <w:snapToGrid w:val="0"/>
        <w:spacing w:line="420" w:lineRule="exact"/>
        <w:ind w:left="1620"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加快进度后的进度计划</w:t>
      </w:r>
      <w:r>
        <w:rPr>
          <w:rFonts w:hint="default" w:ascii="Times New Roman" w:hAnsi="Times New Roman" w:cs="Times New Roman"/>
          <w:color w:val="auto"/>
          <w:sz w:val="22"/>
          <w:szCs w:val="22"/>
          <w:highlight w:val="none"/>
          <w:lang w:eastAsia="zh-CN"/>
        </w:rPr>
        <w:t>，</w:t>
      </w:r>
      <w:r>
        <w:rPr>
          <w:rFonts w:hint="default" w:ascii="Times New Roman" w:hAnsi="Times New Roman" w:cs="Times New Roman"/>
          <w:color w:val="auto"/>
          <w:sz w:val="22"/>
          <w:szCs w:val="22"/>
          <w:highlight w:val="none"/>
        </w:rPr>
        <w:t>以及与原计划的对比；</w:t>
      </w:r>
    </w:p>
    <w:p w14:paraId="227A3847">
      <w:pPr>
        <w:pStyle w:val="15"/>
        <w:numPr>
          <w:ilvl w:val="0"/>
          <w:numId w:val="18"/>
        </w:numPr>
        <w:tabs>
          <w:tab w:val="left" w:pos="1980"/>
        </w:tabs>
        <w:adjustRightInd w:val="0"/>
        <w:snapToGrid w:val="0"/>
        <w:spacing w:line="420" w:lineRule="exact"/>
        <w:ind w:left="1620"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加快进度所需的合同价款增加额（含第66.1款规定的提前竣工奖）。该增加额按照第72.2款、第72.3款和第72.5款规定计算。</w:t>
      </w:r>
    </w:p>
    <w:p w14:paraId="3F36AEAA">
      <w:pPr>
        <w:pStyle w:val="15"/>
        <w:adjustRightInd w:val="0"/>
        <w:snapToGrid w:val="0"/>
        <w:spacing w:line="420" w:lineRule="exact"/>
        <w:ind w:left="1617" w:leftChars="770" w:firstLine="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发包人应在接到建议书后的7天内予以答复。如果发包人接受了该建议书，则监理工程师应以书面形式发出变更指令，相应调整工期；造价工程师应核实并相应调整合同价款。</w:t>
      </w:r>
    </w:p>
    <w:p w14:paraId="3303FA91">
      <w:pPr>
        <w:pStyle w:val="15"/>
        <w:adjustRightInd w:val="0"/>
        <w:snapToGrid w:val="0"/>
        <w:spacing w:line="420" w:lineRule="exact"/>
        <w:ind w:right="-240"/>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400299AF">
      <w:pPr>
        <w:pStyle w:val="15"/>
        <w:tabs>
          <w:tab w:val="left" w:pos="540"/>
        </w:tabs>
        <w:adjustRightInd w:val="0"/>
        <w:snapToGrid w:val="0"/>
        <w:spacing w:before="240" w:beforeLines="100" w:line="420" w:lineRule="exact"/>
        <w:outlineLvl w:val="2"/>
        <w:rPr>
          <w:rFonts w:hint="default" w:ascii="Times New Roman" w:hAnsi="Times New Roman" w:cs="Times New Roman"/>
          <w:b/>
          <w:bCs/>
          <w:color w:val="auto"/>
          <w:sz w:val="22"/>
          <w:szCs w:val="22"/>
          <w:highlight w:val="none"/>
        </w:rPr>
      </w:pPr>
      <w:bookmarkStart w:id="170" w:name="_Toc469384020"/>
      <w:bookmarkStart w:id="171" w:name="_Toc31467"/>
      <w:r>
        <w:rPr>
          <w:rFonts w:hint="default" w:ascii="Times New Roman" w:hAnsi="Times New Roman" w:cs="Times New Roman"/>
          <w:b/>
          <w:bCs/>
          <w:color w:val="auto"/>
          <w:sz w:val="22"/>
          <w:szCs w:val="22"/>
          <w:highlight w:val="none"/>
        </w:rPr>
        <w:t>38  竣工日期</w:t>
      </w:r>
      <w:bookmarkEnd w:id="170"/>
      <w:bookmarkEnd w:id="171"/>
    </w:p>
    <w:p w14:paraId="49A76CF6">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12864" behindDoc="0" locked="0" layoutInCell="1" allowOverlap="1">
                <wp:simplePos x="0" y="0"/>
                <wp:positionH relativeFrom="column">
                  <wp:posOffset>-114300</wp:posOffset>
                </wp:positionH>
                <wp:positionV relativeFrom="paragraph">
                  <wp:posOffset>249555</wp:posOffset>
                </wp:positionV>
                <wp:extent cx="977900" cy="396240"/>
                <wp:effectExtent l="0" t="0" r="0" b="0"/>
                <wp:wrapNone/>
                <wp:docPr id="157" name="文本框 157"/>
                <wp:cNvGraphicFramePr/>
                <a:graphic xmlns:a="http://schemas.openxmlformats.org/drawingml/2006/main">
                  <a:graphicData uri="http://schemas.microsoft.com/office/word/2010/wordprocessingShape">
                    <wps:wsp>
                      <wps:cNvSpPr txBox="1"/>
                      <wps:spPr>
                        <a:xfrm>
                          <a:off x="0" y="0"/>
                          <a:ext cx="977900" cy="396240"/>
                        </a:xfrm>
                        <a:prstGeom prst="rect">
                          <a:avLst/>
                        </a:prstGeom>
                        <a:noFill/>
                        <a:ln>
                          <a:noFill/>
                        </a:ln>
                        <a:effectLst/>
                      </wps:spPr>
                      <wps:txbx>
                        <w:txbxContent>
                          <w:p w14:paraId="268E238D">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约定计划竣工日期</w:t>
                            </w:r>
                          </w:p>
                        </w:txbxContent>
                      </wps:txbx>
                      <wps:bodyPr wrap="square" upright="1"/>
                    </wps:wsp>
                  </a:graphicData>
                </a:graphic>
              </wp:anchor>
            </w:drawing>
          </mc:Choice>
          <mc:Fallback>
            <w:pict>
              <v:shape id="_x0000_s1026" o:spid="_x0000_s1026" o:spt="202" type="#_x0000_t202" style="position:absolute;left:0pt;margin-left:-9pt;margin-top:19.65pt;height:31.2pt;width:77pt;z-index:251812864;mso-width-relative:page;mso-height-relative:page;" filled="f" stroked="f" coordsize="21600,21600" o:gfxdata="UEsDBAoAAAAAAIdO4kAAAAAAAAAAAAAAAAAEAAAAZHJzL1BLAwQUAAAACACHTuJAU9zHp9gAAAAK&#10;AQAADwAAAGRycy9kb3ducmV2LnhtbE2PQW/CMAyF75P4D5GRdoOk68aga8ph065DYxsSt9CYtlrj&#10;VE2g3b/HnMbN9nt6/l6+Hl0rztiHxpOGZK5AIJXeNlRp+P56ny1BhGjImtYTavjDAOticpebzPqB&#10;PvG8jZXgEAqZ0VDH2GVShrJGZ8Lcd0isHX3vTOS1r6TtzcDhrpUPSi2kMw3xh9p0+Fpj+bs9OQ0/&#10;H8f97lFtqjf31A1+VJLcSmp9P03UC4iIY/w3wxWf0aFgpoM/kQ2i1TBLltwlakhXKYirIV3w4cCD&#10;Sp5BFrm8rVBcAFBLAwQUAAAACACHTuJAPSh++b0BAABtAwAADgAAAGRycy9lMm9Eb2MueG1srVPN&#10;jtMwEL4j8Q6W7zTZAlsaNV0JVcsFAdLCA7jOpLHkPzxuk74AvAEnLtx5rj7Hjp1s2Z/LHrg44/n5&#10;PN83k9XVYDQ7QEDlbM0vZiVnYKVrlN3V/NvX61fvOMMobCO0s1DzIyC/Wr98sep9BXPXOd1AYARi&#10;sep9zbsYfVUUKDswAmfOg6Vg64IRka5hVzRB9IRudDEvy8uid6HxwUlAJO9mDPIJMTwH0LWtkrBx&#10;cm/AxhE1gBaRKGGnPPJ17rZtQcbPbYsQma45MY35pEfI3qazWK9EtQvCd0pOLYjntPCIkxHK0qNn&#10;qI2Igu2DegJllAwOXRtn0pliJJIVIRYX5SNtbjrhIXMhqdGfRcf/Bys/Hb4EphrahLcLzqwwNPLT&#10;r5+n339Pf36w5CSJeo8VZd54yo3DezdQ+p0fyZmYD20w6UucGMVJ4ONZYBgik+RcLhbLkiKSQq+X&#10;l/M3eQDFv2IfMH4AZ1gyah5ofllWcfiIkRqh1LuU9JZ110rrPENtHzgocfRAXoKpOvEY+01WHLbD&#10;RG7rmiNx62kRao7f9yIAZ3sf1K6jNjLXIpXQFHIT08akMd+/k33/L1nf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FPcx6fYAAAACgEAAA8AAAAAAAAAAQAgAAAAIgAAAGRycy9kb3ducmV2LnhtbFBL&#10;AQIUABQAAAAIAIdO4kA9KH75vQEAAG0DAAAOAAAAAAAAAAEAIAAAACcBAABkcnMvZTJvRG9jLnht&#10;bFBLBQYAAAAABgAGAFkBAABWBQAAAAA=&#10;">
                <v:fill on="f" focussize="0,0"/>
                <v:stroke on="f"/>
                <v:imagedata o:title=""/>
                <o:lock v:ext="edit" aspectratio="f"/>
                <v:textbox>
                  <w:txbxContent>
                    <w:p w14:paraId="268E238D">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约定计划竣工日期</w:t>
                      </w:r>
                    </w:p>
                  </w:txbxContent>
                </v:textbox>
              </v:shape>
            </w:pict>
          </mc:Fallback>
        </mc:AlternateContent>
      </w:r>
      <w:r>
        <w:rPr>
          <w:rFonts w:hint="default" w:ascii="Times New Roman" w:hAnsi="Times New Roman" w:cs="Times New Roman"/>
          <w:b/>
          <w:bCs/>
          <w:color w:val="auto"/>
          <w:sz w:val="22"/>
          <w:szCs w:val="22"/>
          <w:highlight w:val="none"/>
        </w:rPr>
        <w:t xml:space="preserve">38.1   </w:t>
      </w:r>
    </w:p>
    <w:p w14:paraId="14BBE484">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合同双方当事人应在协议书和专用条款中约定合同工程的计划竣工日期。</w:t>
      </w:r>
    </w:p>
    <w:p w14:paraId="0BE89AA9">
      <w:pPr>
        <w:pStyle w:val="15"/>
        <w:adjustRightInd w:val="0"/>
        <w:snapToGrid w:val="0"/>
        <w:spacing w:line="420" w:lineRule="exact"/>
        <w:rPr>
          <w:rFonts w:hint="default" w:ascii="Times New Roman" w:hAnsi="Times New Roman" w:cs="Times New Roman"/>
          <w:b/>
          <w:bCs/>
          <w:color w:val="auto"/>
          <w:sz w:val="22"/>
          <w:szCs w:val="22"/>
          <w:highlight w:val="none"/>
          <w:u w:val="dotted"/>
        </w:rPr>
      </w:pPr>
      <w:r>
        <w:rPr>
          <w:rFonts w:hint="default" w:ascii="Times New Roman" w:hAnsi="Times New Roman" w:cs="Times New Roman"/>
          <w:b/>
          <w:bCs/>
          <w:color w:val="auto"/>
          <w:sz w:val="22"/>
          <w:szCs w:val="22"/>
          <w:highlight w:val="none"/>
        </w:rPr>
        <w:t xml:space="preserve">38.2  </w:t>
      </w:r>
      <w:r>
        <w:rPr>
          <w:rFonts w:hint="default" w:ascii="Times New Roman" w:hAnsi="Times New Roman" w:cs="Times New Roman"/>
          <w:b/>
          <w:bCs/>
          <w:color w:val="auto"/>
          <w:sz w:val="22"/>
          <w:szCs w:val="22"/>
          <w:highlight w:val="none"/>
          <w:u w:val="dotted"/>
        </w:rPr>
        <w:t xml:space="preserve">                                                                                                        </w:t>
      </w:r>
    </w:p>
    <w:p w14:paraId="62E52F0C">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13888" behindDoc="0" locked="0" layoutInCell="1" allowOverlap="1">
                <wp:simplePos x="0" y="0"/>
                <wp:positionH relativeFrom="column">
                  <wp:posOffset>-114300</wp:posOffset>
                </wp:positionH>
                <wp:positionV relativeFrom="paragraph">
                  <wp:posOffset>5715</wp:posOffset>
                </wp:positionV>
                <wp:extent cx="977900" cy="396240"/>
                <wp:effectExtent l="0" t="0" r="0" b="0"/>
                <wp:wrapNone/>
                <wp:docPr id="158" name="文本框 158"/>
                <wp:cNvGraphicFramePr/>
                <a:graphic xmlns:a="http://schemas.openxmlformats.org/drawingml/2006/main">
                  <a:graphicData uri="http://schemas.microsoft.com/office/word/2010/wordprocessingShape">
                    <wps:wsp>
                      <wps:cNvSpPr txBox="1"/>
                      <wps:spPr>
                        <a:xfrm>
                          <a:off x="0" y="0"/>
                          <a:ext cx="977900" cy="396240"/>
                        </a:xfrm>
                        <a:prstGeom prst="rect">
                          <a:avLst/>
                        </a:prstGeom>
                        <a:noFill/>
                        <a:ln>
                          <a:noFill/>
                        </a:ln>
                        <a:effectLst/>
                      </wps:spPr>
                      <wps:txbx>
                        <w:txbxContent>
                          <w:p w14:paraId="244016F6">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实际竣工日期的确定</w:t>
                            </w:r>
                          </w:p>
                        </w:txbxContent>
                      </wps:txbx>
                      <wps:bodyPr wrap="square" upright="1"/>
                    </wps:wsp>
                  </a:graphicData>
                </a:graphic>
              </wp:anchor>
            </w:drawing>
          </mc:Choice>
          <mc:Fallback>
            <w:pict>
              <v:shape id="_x0000_s1026" o:spid="_x0000_s1026" o:spt="202" type="#_x0000_t202" style="position:absolute;left:0pt;margin-left:-9pt;margin-top:0.45pt;height:31.2pt;width:77pt;z-index:251813888;mso-width-relative:page;mso-height-relative:page;" filled="f" stroked="f" coordsize="21600,21600" o:gfxdata="UEsDBAoAAAAAAIdO4kAAAAAAAAAAAAAAAAAEAAAAZHJzL1BLAwQUAAAACACHTuJAQJmhxtUAAAAH&#10;AQAADwAAAGRycy9kb3ducmV2LnhtbE2PzW7CMBCE75V4B2sr9QZ2mjaCkA0Hql5bQX8kbiZekqjx&#10;OooNSd8ec2qPoxnNfFNsJtuJCw2+dYyQLBQI4sqZlmuEz4/X+RKED5qN7hwTwi952JSzu0Lnxo28&#10;o8s+1CKWsM81QhNCn0vpq4as9gvXE0fv5AarQ5RDLc2gx1huO/moVCatbjkuNLqnbUPVz/5sEb7e&#10;TofvJ/Vev9jnfnSTkmxXEvHhPlFrEIGm8BeGG35EhzIyHd2ZjRcdwjxZxi8BYQXiZqdZlEeELE1B&#10;loX8z19eAVBLAwQUAAAACACHTuJAtDty6b0BAABtAwAADgAAAGRycy9lMm9Eb2MueG1srVNLbtsw&#10;EN0XyB0I7msqbpvUguUAhZFuirZAkgPQ1MgiIH7CoS35Au0Nuuqm+57L58iQUtw03WTRDTWcz+O8&#10;N6Pl1WA6toeA2tmKn88KzsAqV2u7rfjd7fXr95xhlLaWnbNQ8QMgv1qdvVr2voS5a11XQ2AEYrHs&#10;fcXbGH0pBKoWjMSZ82Ap2LhgZKRr2Io6yJ7QTSfmRXEhehdqH5wCRPKuxyCfEMNLAF3TaAVrp3YG&#10;bBxRA3QyEiVstUe+yt02Daj4pWkQIusqTkxjPukRsjfpFKulLLdB+larqQX5khaecTJSW3r0BLWW&#10;UbJd0P9AGa2CQ9fEmXJGjESyIsTivHimzU0rPWQuJDX6k+j4/2DV5/3XwHRNm/COBm+loZEff3w/&#10;/vx9/PWNJSdJ1HssKfPGU24cPriB0h/9SM7EfGiCSV/ixChOAh9OAsMQmSLn4vJyUVBEUejN4mL+&#10;Ng9A/Cn2AeNHcIYlo+KB5pdllftPGKkRSn1MSW9Zd627Ls+ws385KHH0QF6CqTrxGPtNVhw2w0Ru&#10;4+oDcetpESqO9zsZgLOdD3rbUhuZq0glNIXcxLQxacxP72Q//UtWD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ECZocbVAAAABwEAAA8AAAAAAAAAAQAgAAAAIgAAAGRycy9kb3ducmV2LnhtbFBLAQIU&#10;ABQAAAAIAIdO4kC0O3LpvQEAAG0DAAAOAAAAAAAAAAEAIAAAACQBAABkcnMvZTJvRG9jLnhtbFBL&#10;BQYAAAAABgAGAFkBAABTBQAAAAA=&#10;">
                <v:fill on="f" focussize="0,0"/>
                <v:stroke on="f"/>
                <v:imagedata o:title=""/>
                <o:lock v:ext="edit" aspectratio="f"/>
                <v:textbox>
                  <w:txbxContent>
                    <w:p w14:paraId="244016F6">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实际竣工日期的确定</w:t>
                      </w:r>
                    </w:p>
                  </w:txbxContent>
                </v:textbox>
              </v:shape>
            </w:pict>
          </mc:Fallback>
        </mc:AlternateContent>
      </w:r>
      <w:r>
        <w:rPr>
          <w:rFonts w:hint="default" w:ascii="Times New Roman" w:hAnsi="Times New Roman" w:cs="Times New Roman"/>
          <w:color w:val="auto"/>
          <w:sz w:val="22"/>
          <w:szCs w:val="22"/>
          <w:highlight w:val="none"/>
        </w:rPr>
        <w:t>除发生不可抗力事件致使发包人不能按时竣工验收外，实际竣工日期按照下列情况分别确定：</w:t>
      </w:r>
    </w:p>
    <w:p w14:paraId="2DF81695">
      <w:pPr>
        <w:pStyle w:val="15"/>
        <w:numPr>
          <w:ilvl w:val="0"/>
          <w:numId w:val="19"/>
        </w:numPr>
        <w:tabs>
          <w:tab w:val="left" w:pos="1980"/>
          <w:tab w:val="left" w:pos="2160"/>
        </w:tabs>
        <w:adjustRightInd w:val="0"/>
        <w:snapToGrid w:val="0"/>
        <w:spacing w:line="420" w:lineRule="exact"/>
        <w:ind w:left="1619" w:leftChars="771"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工程经竣工验收合格的，以承包人提交竣工验收申请报告之日为实际竣工日期；</w:t>
      </w:r>
    </w:p>
    <w:p w14:paraId="7E2422A7">
      <w:pPr>
        <w:pStyle w:val="15"/>
        <w:tabs>
          <w:tab w:val="left" w:pos="1980"/>
          <w:tab w:val="left" w:pos="2160"/>
        </w:tabs>
        <w:adjustRightInd w:val="0"/>
        <w:snapToGrid w:val="0"/>
        <w:spacing w:line="420" w:lineRule="exact"/>
        <w:ind w:left="1613"/>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(2)承包人已按照第57.2款规定提交竣工验收申请报告，但发包人未按照第58.3款规定完成合同工程验收的，以承包人提交竣工验收申请报告之日为实际竣工日期；</w:t>
      </w:r>
    </w:p>
    <w:p w14:paraId="5E0D3DF7">
      <w:pPr>
        <w:pStyle w:val="15"/>
        <w:tabs>
          <w:tab w:val="left" w:pos="1980"/>
          <w:tab w:val="left" w:pos="2160"/>
        </w:tabs>
        <w:adjustRightInd w:val="0"/>
        <w:snapToGrid w:val="0"/>
        <w:spacing w:line="420" w:lineRule="exact"/>
        <w:ind w:left="1617"/>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(3)工程未经竣工验收，发包人擅自使用的，以转移占有工程之日为实际竣工日期。</w:t>
      </w:r>
    </w:p>
    <w:p w14:paraId="4C0F08FA">
      <w:pPr>
        <w:pStyle w:val="15"/>
        <w:adjustRightInd w:val="0"/>
        <w:snapToGrid w:val="0"/>
        <w:spacing w:line="420" w:lineRule="exact"/>
        <w:ind w:left="1486" w:leftChars="1" w:hanging="1484" w:hangingChars="674"/>
        <w:rPr>
          <w:rFonts w:hint="default" w:ascii="Times New Roman" w:hAnsi="Times New Roman" w:cs="Times New Roman"/>
          <w:b/>
          <w:bCs/>
          <w:color w:val="auto"/>
          <w:sz w:val="22"/>
          <w:szCs w:val="22"/>
          <w:highlight w:val="none"/>
          <w:u w:val="dotted"/>
        </w:rPr>
      </w:pPr>
      <w:r>
        <w:rPr>
          <w:rFonts w:hint="default" w:ascii="Times New Roman" w:hAnsi="Times New Roman" w:cs="Times New Roman"/>
          <w:b/>
          <w:bCs/>
          <w:color w:val="auto"/>
          <w:sz w:val="22"/>
          <w:szCs w:val="22"/>
          <w:highlight w:val="none"/>
        </w:rPr>
        <w:t xml:space="preserve">38.3  </w:t>
      </w:r>
      <w:r>
        <w:rPr>
          <w:rFonts w:hint="default" w:ascii="Times New Roman" w:hAnsi="Times New Roman" w:cs="Times New Roman"/>
          <w:b/>
          <w:bCs/>
          <w:color w:val="auto"/>
          <w:sz w:val="22"/>
          <w:szCs w:val="22"/>
          <w:highlight w:val="none"/>
          <w:u w:val="dotted"/>
        </w:rPr>
        <w:t xml:space="preserve">                                                                                                        </w:t>
      </w:r>
    </w:p>
    <w:p w14:paraId="0A729653">
      <w:pPr>
        <w:pStyle w:val="7"/>
        <w:adjustRightInd w:val="0"/>
        <w:snapToGrid w:val="0"/>
        <w:spacing w:line="420" w:lineRule="exact"/>
        <w:ind w:left="1619" w:leftChars="771"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14912" behindDoc="0" locked="0" layoutInCell="1" allowOverlap="1">
                <wp:simplePos x="0" y="0"/>
                <wp:positionH relativeFrom="column">
                  <wp:posOffset>-114300</wp:posOffset>
                </wp:positionH>
                <wp:positionV relativeFrom="paragraph">
                  <wp:posOffset>47625</wp:posOffset>
                </wp:positionV>
                <wp:extent cx="914400" cy="455930"/>
                <wp:effectExtent l="0" t="0" r="0" b="0"/>
                <wp:wrapNone/>
                <wp:docPr id="159" name="文本框 159"/>
                <wp:cNvGraphicFramePr/>
                <a:graphic xmlns:a="http://schemas.openxmlformats.org/drawingml/2006/main">
                  <a:graphicData uri="http://schemas.microsoft.com/office/word/2010/wordprocessingShape">
                    <wps:wsp>
                      <wps:cNvSpPr txBox="1"/>
                      <wps:spPr>
                        <a:xfrm>
                          <a:off x="0" y="0"/>
                          <a:ext cx="914400" cy="455930"/>
                        </a:xfrm>
                        <a:prstGeom prst="rect">
                          <a:avLst/>
                        </a:prstGeom>
                        <a:noFill/>
                        <a:ln>
                          <a:noFill/>
                        </a:ln>
                        <a:effectLst/>
                      </wps:spPr>
                      <wps:txbx>
                        <w:txbxContent>
                          <w:p w14:paraId="55CB2960">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延迟竣工的责任</w:t>
                            </w:r>
                          </w:p>
                        </w:txbxContent>
                      </wps:txbx>
                      <wps:bodyPr wrap="square" upright="1"/>
                    </wps:wsp>
                  </a:graphicData>
                </a:graphic>
              </wp:anchor>
            </w:drawing>
          </mc:Choice>
          <mc:Fallback>
            <w:pict>
              <v:shape id="_x0000_s1026" o:spid="_x0000_s1026" o:spt="202" type="#_x0000_t202" style="position:absolute;left:0pt;margin-left:-9pt;margin-top:3.75pt;height:35.9pt;width:72pt;z-index:251814912;mso-width-relative:page;mso-height-relative:page;" filled="f" stroked="f" coordsize="21600,21600" o:gfxdata="UEsDBAoAAAAAAIdO4kAAAAAAAAAAAAAAAAAEAAAAZHJzL1BLAwQUAAAACACHTuJA6BDNytUAAAAI&#10;AQAADwAAAGRycy9kb3ducmV2LnhtbE2Py07DMBBF90j8gzVI7Fo7hZY2xOkCxBZEeUjspvE0iYjH&#10;Uew24e+ZrmB5dEd3zi22k+/UiYbYBraQzQ0o4iq4lmsL729PszWomJAddoHJwg9F2JaXFwXmLoz8&#10;SqddqpWUcMzRQpNSn2sdq4Y8xnnoiSU7hMFjEhxq7QYcpdx3emHMSntsWT402NNDQ9X37ugtfDwf&#10;vj5vzUv96Jf9GCaj2W+0tddXmbkHlWhKf8dw1hd1KMVpH47souoszLK1bEkW7pagzvliJbwX3tyA&#10;Lgv9f0D5C1BLAwQUAAAACACHTuJAEDCTwr0BAABtAwAADgAAAGRycy9lMm9Eb2MueG1srVPNjtMw&#10;EL4j8Q6W79Tp0iIaNV1pVS0XBEgLD+A6k8ZS/IPHbdIXgDfgxIU7z9XnYOxky7Jc9rAXZzw/n+f7&#10;ZrK+HkzHjhBQO1vx+azgDKxytbb7in/5fPvqLWcYpa1l5yxU/ATIrzcvX6x7X8KVa11XQ2AEYrHs&#10;fcXbGH0pBKoWjMSZ82Ap2LhgZKRr2Is6yJ7QTSeuiuKN6F2ofXAKEMm7HYN8QgxPAXRNoxVsnToY&#10;sHFEDdDJSJSw1R75JnfbNKDix6ZBiKyrODGN+aRHyN6lU2zWstwH6VutphbkU1p4xMlIbenRC9RW&#10;RskOQf8HZbQKDl0TZ8oZMRLJihCLefFIm7tWeshcSGr0F9Hx+WDVh+OnwHRNm7BccWaloZGff3w/&#10;//x9/vWNJSdJ1HssKfPOU24cbtxA6fd+JGdiPjTBpC9xYhQngU8XgWGITJFzNV8sCoooCi2Wy9Xr&#10;PADxt9gHjO/AGZaMigeaX5ZVHt9jpEYo9T4lvWXdre66PMPO/uOgxNEDeQmm6sRj7DdZcdgNE7md&#10;q0/EradFqDh+PcgAnB180PuW2shcRSqhKeQmpo1JY354J/vhX7L5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OgQzcrVAAAACAEAAA8AAAAAAAAAAQAgAAAAIgAAAGRycy9kb3ducmV2LnhtbFBLAQIU&#10;ABQAAAAIAIdO4kAQMJPCvQEAAG0DAAAOAAAAAAAAAAEAIAAAACQBAABkcnMvZTJvRG9jLnhtbFBL&#10;BQYAAAAABgAGAFkBAABTBQAAAAA=&#10;">
                <v:fill on="f" focussize="0,0"/>
                <v:stroke on="f"/>
                <v:imagedata o:title=""/>
                <o:lock v:ext="edit" aspectratio="f"/>
                <v:textbox>
                  <w:txbxContent>
                    <w:p w14:paraId="55CB2960">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延迟竣工的责任</w:t>
                      </w:r>
                    </w:p>
                  </w:txbxContent>
                </v:textbox>
              </v:shape>
            </w:pict>
          </mc:Fallback>
        </mc:AlternateContent>
      </w:r>
      <w:r>
        <w:rPr>
          <w:rFonts w:hint="default" w:ascii="Times New Roman" w:hAnsi="Times New Roman" w:cs="Times New Roman"/>
          <w:color w:val="auto"/>
          <w:sz w:val="22"/>
          <w:szCs w:val="22"/>
          <w:highlight w:val="none"/>
        </w:rPr>
        <w:t>因发包人的原因导致实际竣工日期迟于计划竣工日期的，发包人应承担由此增加的费用和（或）延误的工期，并向承包人支付合理利润。</w:t>
      </w:r>
    </w:p>
    <w:p w14:paraId="33B7B6B9">
      <w:pPr>
        <w:spacing w:line="420" w:lineRule="exact"/>
        <w:ind w:left="1619" w:leftChars="771" w:firstLine="55" w:firstLineChars="25"/>
        <w:rPr>
          <w:rFonts w:hint="default" w:ascii="Times New Roman" w:hAnsi="Times New Roman" w:cs="Times New Roman"/>
          <w:caps/>
          <w:color w:val="auto"/>
          <w:sz w:val="22"/>
          <w:szCs w:val="22"/>
          <w:highlight w:val="none"/>
        </w:rPr>
      </w:pPr>
      <w:r>
        <w:rPr>
          <w:rFonts w:hint="default" w:ascii="Times New Roman" w:hAnsi="Times New Roman" w:cs="Times New Roman"/>
          <w:color w:val="auto"/>
          <w:sz w:val="22"/>
          <w:szCs w:val="22"/>
          <w:highlight w:val="none"/>
        </w:rPr>
        <w:t>因承包人的原因导致实际竣工日期迟于计划竣工日期的，承包人应按照第40条规定</w:t>
      </w:r>
      <w:r>
        <w:rPr>
          <w:rFonts w:hint="default" w:ascii="Times New Roman" w:hAnsi="Times New Roman" w:cs="Times New Roman"/>
          <w:caps/>
          <w:color w:val="auto"/>
          <w:sz w:val="22"/>
          <w:szCs w:val="22"/>
          <w:highlight w:val="none"/>
        </w:rPr>
        <w:t>赔偿发包人由此造成的损失，并向发包人支付误期赔偿费。</w:t>
      </w:r>
    </w:p>
    <w:p w14:paraId="2EB4A224">
      <w:pPr>
        <w:spacing w:line="420" w:lineRule="exact"/>
        <w:rPr>
          <w:rFonts w:hint="default" w:ascii="Times New Roman" w:hAnsi="Times New Roman" w:cs="Times New Roman"/>
          <w:caps/>
          <w:color w:val="auto"/>
          <w:sz w:val="22"/>
          <w:szCs w:val="22"/>
          <w:highlight w:val="none"/>
          <w:u w:val="single"/>
        </w:rPr>
      </w:pPr>
      <w:r>
        <w:rPr>
          <w:rFonts w:hint="default" w:ascii="Times New Roman" w:hAnsi="Times New Roman" w:cs="Times New Roman"/>
          <w:b/>
          <w:bCs/>
          <w:caps/>
          <w:color w:val="auto"/>
          <w:sz w:val="22"/>
          <w:szCs w:val="22"/>
          <w:highlight w:val="none"/>
          <w:u w:val="single"/>
        </w:rPr>
        <w:t xml:space="preserve">                                                                                    </w:t>
      </w:r>
      <w:r>
        <w:rPr>
          <w:rFonts w:hint="default" w:ascii="Times New Roman" w:hAnsi="Times New Roman" w:cs="Times New Roman"/>
          <w:caps/>
          <w:color w:val="auto"/>
          <w:sz w:val="22"/>
          <w:szCs w:val="22"/>
          <w:highlight w:val="none"/>
          <w:u w:val="single"/>
        </w:rPr>
        <w:t xml:space="preserve">                     </w:t>
      </w:r>
    </w:p>
    <w:p w14:paraId="2057054D">
      <w:pPr>
        <w:pStyle w:val="15"/>
        <w:tabs>
          <w:tab w:val="left" w:pos="540"/>
        </w:tabs>
        <w:adjustRightInd w:val="0"/>
        <w:snapToGrid w:val="0"/>
        <w:spacing w:before="240" w:beforeLines="100" w:line="420" w:lineRule="exact"/>
        <w:outlineLvl w:val="2"/>
        <w:rPr>
          <w:rFonts w:hint="default" w:ascii="Times New Roman" w:hAnsi="Times New Roman" w:cs="Times New Roman"/>
          <w:b/>
          <w:bCs/>
          <w:color w:val="auto"/>
          <w:sz w:val="22"/>
          <w:szCs w:val="22"/>
          <w:highlight w:val="none"/>
        </w:rPr>
      </w:pPr>
      <w:bookmarkStart w:id="172" w:name="_Toc10332"/>
      <w:bookmarkStart w:id="173" w:name="_Toc469384021"/>
      <w:r>
        <w:rPr>
          <w:rFonts w:hint="default" w:ascii="Times New Roman" w:hAnsi="Times New Roman" w:cs="Times New Roman"/>
          <w:b/>
          <w:bCs/>
          <w:color w:val="auto"/>
          <w:sz w:val="22"/>
          <w:szCs w:val="22"/>
          <w:highlight w:val="none"/>
        </w:rPr>
        <w:t>39  提前竣工</w:t>
      </w:r>
      <w:bookmarkEnd w:id="172"/>
      <w:bookmarkEnd w:id="173"/>
    </w:p>
    <w:p w14:paraId="7E55A638">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39.1   </w:t>
      </w:r>
    </w:p>
    <w:p w14:paraId="1A0F5843">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15936" behindDoc="0" locked="0" layoutInCell="1" allowOverlap="1">
                <wp:simplePos x="0" y="0"/>
                <wp:positionH relativeFrom="column">
                  <wp:posOffset>-66675</wp:posOffset>
                </wp:positionH>
                <wp:positionV relativeFrom="paragraph">
                  <wp:posOffset>30480</wp:posOffset>
                </wp:positionV>
                <wp:extent cx="977900" cy="396240"/>
                <wp:effectExtent l="0" t="0" r="0" b="0"/>
                <wp:wrapNone/>
                <wp:docPr id="160" name="文本框 160"/>
                <wp:cNvGraphicFramePr/>
                <a:graphic xmlns:a="http://schemas.openxmlformats.org/drawingml/2006/main">
                  <a:graphicData uri="http://schemas.microsoft.com/office/word/2010/wordprocessingShape">
                    <wps:wsp>
                      <wps:cNvSpPr txBox="1"/>
                      <wps:spPr>
                        <a:xfrm>
                          <a:off x="0" y="0"/>
                          <a:ext cx="977900" cy="396240"/>
                        </a:xfrm>
                        <a:prstGeom prst="rect">
                          <a:avLst/>
                        </a:prstGeom>
                        <a:noFill/>
                        <a:ln>
                          <a:noFill/>
                        </a:ln>
                        <a:effectLst/>
                      </wps:spPr>
                      <wps:txbx>
                        <w:txbxContent>
                          <w:p w14:paraId="6A93B9F1">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提前竣工的要求</w:t>
                            </w:r>
                          </w:p>
                        </w:txbxContent>
                      </wps:txbx>
                      <wps:bodyPr wrap="square" upright="1"/>
                    </wps:wsp>
                  </a:graphicData>
                </a:graphic>
              </wp:anchor>
            </w:drawing>
          </mc:Choice>
          <mc:Fallback>
            <w:pict>
              <v:shape id="_x0000_s1026" o:spid="_x0000_s1026" o:spt="202" type="#_x0000_t202" style="position:absolute;left:0pt;margin-left:-5.25pt;margin-top:2.4pt;height:31.2pt;width:77pt;z-index:251815936;mso-width-relative:page;mso-height-relative:page;" filled="f" stroked="f" coordsize="21600,21600" o:gfxdata="UEsDBAoAAAAAAIdO4kAAAAAAAAAAAAAAAAAEAAAAZHJzL1BLAwQUAAAACACHTuJA9h0/j9UAAAAI&#10;AQAADwAAAGRycy9kb3ducmV2LnhtbE2PwU7DMBBE70j8g7VI3Fo7JS0QsukBxBVEgUq9uck2iYjX&#10;Uew24e/ZnuhxNKOZN/l6cp060RBazwjJ3IAiLn3Vco3w9fk6ewAVouXKdp4J4ZcCrIvrq9xmlR/5&#10;g06bWCsp4ZBZhCbGPtM6lA05G+a+Jxbv4Adno8ih1tVgRyl3nV4Ys9LOtiwLje3puaHyZ3N0CN9v&#10;h902Ne/1i1v2o5+MZveoEW9vEvMEKtIU/8Nwxhd0KIRp749cBdUhzBKzlChCKg/Ofnoneo+wul+A&#10;LnJ9eaD4A1BLAwQUAAAACACHTuJAcS9wl7wBAABtAwAADgAAAGRycy9lMm9Eb2MueG1srVNLbtsw&#10;EN0X6B0I7mspbuDUguUAhZFsirZA2gPQ1MgiwF85tCVfoL1BV91033P5HB1SipvPJotuqOF8Hue9&#10;Ga2uB6PZAQIqZ2t+MSs5Aytdo+yu5l+/3Lx5xxlGYRuhnYWaHwH59fr1q1XvK5i7zukGAiMQi1Xv&#10;a97F6KuiQNmBEThzHiwFWxeMiHQNu6IJoid0o4t5WS6K3oXGBycBkbybMcgnxPASQNe2SsLGyb0B&#10;G0fUAFpEooSd8sjXudu2BRk/tS1CZLrmxDTmkx4he5vOYr0S1S4I3yk5tSBe0sITTkYoS4+eoTYi&#10;CrYP6hmUUTI4dG2cSWeKkUhWhFhclE+0ueuEh8yFpEZ/Fh3/H6z8ePgcmGpoExakiRWGRn76+eP0&#10;68/p93eWnCRR77GizDtPuXF47wZKv/cjORPzoQ0mfYkToziBHc8CwxCZJOfy6mpZUkRS6O1yMb/M&#10;6MW/Yh8w3oIzLBk1DzS/LKs4fMBIjVDqfUp6y7obpXWeobaPHJQ4eiAvwVSdeIz9JisO22Eit3XN&#10;kbj1tAg1x297EYCzvQ9q11EbmWuRSmgKuYlpY9KYH97JfviXrP8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9h0/j9UAAAAIAQAADwAAAAAAAAABACAAAAAiAAAAZHJzL2Rvd25yZXYueG1sUEsBAhQA&#10;FAAAAAgAh07iQHEvcJe8AQAAbQMAAA4AAAAAAAAAAQAgAAAAJAEAAGRycy9lMm9Eb2MueG1sUEsF&#10;BgAAAAAGAAYAWQEAAFIFAAAAAA==&#10;">
                <v:fill on="f" focussize="0,0"/>
                <v:stroke on="f"/>
                <v:imagedata o:title=""/>
                <o:lock v:ext="edit" aspectratio="f"/>
                <v:textbox>
                  <w:txbxContent>
                    <w:p w14:paraId="6A93B9F1">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提前竣工的要求</w:t>
                      </w:r>
                    </w:p>
                  </w:txbxContent>
                </v:textbox>
              </v:shape>
            </w:pict>
          </mc:Fallback>
        </mc:AlternateContent>
      </w:r>
      <w:r>
        <w:rPr>
          <w:rFonts w:hint="default" w:ascii="Times New Roman" w:hAnsi="Times New Roman" w:cs="Times New Roman"/>
          <w:color w:val="auto"/>
          <w:sz w:val="22"/>
          <w:szCs w:val="22"/>
          <w:highlight w:val="none"/>
        </w:rPr>
        <w:t>发包人要求承包人提前竣工，或承包人按照第37.2款规定提交提前竣工建议书为发包人接受的，监理工程师应与承包人商定采取加快工程进度的措施，并修订合同工程进度计划。</w:t>
      </w:r>
    </w:p>
    <w:p w14:paraId="4551FA52">
      <w:pPr>
        <w:pStyle w:val="15"/>
        <w:adjustRightInd w:val="0"/>
        <w:snapToGrid w:val="0"/>
        <w:spacing w:line="420" w:lineRule="exact"/>
        <w:rPr>
          <w:rFonts w:hint="default" w:ascii="Times New Roman" w:hAnsi="Times New Roman" w:cs="Times New Roman"/>
          <w:b/>
          <w:bCs/>
          <w:color w:val="auto"/>
          <w:sz w:val="22"/>
          <w:szCs w:val="22"/>
          <w:highlight w:val="none"/>
          <w:u w:val="dotted"/>
        </w:rPr>
      </w:pPr>
      <w:r>
        <w:rPr>
          <w:rFonts w:hint="default" w:ascii="Times New Roman" w:hAnsi="Times New Roman" w:cs="Times New Roman"/>
          <w:b/>
          <w:bCs/>
          <w:color w:val="auto"/>
          <w:sz w:val="22"/>
          <w:szCs w:val="22"/>
          <w:highlight w:val="none"/>
        </w:rPr>
        <w:t xml:space="preserve">39.2  </w:t>
      </w:r>
      <w:r>
        <w:rPr>
          <w:rFonts w:hint="default" w:ascii="Times New Roman" w:hAnsi="Times New Roman" w:cs="Times New Roman"/>
          <w:b/>
          <w:bCs/>
          <w:color w:val="auto"/>
          <w:sz w:val="22"/>
          <w:szCs w:val="22"/>
          <w:highlight w:val="none"/>
          <w:u w:val="dotted"/>
        </w:rPr>
        <w:t xml:space="preserve">                                                                                                        </w:t>
      </w:r>
    </w:p>
    <w:p w14:paraId="7F4F8C5D">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16960" behindDoc="0" locked="0" layoutInCell="1" allowOverlap="1">
                <wp:simplePos x="0" y="0"/>
                <wp:positionH relativeFrom="column">
                  <wp:posOffset>-114300</wp:posOffset>
                </wp:positionH>
                <wp:positionV relativeFrom="paragraph">
                  <wp:posOffset>5715</wp:posOffset>
                </wp:positionV>
                <wp:extent cx="977900" cy="396240"/>
                <wp:effectExtent l="0" t="0" r="0" b="0"/>
                <wp:wrapNone/>
                <wp:docPr id="161" name="文本框 161"/>
                <wp:cNvGraphicFramePr/>
                <a:graphic xmlns:a="http://schemas.openxmlformats.org/drawingml/2006/main">
                  <a:graphicData uri="http://schemas.microsoft.com/office/word/2010/wordprocessingShape">
                    <wps:wsp>
                      <wps:cNvSpPr txBox="1"/>
                      <wps:spPr>
                        <a:xfrm>
                          <a:off x="0" y="0"/>
                          <a:ext cx="977900" cy="396240"/>
                        </a:xfrm>
                        <a:prstGeom prst="rect">
                          <a:avLst/>
                        </a:prstGeom>
                        <a:noFill/>
                        <a:ln>
                          <a:noFill/>
                        </a:ln>
                        <a:effectLst/>
                      </wps:spPr>
                      <wps:txbx>
                        <w:txbxContent>
                          <w:p w14:paraId="6096705A">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提前竣工天数的计算</w:t>
                            </w:r>
                          </w:p>
                        </w:txbxContent>
                      </wps:txbx>
                      <wps:bodyPr wrap="square" upright="1"/>
                    </wps:wsp>
                  </a:graphicData>
                </a:graphic>
              </wp:anchor>
            </w:drawing>
          </mc:Choice>
          <mc:Fallback>
            <w:pict>
              <v:shape id="_x0000_s1026" o:spid="_x0000_s1026" o:spt="202" type="#_x0000_t202" style="position:absolute;left:0pt;margin-left:-9pt;margin-top:0.45pt;height:31.2pt;width:77pt;z-index:251816960;mso-width-relative:page;mso-height-relative:page;" filled="f" stroked="f" coordsize="21600,21600" o:gfxdata="UEsDBAoAAAAAAIdO4kAAAAAAAAAAAAAAAAAEAAAAZHJzL1BLAwQUAAAACACHTuJAQJmhxtUAAAAH&#10;AQAADwAAAGRycy9kb3ducmV2LnhtbE2PzW7CMBCE75V4B2sr9QZ2mjaCkA0Hql5bQX8kbiZekqjx&#10;OooNSd8ec2qPoxnNfFNsJtuJCw2+dYyQLBQI4sqZlmuEz4/X+RKED5qN7hwTwi952JSzu0Lnxo28&#10;o8s+1CKWsM81QhNCn0vpq4as9gvXE0fv5AarQ5RDLc2gx1huO/moVCatbjkuNLqnbUPVz/5sEb7e&#10;TofvJ/Vev9jnfnSTkmxXEvHhPlFrEIGm8BeGG35EhzIyHd2ZjRcdwjxZxi8BYQXiZqdZlEeELE1B&#10;loX8z19eAVBLAwQUAAAACACHTuJAg9Cya70BAABtAwAADgAAAGRycy9lMm9Eb2MueG1srVPNjtMw&#10;EL4j8Q6W79RpQV0aNV1pVS0XBEgLD+A6k8ZS/IPHbdIXgDfgxIU7z9XnYOxky7Jc9rAXZzw/n+f7&#10;ZrK+HkzHjhBQO1vx+azgDKxytbb7in/5fPvqLWcYpa1l5yxU/ATIrzcvX6x7X8LCta6rITACsVj2&#10;vuJtjL4UAlULRuLMebAUbFwwMtI17EUdZE/ophOLoliK3oXaB6cAkbzbMcgnxPAUQNc0WsHWqYMB&#10;G0fUAJ2MRAlb7ZFvcrdNAyp+bBqEyLqKE9OYT3qE7F06xWYty32QvtVqakE+pYVHnIzUlh69QG1l&#10;lOwQ9H9QRqvg0DVxppwRI5GsCLGYF4+0uWulh8yFpEZ/ER2fD1Z9OH4KTNe0Ccs5Z1YaGvn5x/fz&#10;z9/nX99YcpJEvceSMu885cbhxg2Ufu9HcibmQxNM+hInRnES+HQRGIbIFDlXV1ergiKKQq9Xy8Wb&#10;PADxt9gHjO/AGZaMigeaX5ZVHt9jpEYo9T4lvWXdre66PMPO/uOgxNEDeQmm6sRj7DdZcdgNE7md&#10;q0/EradFqDh+PcgAnB180PuW2shcRSqhKeQmpo1JY354J/vhX7L5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ECZocbVAAAABwEAAA8AAAAAAAAAAQAgAAAAIgAAAGRycy9kb3ducmV2LnhtbFBLAQIU&#10;ABQAAAAIAIdO4kCD0LJrvQEAAG0DAAAOAAAAAAAAAAEAIAAAACQBAABkcnMvZTJvRG9jLnhtbFBL&#10;BQYAAAAABgAGAFkBAABTBQAAAAA=&#10;">
                <v:fill on="f" focussize="0,0"/>
                <v:stroke on="f"/>
                <v:imagedata o:title=""/>
                <o:lock v:ext="edit" aspectratio="f"/>
                <v:textbox>
                  <w:txbxContent>
                    <w:p w14:paraId="6096705A">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提前竣工天数的计算</w:t>
                      </w:r>
                    </w:p>
                  </w:txbxContent>
                </v:textbox>
              </v:shape>
            </w:pict>
          </mc:Fallback>
        </mc:AlternateContent>
      </w:r>
      <w:r>
        <w:rPr>
          <w:rFonts w:hint="default" w:ascii="Times New Roman" w:hAnsi="Times New Roman" w:cs="Times New Roman"/>
          <w:color w:val="auto"/>
          <w:sz w:val="22"/>
          <w:szCs w:val="22"/>
          <w:highlight w:val="none"/>
        </w:rPr>
        <w:t>提前竣工天数按照第38.2款规定确定的计划竣工天数减去实际竣工天数计算，其公式为：</w:t>
      </w:r>
    </w:p>
    <w:p w14:paraId="4FDBC630">
      <w:pPr>
        <w:pStyle w:val="15"/>
        <w:adjustRightInd w:val="0"/>
        <w:snapToGrid w:val="0"/>
        <w:spacing w:line="420" w:lineRule="exact"/>
        <w:ind w:firstLine="1980" w:firstLineChars="9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提前竣工天数=计划竣工天数 — 实际竣工天数</w:t>
      </w:r>
    </w:p>
    <w:p w14:paraId="529344B0">
      <w:pPr>
        <w:pStyle w:val="15"/>
        <w:tabs>
          <w:tab w:val="left" w:pos="1980"/>
          <w:tab w:val="left" w:pos="2160"/>
        </w:tabs>
        <w:adjustRightInd w:val="0"/>
        <w:snapToGrid w:val="0"/>
        <w:spacing w:line="420" w:lineRule="exact"/>
        <w:ind w:left="1616"/>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合同工程提前竣工，发包人应承担承包人由此增加的费用，并按照第66.1款规定向承包人支付提前竣工奖。</w:t>
      </w:r>
    </w:p>
    <w:p w14:paraId="3A990D4A">
      <w:pPr>
        <w:pStyle w:val="15"/>
        <w:tabs>
          <w:tab w:val="left" w:pos="540"/>
        </w:tabs>
        <w:adjustRightInd w:val="0"/>
        <w:snapToGrid w:val="0"/>
        <w:spacing w:before="240" w:beforeLines="100" w:line="420" w:lineRule="exact"/>
        <w:rPr>
          <w:rFonts w:hint="default" w:ascii="Times New Roman" w:hAnsi="Times New Roman" w:cs="Times New Roman"/>
          <w:b/>
          <w:bCs/>
          <w:caps/>
          <w:color w:val="auto"/>
          <w:sz w:val="22"/>
          <w:szCs w:val="22"/>
          <w:highlight w:val="none"/>
          <w:u w:val="single"/>
        </w:rPr>
      </w:pPr>
      <w:r>
        <w:rPr>
          <w:rFonts w:hint="default" w:ascii="Times New Roman" w:hAnsi="Times New Roman" w:cs="Times New Roman"/>
          <w:b/>
          <w:bCs/>
          <w:caps/>
          <w:color w:val="auto"/>
          <w:sz w:val="22"/>
          <w:szCs w:val="22"/>
          <w:highlight w:val="none"/>
          <w:u w:val="single"/>
        </w:rPr>
        <w:t xml:space="preserve">                                                                                </w:t>
      </w:r>
    </w:p>
    <w:p w14:paraId="509526ED">
      <w:pPr>
        <w:pStyle w:val="15"/>
        <w:tabs>
          <w:tab w:val="left" w:pos="540"/>
        </w:tabs>
        <w:adjustRightInd w:val="0"/>
        <w:snapToGrid w:val="0"/>
        <w:spacing w:before="240" w:beforeLines="100" w:line="420" w:lineRule="exact"/>
        <w:outlineLvl w:val="2"/>
        <w:rPr>
          <w:rFonts w:hint="default" w:ascii="Times New Roman" w:hAnsi="Times New Roman" w:cs="Times New Roman"/>
          <w:b/>
          <w:bCs/>
          <w:color w:val="auto"/>
          <w:sz w:val="22"/>
          <w:szCs w:val="22"/>
          <w:highlight w:val="none"/>
        </w:rPr>
      </w:pPr>
      <w:bookmarkStart w:id="174" w:name="_Toc469384022"/>
      <w:bookmarkStart w:id="175" w:name="_Toc17043"/>
      <w:r>
        <w:rPr>
          <w:rFonts w:hint="default" w:ascii="Times New Roman" w:hAnsi="Times New Roman" w:cs="Times New Roman"/>
          <w:b/>
          <w:bCs/>
          <w:color w:val="auto"/>
          <w:sz w:val="22"/>
          <w:szCs w:val="22"/>
          <w:highlight w:val="none"/>
        </w:rPr>
        <w:t>40  误期赔偿</w:t>
      </w:r>
      <w:bookmarkEnd w:id="174"/>
      <w:bookmarkEnd w:id="175"/>
    </w:p>
    <w:p w14:paraId="661459DE">
      <w:pPr>
        <w:spacing w:line="420" w:lineRule="exact"/>
        <w:rPr>
          <w:rFonts w:hint="default" w:ascii="Times New Roman" w:hAnsi="Times New Roman" w:cs="Times New Roman"/>
          <w:b/>
          <w:bCs/>
          <w:caps/>
          <w:color w:val="auto"/>
          <w:sz w:val="22"/>
          <w:szCs w:val="22"/>
          <w:highlight w:val="none"/>
        </w:rPr>
      </w:pPr>
      <w:r>
        <w:rPr>
          <w:rFonts w:hint="default" w:ascii="Times New Roman" w:hAnsi="Times New Roman" w:cs="Times New Roman"/>
          <w:b/>
          <w:bCs/>
          <w:color w:val="auto"/>
          <w:sz w:val="22"/>
          <w:szCs w:val="22"/>
          <w:highlight w:val="none"/>
        </w:rPr>
        <w:t>40.1</w:t>
      </w:r>
    </w:p>
    <w:p w14:paraId="736A879D">
      <w:pPr>
        <w:spacing w:line="420" w:lineRule="exact"/>
        <w:ind w:left="1619" w:leftChars="771"/>
        <w:rPr>
          <w:rFonts w:hint="default" w:ascii="Times New Roman" w:hAnsi="Times New Roman" w:cs="Times New Roman"/>
          <w:cap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17984" behindDoc="0" locked="0" layoutInCell="1" allowOverlap="1">
                <wp:simplePos x="0" y="0"/>
                <wp:positionH relativeFrom="column">
                  <wp:posOffset>-133350</wp:posOffset>
                </wp:positionH>
                <wp:positionV relativeFrom="paragraph">
                  <wp:posOffset>104140</wp:posOffset>
                </wp:positionV>
                <wp:extent cx="977900" cy="328295"/>
                <wp:effectExtent l="0" t="0" r="0" b="0"/>
                <wp:wrapNone/>
                <wp:docPr id="162" name="文本框 162"/>
                <wp:cNvGraphicFramePr/>
                <a:graphic xmlns:a="http://schemas.openxmlformats.org/drawingml/2006/main">
                  <a:graphicData uri="http://schemas.microsoft.com/office/word/2010/wordprocessingShape">
                    <wps:wsp>
                      <wps:cNvSpPr txBox="1"/>
                      <wps:spPr>
                        <a:xfrm>
                          <a:off x="0" y="0"/>
                          <a:ext cx="977900" cy="328295"/>
                        </a:xfrm>
                        <a:prstGeom prst="rect">
                          <a:avLst/>
                        </a:prstGeom>
                        <a:noFill/>
                        <a:ln>
                          <a:noFill/>
                        </a:ln>
                        <a:effectLst/>
                      </wps:spPr>
                      <wps:txbx>
                        <w:txbxContent>
                          <w:p w14:paraId="3078501F">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误期的赔偿</w:t>
                            </w:r>
                          </w:p>
                        </w:txbxContent>
                      </wps:txbx>
                      <wps:bodyPr wrap="square" upright="1"/>
                    </wps:wsp>
                  </a:graphicData>
                </a:graphic>
              </wp:anchor>
            </w:drawing>
          </mc:Choice>
          <mc:Fallback>
            <w:pict>
              <v:shape id="_x0000_s1026" o:spid="_x0000_s1026" o:spt="202" type="#_x0000_t202" style="position:absolute;left:0pt;margin-left:-10.5pt;margin-top:8.2pt;height:25.85pt;width:77pt;z-index:251817984;mso-width-relative:page;mso-height-relative:page;" filled="f" stroked="f" coordsize="21600,21600" o:gfxdata="UEsDBAoAAAAAAIdO4kAAAAAAAAAAAAAAAAAEAAAAZHJzL1BLAwQUAAAACACHTuJAx1tREdYAAAAJ&#10;AQAADwAAAGRycy9kb3ducmV2LnhtbE2PzW7CMBCE75V4B2sr9QZ2gEYQ4nCg6rVV+anUm4mXJGq8&#10;jmJD0rfvcmqPOzOa/Sbfjq4VN+xD40lDMlMgkEpvG6o0HA+v0xWIEA1Z03pCDT8YYFtMHnKTWT/Q&#10;B972sRJcQiEzGuoYu0zKUNboTJj5Dom9i++diXz2lbS9GbjctXKuVCqdaYg/1KbDXY3l9/7qNJze&#10;Ll+fS/VevbjnbvCjkuTWUuunx0RtQEQc418Y7viMDgUznf2VbBCthuk84S2RjXQJ4h5YLFg4a0hX&#10;Ccgil/8XFL9QSwMEFAAAAAgAh07iQApti1m8AQAAbQMAAA4AAABkcnMvZTJvRG9jLnhtbK1TzY7T&#10;MBC+I/EOlu802SB2t1HTlVC1XBAgLfsArjNpLPkPj9ukLwBvwIkLd56rz8HYyZZlueyBizOen8/z&#10;fTNZ3YxGswMEVM42/GJRcgZWulbZXcPvP9++uuYMo7Ct0M5Cw4+A/Gb98sVq8DVUrne6hcAIxGI9&#10;+Ib3Mfq6KFD2YAQunAdLwc4FIyJdw65ogxgI3eiiKsvLYnCh9cFJQCTvZgryGTE8B9B1nZKwcXJv&#10;wMYJNYAWkShhrzzyde6260DGj12HEJluODGN+aRHyN6ms1ivRL0LwvdKzi2I57TwhJMRytKjZ6iN&#10;iILtg/oHyigZHLouLqQzxUQkK0IsLson2tz1wkPmQlKjP4uO/w9Wfjh8Cky1tAmXFWdWGBr56fu3&#10;049fp59fWXKSRIPHmjLvPOXG8a0bKf3Bj+RMzMcumPQlToziJPDxLDCMkUlyLq+uliVFJIVeV9fV&#10;8k1CKf4U+4DxHTjDktHwQPPLsorDe4xT6kNKesu6W6V1nqG2fzkIc/JAXoK5OvGY+k1WHLfjTG7r&#10;2iNxG2gRGo5f9iIAZ3sf1K6nNjLXIpXQFHK/88akMT++k/34L1n/B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MdbURHWAAAACQEAAA8AAAAAAAAAAQAgAAAAIgAAAGRycy9kb3ducmV2LnhtbFBLAQIU&#10;ABQAAAAIAIdO4kAKbYtZvAEAAG0DAAAOAAAAAAAAAAEAIAAAACUBAABkcnMvZTJvRG9jLnhtbFBL&#10;BQYAAAAABgAGAFkBAABTBQAAAAA=&#10;">
                <v:fill on="f" focussize="0,0"/>
                <v:stroke on="f"/>
                <v:imagedata o:title=""/>
                <o:lock v:ext="edit" aspectratio="f"/>
                <v:textbox>
                  <w:txbxContent>
                    <w:p w14:paraId="3078501F">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误期的赔偿</w:t>
                      </w:r>
                    </w:p>
                  </w:txbxContent>
                </v:textbox>
              </v:shape>
            </w:pict>
          </mc:Fallback>
        </mc:AlternateContent>
      </w:r>
      <w:r>
        <w:rPr>
          <w:rFonts w:hint="default" w:ascii="Times New Roman" w:hAnsi="Times New Roman" w:cs="Times New Roman"/>
          <w:caps/>
          <w:color w:val="auto"/>
          <w:sz w:val="22"/>
          <w:szCs w:val="22"/>
          <w:highlight w:val="none"/>
        </w:rPr>
        <w:t>如果承包人未按照第33.4款规定按计划进度施工，导致实际进度迟于计划进度的，承包人应向发包人支付误期赔偿费，具体金额可另行约定。即使承包人支付误期赔偿费，也不能免除承包人按照合同约定应承担的任何责任和应履行的任何义务。</w:t>
      </w:r>
    </w:p>
    <w:p w14:paraId="58395D23">
      <w:pPr>
        <w:spacing w:line="420" w:lineRule="exact"/>
        <w:rPr>
          <w:rFonts w:hint="default" w:ascii="Times New Roman" w:hAnsi="Times New Roman" w:cs="Times New Roman"/>
          <w:b/>
          <w:bCs/>
          <w:color w:val="auto"/>
          <w:sz w:val="22"/>
          <w:szCs w:val="22"/>
          <w:highlight w:val="none"/>
          <w:u w:val="dotted"/>
        </w:rPr>
      </w:pPr>
      <w:r>
        <w:rPr>
          <w:rFonts w:hint="default" w:ascii="Times New Roman" w:hAnsi="Times New Roman" w:cs="Times New Roman"/>
          <w:b/>
          <w:bCs/>
          <w:color w:val="auto"/>
          <w:sz w:val="22"/>
          <w:szCs w:val="22"/>
          <w:highlight w:val="none"/>
        </w:rPr>
        <w:t xml:space="preserve">40.2  </w:t>
      </w:r>
      <w:r>
        <w:rPr>
          <w:rFonts w:hint="default" w:ascii="Times New Roman" w:hAnsi="Times New Roman" w:cs="Times New Roman"/>
          <w:b/>
          <w:bCs/>
          <w:color w:val="auto"/>
          <w:sz w:val="22"/>
          <w:szCs w:val="22"/>
          <w:highlight w:val="none"/>
          <w:u w:val="dotted"/>
        </w:rPr>
        <w:t xml:space="preserve">                                                                                                        </w:t>
      </w:r>
    </w:p>
    <w:p w14:paraId="189BAC82">
      <w:pPr>
        <w:spacing w:line="420" w:lineRule="exact"/>
        <w:ind w:left="1619" w:leftChars="771" w:firstLine="74" w:firstLineChars="34"/>
        <w:rPr>
          <w:rFonts w:hint="default" w:ascii="Times New Roman" w:hAnsi="Times New Roman" w:cs="Times New Roman"/>
          <w:cap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19008" behindDoc="0" locked="0" layoutInCell="1" allowOverlap="1">
                <wp:simplePos x="0" y="0"/>
                <wp:positionH relativeFrom="column">
                  <wp:posOffset>-114300</wp:posOffset>
                </wp:positionH>
                <wp:positionV relativeFrom="paragraph">
                  <wp:posOffset>31750</wp:posOffset>
                </wp:positionV>
                <wp:extent cx="1071245" cy="791845"/>
                <wp:effectExtent l="0" t="0" r="0" b="0"/>
                <wp:wrapNone/>
                <wp:docPr id="163" name="文本框 163"/>
                <wp:cNvGraphicFramePr/>
                <a:graphic xmlns:a="http://schemas.openxmlformats.org/drawingml/2006/main">
                  <a:graphicData uri="http://schemas.microsoft.com/office/word/2010/wordprocessingShape">
                    <wps:wsp>
                      <wps:cNvSpPr txBox="1"/>
                      <wps:spPr>
                        <a:xfrm>
                          <a:off x="0" y="0"/>
                          <a:ext cx="1071245" cy="791845"/>
                        </a:xfrm>
                        <a:prstGeom prst="rect">
                          <a:avLst/>
                        </a:prstGeom>
                        <a:noFill/>
                        <a:ln>
                          <a:noFill/>
                        </a:ln>
                        <a:effectLst/>
                      </wps:spPr>
                      <wps:txbx>
                        <w:txbxContent>
                          <w:p w14:paraId="275EB92F">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实际延误天数</w:t>
                            </w:r>
                          </w:p>
                          <w:p w14:paraId="79D2A649">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的计算</w:t>
                            </w:r>
                          </w:p>
                        </w:txbxContent>
                      </wps:txbx>
                      <wps:bodyPr wrap="square" upright="1"/>
                    </wps:wsp>
                  </a:graphicData>
                </a:graphic>
              </wp:anchor>
            </w:drawing>
          </mc:Choice>
          <mc:Fallback>
            <w:pict>
              <v:shape id="_x0000_s1026" o:spid="_x0000_s1026" o:spt="202" type="#_x0000_t202" style="position:absolute;left:0pt;margin-left:-9pt;margin-top:2.5pt;height:62.35pt;width:84.35pt;z-index:251819008;mso-width-relative:page;mso-height-relative:page;" filled="f" stroked="f" coordsize="21600,21600" o:gfxdata="UEsDBAoAAAAAAIdO4kAAAAAAAAAAAAAAAAAEAAAAZHJzL1BLAwQUAAAACACHTuJAb5n7idYAAAAJ&#10;AQAADwAAAGRycy9kb3ducmV2LnhtbE2PQW/CMAyF75P4D5GRdoOkaB1QmnLYtOsmYJu0W2hMW9E4&#10;VRNo9+8xp+1kW+/p+Xv5dnStuGIfGk8akrkCgVR621Cl4fPwNluBCNGQNa0n1PCLAbbF5CE3mfUD&#10;7fC6j5XgEAqZ0VDH2GVShrJGZ8Lcd0isnXzvTOSzr6TtzcDhrpULpZ6lMw3xh9p0+FJjed5fnIav&#10;99PP95P6qF5d2g1+VJLcWmr9OE3UBkTEMf6Z4Y7P6FAw09FfyAbRapglK+4SNaQ87nqqliCOvCzW&#10;S5BFLv83KG5QSwMEFAAAAAgAh07iQBYNLqG9AQAAbgMAAA4AAABkcnMvZTJvRG9jLnhtbK1TS27b&#10;MBDdF8gdCO5ryW6bpILlAIWRboq2QJID0NTQIsBfOLQlX6C9QVfddN9z+RwZSoqbppssuqGG83mc&#10;92a0vOqtYXuIqL2r+XxWcgZO+ka7bc3vbq9fX3KGSbhGGO+g5gdAfrU6e7XsQgUL33rTQGQE4rDq&#10;Qs3blEJVFChbsAJnPoCjoPLRikTXuC2aKDpCt6ZYlOV50fnYhOglIJJ3PQb5hBhfAuiV0hLWXu4s&#10;uDSiRjAiESVsdUC+GrpVCmT6ohRCYqbmxDQNJz1C9iafxWopqm0UodVyakG8pIVnnKzQjh49Qa1F&#10;EmwX9T9QVsvo0as0k94WI5FBEWIxL59pc9OKAAMXkhrDSXT8f7Dy8/5rZLqhTTh/w5kTlkZ+/PH9&#10;+PP38dc3lp0kURewosybQLmp/+B7Sn/0Izkz815Fm7/EiVGcBD6cBIY+MZmLyov54u07ziTFLt7P&#10;L8km+OJPdYiYPoK3LBs1jzTAQVex/4RpTH1MyY85f62NGYZo3F8Owhw9MGzBVJ2JjA1nK/WbfmK3&#10;8c2ByHW0CTXH+52IwNkuRL1tqY2BbJFLaAxDv9PK5Dk/vZP99DdZPQ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vmfuJ1gAAAAkBAAAPAAAAAAAAAAEAIAAAACIAAABkcnMvZG93bnJldi54bWxQSwEC&#10;FAAUAAAACACHTuJAFg0uob0BAABuAwAADgAAAAAAAAABACAAAAAlAQAAZHJzL2Uyb0RvYy54bWxQ&#10;SwUGAAAAAAYABgBZAQAAVAUAAAAA&#10;">
                <v:fill on="f" focussize="0,0"/>
                <v:stroke on="f"/>
                <v:imagedata o:title=""/>
                <o:lock v:ext="edit" aspectratio="f"/>
                <v:textbox>
                  <w:txbxContent>
                    <w:p w14:paraId="275EB92F">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实际延误天数</w:t>
                      </w:r>
                    </w:p>
                    <w:p w14:paraId="79D2A649">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的计算</w:t>
                      </w:r>
                    </w:p>
                  </w:txbxContent>
                </v:textbox>
              </v:shape>
            </w:pict>
          </mc:Fallback>
        </mc:AlternateContent>
      </w:r>
      <w:r>
        <w:rPr>
          <w:rFonts w:hint="default" w:ascii="Times New Roman" w:hAnsi="Times New Roman" w:cs="Times New Roman"/>
          <w:caps/>
          <w:color w:val="auto"/>
          <w:sz w:val="22"/>
          <w:szCs w:val="22"/>
          <w:highlight w:val="none"/>
        </w:rPr>
        <w:t>误期（实际延误天数）按照实际施工天数减去计划施工天数计算，其公式为：</w:t>
      </w:r>
    </w:p>
    <w:p w14:paraId="61143B8B">
      <w:pPr>
        <w:spacing w:line="420" w:lineRule="exact"/>
        <w:ind w:firstLine="2200" w:firstLineChars="1000"/>
        <w:rPr>
          <w:rFonts w:hint="default" w:ascii="Times New Roman" w:hAnsi="Times New Roman" w:cs="Times New Roman"/>
          <w:caps/>
          <w:color w:val="auto"/>
          <w:sz w:val="22"/>
          <w:szCs w:val="22"/>
          <w:highlight w:val="none"/>
        </w:rPr>
      </w:pPr>
      <w:r>
        <w:rPr>
          <w:rFonts w:hint="default" w:ascii="Times New Roman" w:hAnsi="Times New Roman" w:cs="Times New Roman"/>
          <w:caps/>
          <w:color w:val="auto"/>
          <w:sz w:val="22"/>
          <w:szCs w:val="22"/>
          <w:highlight w:val="none"/>
        </w:rPr>
        <w:t>实际延误天数＝实际施工天数 － 计划施工天数</w:t>
      </w:r>
    </w:p>
    <w:p w14:paraId="5833AC9F">
      <w:pPr>
        <w:spacing w:line="420" w:lineRule="exact"/>
        <w:ind w:left="1680" w:leftChars="800"/>
        <w:rPr>
          <w:rFonts w:hint="default" w:ascii="Times New Roman" w:hAnsi="Times New Roman" w:cs="Times New Roman"/>
          <w:caps/>
          <w:color w:val="auto"/>
          <w:sz w:val="22"/>
          <w:szCs w:val="22"/>
          <w:highlight w:val="none"/>
        </w:rPr>
      </w:pPr>
      <w:r>
        <w:rPr>
          <w:rFonts w:hint="default" w:ascii="Times New Roman" w:hAnsi="Times New Roman" w:cs="Times New Roman"/>
          <w:caps/>
          <w:color w:val="auto"/>
          <w:sz w:val="22"/>
          <w:szCs w:val="22"/>
          <w:highlight w:val="none"/>
        </w:rPr>
        <w:t>合同工程发生误期，承包人应赔偿发包人由此造成的损失，并按照第66.2款规定向发包人支付误期赔偿费。</w:t>
      </w:r>
    </w:p>
    <w:p w14:paraId="7E87AD15">
      <w:pPr>
        <w:pStyle w:val="15"/>
        <w:adjustRightInd w:val="0"/>
        <w:snapToGrid w:val="0"/>
        <w:spacing w:line="420" w:lineRule="exact"/>
        <w:ind w:right="-238"/>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5D76B207">
      <w:pPr>
        <w:spacing w:line="420" w:lineRule="exact"/>
        <w:jc w:val="center"/>
        <w:outlineLvl w:val="1"/>
        <w:rPr>
          <w:rFonts w:hint="default" w:ascii="Times New Roman" w:hAnsi="Times New Roman" w:eastAsia="方正小标宋_GBK" w:cs="Times New Roman"/>
          <w:b/>
          <w:bCs/>
          <w:color w:val="auto"/>
          <w:sz w:val="24"/>
          <w:szCs w:val="24"/>
          <w:highlight w:val="none"/>
        </w:rPr>
      </w:pPr>
      <w:bookmarkStart w:id="176" w:name="_Toc469384023"/>
      <w:bookmarkStart w:id="177" w:name="_Toc1754037984"/>
      <w:bookmarkStart w:id="178" w:name="_Toc19386"/>
      <w:r>
        <w:rPr>
          <w:rFonts w:hint="default" w:ascii="Times New Roman" w:hAnsi="Times New Roman" w:eastAsia="方正小标宋_GBK" w:cs="Times New Roman"/>
          <w:b/>
          <w:bCs/>
          <w:color w:val="auto"/>
          <w:sz w:val="24"/>
          <w:szCs w:val="24"/>
          <w:highlight w:val="none"/>
        </w:rPr>
        <w:t>五、质量与安全</w:t>
      </w:r>
      <w:bookmarkEnd w:id="176"/>
      <w:bookmarkEnd w:id="177"/>
      <w:bookmarkEnd w:id="178"/>
    </w:p>
    <w:p w14:paraId="6079B87F">
      <w:pPr>
        <w:pStyle w:val="15"/>
        <w:adjustRightInd w:val="0"/>
        <w:snapToGrid w:val="0"/>
        <w:spacing w:line="420" w:lineRule="exact"/>
        <w:outlineLvl w:val="2"/>
        <w:rPr>
          <w:rFonts w:hint="default" w:ascii="Times New Roman" w:hAnsi="Times New Roman" w:cs="Times New Roman"/>
          <w:b/>
          <w:bCs/>
          <w:color w:val="auto"/>
          <w:sz w:val="22"/>
          <w:szCs w:val="22"/>
          <w:highlight w:val="none"/>
        </w:rPr>
      </w:pPr>
      <w:bookmarkStart w:id="179" w:name="_Toc469384024"/>
      <w:bookmarkStart w:id="180" w:name="_Toc30098"/>
      <w:r>
        <w:rPr>
          <w:rFonts w:hint="default" w:ascii="Times New Roman" w:hAnsi="Times New Roman" w:cs="Times New Roman"/>
          <w:b/>
          <w:bCs/>
          <w:color w:val="auto"/>
          <w:sz w:val="22"/>
          <w:szCs w:val="22"/>
          <w:highlight w:val="none"/>
        </w:rPr>
        <w:t>★41  质量与安全管理</w:t>
      </w:r>
      <w:bookmarkEnd w:id="179"/>
      <w:bookmarkEnd w:id="180"/>
    </w:p>
    <w:p w14:paraId="6A5F03AA">
      <w:pPr>
        <w:tabs>
          <w:tab w:val="left" w:pos="780"/>
        </w:tabs>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41.1 </w:t>
      </w:r>
      <w:r>
        <w:rPr>
          <w:rFonts w:hint="default" w:ascii="Times New Roman" w:hAnsi="Times New Roman" w:cs="Times New Roman"/>
          <w:b/>
          <w:bCs/>
          <w:color w:val="auto"/>
          <w:sz w:val="22"/>
          <w:szCs w:val="22"/>
          <w:highlight w:val="none"/>
        </w:rPr>
        <w:tab/>
      </w:r>
    </w:p>
    <w:p w14:paraId="2FB6193A">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20032" behindDoc="0" locked="0" layoutInCell="1" allowOverlap="1">
                <wp:simplePos x="0" y="0"/>
                <wp:positionH relativeFrom="column">
                  <wp:posOffset>-114300</wp:posOffset>
                </wp:positionH>
                <wp:positionV relativeFrom="paragraph">
                  <wp:posOffset>-6350</wp:posOffset>
                </wp:positionV>
                <wp:extent cx="914400" cy="526415"/>
                <wp:effectExtent l="0" t="0" r="0" b="0"/>
                <wp:wrapNone/>
                <wp:docPr id="165" name="文本框 165"/>
                <wp:cNvGraphicFramePr/>
                <a:graphic xmlns:a="http://schemas.openxmlformats.org/drawingml/2006/main">
                  <a:graphicData uri="http://schemas.microsoft.com/office/word/2010/wordprocessingShape">
                    <wps:wsp>
                      <wps:cNvSpPr txBox="1"/>
                      <wps:spPr>
                        <a:xfrm>
                          <a:off x="0" y="0"/>
                          <a:ext cx="914400" cy="526415"/>
                        </a:xfrm>
                        <a:prstGeom prst="rect">
                          <a:avLst/>
                        </a:prstGeom>
                        <a:noFill/>
                        <a:ln>
                          <a:noFill/>
                        </a:ln>
                        <a:effectLst/>
                      </wps:spPr>
                      <wps:txbx>
                        <w:txbxContent>
                          <w:p w14:paraId="4D1490F5">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履行职责和义务</w:t>
                            </w:r>
                          </w:p>
                        </w:txbxContent>
                      </wps:txbx>
                      <wps:bodyPr wrap="square" upright="1"/>
                    </wps:wsp>
                  </a:graphicData>
                </a:graphic>
              </wp:anchor>
            </w:drawing>
          </mc:Choice>
          <mc:Fallback>
            <w:pict>
              <v:shape id="_x0000_s1026" o:spid="_x0000_s1026" o:spt="202" type="#_x0000_t202" style="position:absolute;left:0pt;margin-left:-9pt;margin-top:-0.5pt;height:41.45pt;width:72pt;z-index:251820032;mso-width-relative:page;mso-height-relative:page;" filled="f" stroked="f" coordsize="21600,21600" o:gfxdata="UEsDBAoAAAAAAIdO4kAAAAAAAAAAAAAAAAAEAAAAZHJzL1BLAwQUAAAACACHTuJA7WfNPdUAAAAJ&#10;AQAADwAAAGRycy9kb3ducmV2LnhtbE2PQW/CMAyF75P4D5GRdoOkaEOla8qBaddNY4C0W2hMW9E4&#10;VRNo9+/nnraTn+Wn5+/l29G14o59aDxpSJYKBFLpbUOVhsPX2yIFEaIha1pPqOEHA2yL2UNuMusH&#10;+sT7PlaCQyhkRkMdY5dJGcoanQlL3yHx7eJ7ZyKvfSVtbwYOd61cKbWWzjTEH2rT4a7G8rq/OQ3H&#10;98v36Ul9VK/uuRv8qCS5jdT6cZ6oFxARx/hnhgmf0aFgprO/kQ2i1bBIUu4SJ8FzMqzWLM4a0mQD&#10;ssjl/wbFL1BLAwQUAAAACACHTuJAW2R+WLwBAABtAwAADgAAAGRycy9lMm9Eb2MueG1srVNLbtsw&#10;EN0X6B0I7mvJhmO0guUAgZFuirZA2gPQ1MgiwF85tCVfoL1BV91033P5HB1SipOmmyyyoYbzeZz3&#10;ZrS+HoxmRwionK35fFZyBla6Rtl9zb9+uX3zljOMwjZCOws1PwHy683rV+veV7BwndMNBEYgFqve&#10;17yL0VdFgbIDI3DmPFgKti4YEeka9kUTRE/oRheLslwVvQuND04CInm3Y5BPiOE5gK5tlYStkwcD&#10;No6oAbSIRAk75ZFvcrdtCzJ+aluEyHTNiWnMJz1C9i6dxWYtqn0QvlNyakE8p4UnnIxQlh69QG1F&#10;FOwQ1H9QRsng0LVxJp0pRiJZEWIxL59oc9cJD5kLSY3+Ijq+HKz8ePwcmGpoE1ZXnFlhaOTnnz/O&#10;v/6cf39nyUkS9R4ryrzzlBuHGzdQ+r0fyZmYD20w6UucGMVJ4NNFYBgik+R8N18uS4pICl0tVst5&#10;Ri8ein3A+B6cYcmoeaD5ZVnF8QNGaoRS71PSW9bdKq3zDLX9x0GJowfyEkzVicfYb7LisBsmcjvX&#10;nIhbT4tQc/x2EAE4O/ig9h21kbkWqYSmkJuYNiaN+fGd7Md/yeY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7WfNPdUAAAAJAQAADwAAAAAAAAABACAAAAAiAAAAZHJzL2Rvd25yZXYueG1sUEsBAhQA&#10;FAAAAAgAh07iQFtkfli8AQAAbQMAAA4AAAAAAAAAAQAgAAAAJAEAAGRycy9lMm9Eb2MueG1sUEsF&#10;BgAAAAAGAAYAWQEAAFIFAAAAAA==&#10;">
                <v:fill on="f" focussize="0,0"/>
                <v:stroke on="f"/>
                <v:imagedata o:title=""/>
                <o:lock v:ext="edit" aspectratio="f"/>
                <v:textbox>
                  <w:txbxContent>
                    <w:p w14:paraId="4D1490F5">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履行职责和义务</w:t>
                      </w:r>
                    </w:p>
                  </w:txbxContent>
                </v:textbox>
              </v:shape>
            </w:pict>
          </mc:Fallback>
        </mc:AlternateContent>
      </w:r>
      <w:r>
        <w:rPr>
          <w:rFonts w:hint="default" w:ascii="Times New Roman" w:hAnsi="Times New Roman" w:cs="Times New Roman"/>
          <w:color w:val="auto"/>
          <w:sz w:val="22"/>
          <w:szCs w:val="22"/>
          <w:highlight w:val="none"/>
        </w:rPr>
        <w:t>合同双方当事人应严格遵守国家、省有关工程质量和施工安全的法律法规、标准与规范等规定，认真履行合同约定的工程质量和施工安全的职责和义务。如发生质量、安全方面的问题、隐患，合同双方当事人应按照国家规定时限如实上报政府有关部门，配合政府有关部门的调查、处理，由此发生的费用和（或）延误的工期由责任方承担。</w:t>
      </w:r>
    </w:p>
    <w:p w14:paraId="016C9F36">
      <w:pPr>
        <w:pStyle w:val="7"/>
        <w:adjustRightInd w:val="0"/>
        <w:snapToGrid w:val="0"/>
        <w:spacing w:line="420" w:lineRule="exact"/>
        <w:ind w:firstLine="0"/>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41.2  </w:t>
      </w:r>
      <w:r>
        <w:rPr>
          <w:rFonts w:hint="default" w:ascii="Times New Roman" w:hAnsi="Times New Roman" w:cs="Times New Roman"/>
          <w:b/>
          <w:bCs/>
          <w:color w:val="auto"/>
          <w:sz w:val="22"/>
          <w:szCs w:val="22"/>
          <w:highlight w:val="none"/>
          <w:u w:val="dotted"/>
        </w:rPr>
        <w:t xml:space="preserve">                                                                               </w:t>
      </w:r>
    </w:p>
    <w:p w14:paraId="434B88CB">
      <w:pPr>
        <w:pStyle w:val="7"/>
        <w:adjustRightInd w:val="0"/>
        <w:snapToGrid w:val="0"/>
        <w:spacing w:line="420" w:lineRule="exact"/>
        <w:ind w:left="1619" w:leftChars="771"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21056" behindDoc="0" locked="0" layoutInCell="1" allowOverlap="1">
                <wp:simplePos x="0" y="0"/>
                <wp:positionH relativeFrom="column">
                  <wp:posOffset>-114300</wp:posOffset>
                </wp:positionH>
                <wp:positionV relativeFrom="paragraph">
                  <wp:posOffset>35560</wp:posOffset>
                </wp:positionV>
                <wp:extent cx="914400" cy="410210"/>
                <wp:effectExtent l="0" t="0" r="0" b="0"/>
                <wp:wrapNone/>
                <wp:docPr id="166" name="文本框 166"/>
                <wp:cNvGraphicFramePr/>
                <a:graphic xmlns:a="http://schemas.openxmlformats.org/drawingml/2006/main">
                  <a:graphicData uri="http://schemas.microsoft.com/office/word/2010/wordprocessingShape">
                    <wps:wsp>
                      <wps:cNvSpPr txBox="1"/>
                      <wps:spPr>
                        <a:xfrm>
                          <a:off x="0" y="0"/>
                          <a:ext cx="914400" cy="410210"/>
                        </a:xfrm>
                        <a:prstGeom prst="rect">
                          <a:avLst/>
                        </a:prstGeom>
                        <a:noFill/>
                        <a:ln>
                          <a:noFill/>
                        </a:ln>
                        <a:effectLst/>
                      </wps:spPr>
                      <wps:txbx>
                        <w:txbxContent>
                          <w:p w14:paraId="396A12A3">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质量与安全的监管</w:t>
                            </w:r>
                          </w:p>
                        </w:txbxContent>
                      </wps:txbx>
                      <wps:bodyPr wrap="square" upright="1"/>
                    </wps:wsp>
                  </a:graphicData>
                </a:graphic>
              </wp:anchor>
            </w:drawing>
          </mc:Choice>
          <mc:Fallback>
            <w:pict>
              <v:shape id="_x0000_s1026" o:spid="_x0000_s1026" o:spt="202" type="#_x0000_t202" style="position:absolute;left:0pt;margin-left:-9pt;margin-top:2.8pt;height:32.3pt;width:72pt;z-index:251821056;mso-width-relative:page;mso-height-relative:page;" filled="f" stroked="f" coordsize="21600,21600" o:gfxdata="UEsDBAoAAAAAAIdO4kAAAAAAAAAAAAAAAAAEAAAAZHJzL1BLAwQUAAAACACHTuJAxS7iW9UAAAAI&#10;AQAADwAAAGRycy9kb3ducmV2LnhtbE2PzW7CMBCE75V4B2srcQM7EaQQsuFA1Wur0h+pNxMvSdR4&#10;HcWGpG9fc2qPoxnNfFPsJ9uJKw2+dYyQLBUI4sqZlmuE97enxQaED5qN7hwTwg952Jezu0Lnxo38&#10;StdjqEUsYZ9rhCaEPpfSVw1Z7ZeuJ47e2Q1WhyiHWppBj7HcdjJVKpNWtxwXGt3ToaHq+3ixCB/P&#10;56/PlXqpH+26H92kJNutRJzfJ2oHItAU/sJww4/oUEamk7uw8aJDWCSb+CUgrDMQNz/Noj4hPKgU&#10;ZFnI/wfKX1BLAwQUAAAACACHTuJAmO4cHrwBAABtAwAADgAAAGRycy9lMm9Eb2MueG1srVPNjtMw&#10;EL4j8Q6W7zRJVVUQNV0JVcsFAdLCA7jOuLEU/+Bxm/QF4A04ceHOc/U5GDvZ7rJc9sDFGc/P5/m+&#10;mWxuRtOzEwTUzja8WpScgZWu1fbQ8C+fb1+95gyjsK3onYWGnwH5zfbli83ga1i6zvUtBEYgFuvB&#10;N7yL0ddFgbIDI3DhPFgKKheMiHQNh6INYiB00xfLslwXgwutD04CInl3U5DPiOE5gE4pLWHn5NGA&#10;jRNqgF5EooSd9si3uVulQMaPSiFE1jecmMZ80iNk79NZbDeiPgThOy3nFsRzWnjCyQht6dEr1E5E&#10;wY5B/wNltAwOnYoL6UwxEcmKEIuqfKLNXSc8ZC4kNfqr6Pj/YOWH06fAdEubsF5zZoWhkV9+fL/8&#10;/H359Y0lJ0k0eKwp885TbhzfupHS7/1IzsR8VMGkL3FiFCeBz1eBYYxMkvNNtVqVFJEUWlXlssoD&#10;KB6KfcD4DpxhyWh4oPllWcXpPUZqhFLvU9Jb1t3qvs8z7O1fDkqcPJCXYK5OPKZ+kxXH/TiT27v2&#10;TNwGWoSG49ejCMDZ0Qd96KiNzLVIJTSF3MS8MWnMj+9kP/5Ltn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xS7iW9UAAAAIAQAADwAAAAAAAAABACAAAAAiAAAAZHJzL2Rvd25yZXYueG1sUEsBAhQA&#10;FAAAAAgAh07iQJjuHB68AQAAbQMAAA4AAAAAAAAAAQAgAAAAJAEAAGRycy9lMm9Eb2MueG1sUEsF&#10;BgAAAAAGAAYAWQEAAFIFAAAAAA==&#10;">
                <v:fill on="f" focussize="0,0"/>
                <v:stroke on="f"/>
                <v:imagedata o:title=""/>
                <o:lock v:ext="edit" aspectratio="f"/>
                <v:textbox>
                  <w:txbxContent>
                    <w:p w14:paraId="396A12A3">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质量与安全的监管</w:t>
                      </w:r>
                    </w:p>
                  </w:txbxContent>
                </v:textbox>
              </v:shape>
            </w:pict>
          </mc:Fallback>
        </mc:AlternateContent>
      </w:r>
      <w:r>
        <w:rPr>
          <w:rFonts w:hint="default" w:ascii="Times New Roman" w:hAnsi="Times New Roman" w:cs="Times New Roman"/>
          <w:color w:val="auto"/>
          <w:sz w:val="22"/>
          <w:szCs w:val="22"/>
          <w:highlight w:val="none"/>
        </w:rPr>
        <w:t>发包人在领取施工许可证或者开工报告之前，应按照国家有关规定办理合同工程质量和施工安全监督手续。承包人应在施工场地设置专门的工程质量和施工安全管理机构，配备专职管理人员，建立完善的管理制度。</w:t>
      </w:r>
    </w:p>
    <w:p w14:paraId="7F004A09">
      <w:pPr>
        <w:pStyle w:val="7"/>
        <w:adjustRightInd w:val="0"/>
        <w:snapToGrid w:val="0"/>
        <w:spacing w:line="420" w:lineRule="exact"/>
        <w:ind w:firstLine="0"/>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22080" behindDoc="0" locked="0" layoutInCell="1" allowOverlap="1">
                <wp:simplePos x="0" y="0"/>
                <wp:positionH relativeFrom="column">
                  <wp:posOffset>-114300</wp:posOffset>
                </wp:positionH>
                <wp:positionV relativeFrom="paragraph">
                  <wp:posOffset>277495</wp:posOffset>
                </wp:positionV>
                <wp:extent cx="914400" cy="342900"/>
                <wp:effectExtent l="0" t="0" r="0" b="0"/>
                <wp:wrapNone/>
                <wp:docPr id="167" name="文本框 167"/>
                <wp:cNvGraphicFramePr/>
                <a:graphic xmlns:a="http://schemas.openxmlformats.org/drawingml/2006/main">
                  <a:graphicData uri="http://schemas.microsoft.com/office/word/2010/wordprocessingShape">
                    <wps:wsp>
                      <wps:cNvSpPr txBox="1"/>
                      <wps:spPr>
                        <a:xfrm>
                          <a:off x="0" y="0"/>
                          <a:ext cx="914400" cy="342900"/>
                        </a:xfrm>
                        <a:prstGeom prst="rect">
                          <a:avLst/>
                        </a:prstGeom>
                        <a:noFill/>
                        <a:ln>
                          <a:noFill/>
                        </a:ln>
                        <a:effectLst/>
                      </wps:spPr>
                      <wps:txbx>
                        <w:txbxContent>
                          <w:p w14:paraId="7AA9185A">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管理的要求</w:t>
                            </w:r>
                          </w:p>
                        </w:txbxContent>
                      </wps:txbx>
                      <wps:bodyPr wrap="square" upright="1"/>
                    </wps:wsp>
                  </a:graphicData>
                </a:graphic>
              </wp:anchor>
            </w:drawing>
          </mc:Choice>
          <mc:Fallback>
            <w:pict>
              <v:shape id="_x0000_s1026" o:spid="_x0000_s1026" o:spt="202" type="#_x0000_t202" style="position:absolute;left:0pt;margin-left:-9pt;margin-top:21.85pt;height:27pt;width:72pt;z-index:251822080;mso-width-relative:page;mso-height-relative:page;" filled="f" stroked="f" coordsize="21600,21600" o:gfxdata="UEsDBAoAAAAAAIdO4kAAAAAAAAAAAAAAAAAEAAAAZHJzL1BLAwQUAAAACACHTuJAP5Azu9cAAAAJ&#10;AQAADwAAAGRycy9kb3ducmV2LnhtbE2PwW7CMBBE75X4B2sr9QZ2KCWQZsOBqtdWBVqpNxMvSdR4&#10;HcWGpH9fcyrH2RnNvsk3o23FhXrfOEZIZgoEcelMwxXCYf86XYHwQbPRrWNC+CUPm2Jyl+vMuIE/&#10;6LILlYgl7DONUIfQZVL6siar/cx1xNE7ud7qEGVfSdPrIZbbVs6VWkqrG44fat3RtqbyZ3e2CJ9v&#10;p++vhXqvXuxTN7hRSbZrifhwn6hnEIHG8B+GK35EhyIyHd2ZjRctwjRZxS0BYfGYgrgG5st4OCKs&#10;0xRkkcvbBcUfUEsDBBQAAAAIAIdO4kDxsqHbvAEAAG0DAAAOAAAAZHJzL2Uyb0RvYy54bWytU0tu&#10;2zAQ3RfIHQjuY8qukTaC5QCFkW6KtkCaA9DU0CIgfsqhLfkC7Q266qb7nsvn6FBSnDTdZNENNZzP&#10;47w3o9VNb1t2gIjGu4rPZwVn4JSvjdtV/P7L7eVbzjBJV8vWO6j4EZDfrC9erbpQwsI3vq0hMgJx&#10;WHah4k1KoRQCVQNW4swHcBTUPlqZ6Bp3oo6yI3TbikVRXInOxzpErwCRvJsxyCfE+BJAr7VRsPFq&#10;b8GlETVCKxNRwsYE5OuhW61BpU9aIyTWVpyYpuGkR8je5lOsV7LcRRkao6YW5EtaeMbJSuPo0TPU&#10;RibJ9tH8A2WNih69TjPlrRiJDIoQi3nxTJu7RgYYuJDUGM6i4/+DVR8PnyMzNW3C1RvOnLQ08tOP&#10;76efv0+/vrHsJIm6gCVl3gXKTf0731P6gx/JmZn3Otr8JU6M4iTw8Sww9Ikpcl7Pl8uCIopCr5eL&#10;a7IJXTwWh4jpPXjLslHxSPMbZJWHD5jG1IeU/Jbzt6Zthxm27i8HYY4eGJZgqs48xn6zlfptP5Hb&#10;+vpI3DpahIrj172MwNk+RLNrqI2Bq8glNIWh32lj8pif3sl++pes/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kDO71wAAAAkBAAAPAAAAAAAAAAEAIAAAACIAAABkcnMvZG93bnJldi54bWxQSwEC&#10;FAAUAAAACACHTuJA8bKh27wBAABtAwAADgAAAAAAAAABACAAAAAmAQAAZHJzL2Uyb0RvYy54bWxQ&#10;SwUGAAAAAAYABgBZAQAAVAUAAAAA&#10;">
                <v:fill on="f" focussize="0,0"/>
                <v:stroke on="f"/>
                <v:imagedata o:title=""/>
                <o:lock v:ext="edit" aspectratio="f"/>
                <v:textbox>
                  <w:txbxContent>
                    <w:p w14:paraId="7AA9185A">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管理的要求</w:t>
                      </w:r>
                    </w:p>
                  </w:txbxContent>
                </v:textbox>
              </v:shape>
            </w:pict>
          </mc:Fallback>
        </mc:AlternateContent>
      </w:r>
      <w:r>
        <w:rPr>
          <w:rFonts w:hint="default" w:ascii="Times New Roman" w:hAnsi="Times New Roman" w:cs="Times New Roman"/>
          <w:b/>
          <w:bCs/>
          <w:color w:val="auto"/>
          <w:sz w:val="22"/>
          <w:szCs w:val="22"/>
          <w:highlight w:val="none"/>
        </w:rPr>
        <w:t xml:space="preserve">41.3  </w:t>
      </w:r>
      <w:r>
        <w:rPr>
          <w:rFonts w:hint="default" w:ascii="Times New Roman" w:hAnsi="Times New Roman" w:cs="Times New Roman"/>
          <w:b/>
          <w:bCs/>
          <w:color w:val="auto"/>
          <w:sz w:val="22"/>
          <w:szCs w:val="22"/>
          <w:highlight w:val="none"/>
          <w:u w:val="dotted"/>
        </w:rPr>
        <w:t xml:space="preserve">                                                                                                       </w:t>
      </w:r>
    </w:p>
    <w:p w14:paraId="7C1914D4">
      <w:pPr>
        <w:pStyle w:val="7"/>
        <w:adjustRightInd w:val="0"/>
        <w:snapToGrid w:val="0"/>
        <w:spacing w:line="420" w:lineRule="exact"/>
        <w:ind w:left="1619" w:leftChars="771"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发包人不得以任何理由，要求承包人在施工作业中违反法律法规、工程建设强制性标准，以及工程质量和施工安全标准，降低合同工程质量。承包人应加强对施工作业人员的工程质量和施工安全教育培训，定期考核施工作业人员的劳动技能，加强工程质量和施工安全管理。</w:t>
      </w:r>
    </w:p>
    <w:p w14:paraId="638CF629">
      <w:pPr>
        <w:pStyle w:val="7"/>
        <w:adjustRightInd w:val="0"/>
        <w:snapToGrid w:val="0"/>
        <w:spacing w:line="420" w:lineRule="exact"/>
        <w:ind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23104" behindDoc="0" locked="0" layoutInCell="1" allowOverlap="1">
                <wp:simplePos x="0" y="0"/>
                <wp:positionH relativeFrom="column">
                  <wp:posOffset>-115570</wp:posOffset>
                </wp:positionH>
                <wp:positionV relativeFrom="paragraph">
                  <wp:posOffset>279400</wp:posOffset>
                </wp:positionV>
                <wp:extent cx="914400" cy="389890"/>
                <wp:effectExtent l="0" t="0" r="0" b="0"/>
                <wp:wrapNone/>
                <wp:docPr id="168" name="文本框 168"/>
                <wp:cNvGraphicFramePr/>
                <a:graphic xmlns:a="http://schemas.openxmlformats.org/drawingml/2006/main">
                  <a:graphicData uri="http://schemas.microsoft.com/office/word/2010/wordprocessingShape">
                    <wps:wsp>
                      <wps:cNvSpPr txBox="1"/>
                      <wps:spPr>
                        <a:xfrm>
                          <a:off x="0" y="0"/>
                          <a:ext cx="914400" cy="389890"/>
                        </a:xfrm>
                        <a:prstGeom prst="rect">
                          <a:avLst/>
                        </a:prstGeom>
                        <a:noFill/>
                        <a:ln>
                          <a:noFill/>
                        </a:ln>
                        <a:effectLst/>
                      </wps:spPr>
                      <wps:txbx>
                        <w:txbxContent>
                          <w:p w14:paraId="1BB41668">
                            <w:pPr>
                              <w:spacing w:line="240" w:lineRule="exact"/>
                              <w:jc w:val="lef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承包人对质量与安全负责</w:t>
                            </w:r>
                          </w:p>
                        </w:txbxContent>
                      </wps:txbx>
                      <wps:bodyPr wrap="square" upright="1"/>
                    </wps:wsp>
                  </a:graphicData>
                </a:graphic>
              </wp:anchor>
            </w:drawing>
          </mc:Choice>
          <mc:Fallback>
            <w:pict>
              <v:shape id="_x0000_s1026" o:spid="_x0000_s1026" o:spt="202" type="#_x0000_t202" style="position:absolute;left:0pt;margin-left:-9.1pt;margin-top:22pt;height:30.7pt;width:72pt;z-index:251823104;mso-width-relative:page;mso-height-relative:page;" filled="f" stroked="f" coordsize="21600,21600" o:gfxdata="UEsDBAoAAAAAAIdO4kAAAAAAAAAAAAAAAAAEAAAAZHJzL1BLAwQUAAAACACHTuJAt3YQS9YAAAAK&#10;AQAADwAAAGRycy9kb3ducmV2LnhtbE2PwU7DMAyG70i8Q2Sk3bakVYtGabrDJq5MjIHELWu8tqJx&#10;qiZby9vjneBmy59+f3+5mV0vrjiGzpOGZKVAINXedtRoOL6/LNcgQjRkTe8JNfxggE11f1eawvqJ&#10;3vB6iI3gEAqF0dDGOBRShrpFZ8LKD0h8O/vRmcjr2Eg7monDXS9TpR6lMx3xh9YMuG2x/j5cnIaP&#10;1/PXZ6b2zc7lw+RnJck9Sa0XD4l6BhFxjn8w3PRZHSp2OvkL2SB6DctknTKqIcu40w1Ic+5y4kHl&#10;GciqlP8rVL9QSwMEFAAAAAgAh07iQPzdnMu9AQAAbQMAAA4AAABkcnMvZTJvRG9jLnhtbK1TS27b&#10;MBDdF8gdCO5jykkQ2ILlAIWRbIq2QNoD0NTIIiB+yqEt+QLtDbrqpvuey+fokFLcNN1k0Q01nM/j&#10;vDej1d1gOnaAgNrZis9nBWdglau13VX886f7ywVnGKWtZecsVPwIyO/WF29WvS/hyrWuqyEwArFY&#10;9r7ibYy+FAJVC0bizHmwFGxcMDLSNexEHWRP6KYTV0VxK3oXah+cAkTybsYgnxDDawBd02gFG6f2&#10;BmwcUQN0MhIlbLVHvs7dNg2o+KFpECLrKk5MYz7pEbK36RTrlSx3QfpWq6kF+ZoWXnAyUlt69Ay1&#10;kVGyfdD/QBmtgkPXxJlyRoxEsiLEYl680OaxlR4yF5Ia/Vl0/H+w6v3hY2C6pk24pcFbaWjkp+/f&#10;Tj9+nX5+ZclJEvUeS8p89JQbh7duoPQnP5IzMR+aYNKXODGKk8DHs8AwRKbIuZzf3BQUURS6XiwX&#10;yzwA8afYB4wP4AxLRsUDzS/LKg/vMFIjlPqUkt6y7l53XZ5hZ/9yUOLogbwEU3XiMfabrDhsh4nc&#10;1tVH4tbTIlQcv+xlAM72PuhdS21kriKV0BRyE9PGpDE/v5P9/C9Z/w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3dhBL1gAAAAoBAAAPAAAAAAAAAAEAIAAAACIAAABkcnMvZG93bnJldi54bWxQSwEC&#10;FAAUAAAACACHTuJA/N2cy70BAABtAwAADgAAAAAAAAABACAAAAAlAQAAZHJzL2Uyb0RvYy54bWxQ&#10;SwUGAAAAAAYABgBZAQAAVAUAAAAA&#10;">
                <v:fill on="f" focussize="0,0"/>
                <v:stroke on="f"/>
                <v:imagedata o:title=""/>
                <o:lock v:ext="edit" aspectratio="f"/>
                <v:textbox>
                  <w:txbxContent>
                    <w:p w14:paraId="1BB41668">
                      <w:pPr>
                        <w:spacing w:line="240" w:lineRule="exact"/>
                        <w:jc w:val="lef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承包人对质量与安全负责</w:t>
                      </w:r>
                    </w:p>
                  </w:txbxContent>
                </v:textbox>
              </v:shape>
            </w:pict>
          </mc:Fallback>
        </mc:AlternateContent>
      </w:r>
      <w:r>
        <w:rPr>
          <w:rFonts w:hint="default" w:ascii="Times New Roman" w:hAnsi="Times New Roman" w:cs="Times New Roman"/>
          <w:b/>
          <w:bCs/>
          <w:color w:val="auto"/>
          <w:sz w:val="22"/>
          <w:szCs w:val="22"/>
          <w:highlight w:val="none"/>
        </w:rPr>
        <w:t xml:space="preserve">41.4  </w:t>
      </w:r>
      <w:r>
        <w:rPr>
          <w:rFonts w:hint="default" w:ascii="Times New Roman" w:hAnsi="Times New Roman" w:cs="Times New Roman"/>
          <w:b/>
          <w:bCs/>
          <w:color w:val="auto"/>
          <w:sz w:val="22"/>
          <w:szCs w:val="22"/>
          <w:highlight w:val="none"/>
          <w:u w:val="dotted"/>
        </w:rPr>
        <w:t xml:space="preserve"> </w:t>
      </w:r>
      <w:r>
        <w:rPr>
          <w:rFonts w:hint="default" w:ascii="Times New Roman" w:hAnsi="Times New Roman" w:cs="Times New Roman"/>
          <w:color w:val="auto"/>
          <w:sz w:val="22"/>
          <w:szCs w:val="22"/>
          <w:highlight w:val="none"/>
          <w:u w:val="dotted"/>
        </w:rPr>
        <w:t xml:space="preserve">                                                                                                       </w:t>
      </w:r>
    </w:p>
    <w:p w14:paraId="273C736B">
      <w:pPr>
        <w:pStyle w:val="7"/>
        <w:adjustRightInd w:val="0"/>
        <w:snapToGrid w:val="0"/>
        <w:spacing w:line="420" w:lineRule="exact"/>
        <w:ind w:left="1619" w:leftChars="771"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承包人应对合同工程质量和施工安全负责，严格执行国家、省有关工程质量和施工安全的操作规程及管理要求，按照施工设计图纸和施工技术标准施工，不得偷工减料，不得擅自修改施工设计图纸，确保合同工程质量和施工安全。</w:t>
      </w:r>
    </w:p>
    <w:p w14:paraId="33ECBCB3">
      <w:pPr>
        <w:pStyle w:val="7"/>
        <w:adjustRightInd w:val="0"/>
        <w:snapToGrid w:val="0"/>
        <w:spacing w:line="420" w:lineRule="exact"/>
        <w:ind w:left="1619" w:leftChars="771" w:firstLine="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因承包人原因造成工程质量未达到合同约定标准的，发包人有权要求承包人返工直至工程质量达到合同约定的标准为止，并由承包人承担由此增加的费用和延误工期的责任。</w:t>
      </w:r>
    </w:p>
    <w:p w14:paraId="6F14A115">
      <w:pPr>
        <w:pStyle w:val="7"/>
        <w:adjustRightInd w:val="0"/>
        <w:snapToGrid w:val="0"/>
        <w:spacing w:line="420" w:lineRule="exact"/>
        <w:ind w:firstLine="0"/>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 xml:space="preserve">41.5  </w:t>
      </w:r>
      <w:r>
        <w:rPr>
          <w:rFonts w:hint="default" w:ascii="Times New Roman" w:hAnsi="Times New Roman" w:cs="Times New Roman"/>
          <w:b/>
          <w:bCs/>
          <w:color w:val="auto"/>
          <w:sz w:val="22"/>
          <w:szCs w:val="22"/>
          <w:highlight w:val="none"/>
          <w:u w:val="dotted"/>
        </w:rPr>
        <w:t xml:space="preserve"> </w:t>
      </w:r>
      <w:r>
        <w:rPr>
          <w:rFonts w:hint="default" w:ascii="Times New Roman" w:hAnsi="Times New Roman" w:cs="Times New Roman"/>
          <w:color w:val="auto"/>
          <w:sz w:val="22"/>
          <w:szCs w:val="22"/>
          <w:highlight w:val="none"/>
          <w:u w:val="dotted"/>
        </w:rPr>
        <w:t xml:space="preserve">                                                                                </w:t>
      </w:r>
    </w:p>
    <w:p w14:paraId="024E5A58">
      <w:pPr>
        <w:autoSpaceDE w:val="0"/>
        <w:autoSpaceDN w:val="0"/>
        <w:adjustRightInd w:val="0"/>
        <w:spacing w:line="420" w:lineRule="exact"/>
        <w:ind w:left="1619" w:leftChars="771"/>
        <w:jc w:val="lef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24128" behindDoc="0" locked="0" layoutInCell="1" allowOverlap="1">
                <wp:simplePos x="0" y="0"/>
                <wp:positionH relativeFrom="column">
                  <wp:posOffset>-114300</wp:posOffset>
                </wp:positionH>
                <wp:positionV relativeFrom="paragraph">
                  <wp:posOffset>13970</wp:posOffset>
                </wp:positionV>
                <wp:extent cx="914400" cy="594360"/>
                <wp:effectExtent l="0" t="0" r="0" b="0"/>
                <wp:wrapNone/>
                <wp:docPr id="169" name="文本框 169"/>
                <wp:cNvGraphicFramePr/>
                <a:graphic xmlns:a="http://schemas.openxmlformats.org/drawingml/2006/main">
                  <a:graphicData uri="http://schemas.microsoft.com/office/word/2010/wordprocessingShape">
                    <wps:wsp>
                      <wps:cNvSpPr txBox="1"/>
                      <wps:spPr>
                        <a:xfrm>
                          <a:off x="0" y="0"/>
                          <a:ext cx="914400" cy="594360"/>
                        </a:xfrm>
                        <a:prstGeom prst="rect">
                          <a:avLst/>
                        </a:prstGeom>
                        <a:noFill/>
                        <a:ln>
                          <a:noFill/>
                        </a:ln>
                        <a:effectLst/>
                      </wps:spPr>
                      <wps:txbx>
                        <w:txbxContent>
                          <w:p w14:paraId="6B041D8F">
                            <w:pPr>
                              <w:spacing w:line="240" w:lineRule="exact"/>
                              <w:jc w:val="left"/>
                              <w:rPr>
                                <w:rFonts w:ascii="楷体_GB2312" w:hAnsi="宋体" w:eastAsia="楷体_GB2312" w:cs="Times New Roman"/>
                                <w:b/>
                                <w:bCs/>
                                <w:sz w:val="18"/>
                                <w:szCs w:val="18"/>
                              </w:rPr>
                            </w:pPr>
                            <w:r>
                              <w:rPr>
                                <w:rFonts w:hint="eastAsia" w:ascii="楷体_GB2312" w:hAnsi="宋体" w:eastAsia="楷体_GB2312" w:cs="楷体_GB2312"/>
                                <w:b/>
                                <w:bCs/>
                                <w:sz w:val="18"/>
                                <w:szCs w:val="18"/>
                              </w:rPr>
                              <w:t>发包人对质量与安全应负的责任</w:t>
                            </w:r>
                          </w:p>
                        </w:txbxContent>
                      </wps:txbx>
                      <wps:bodyPr wrap="square" upright="1"/>
                    </wps:wsp>
                  </a:graphicData>
                </a:graphic>
              </wp:anchor>
            </w:drawing>
          </mc:Choice>
          <mc:Fallback>
            <w:pict>
              <v:shape id="_x0000_s1026" o:spid="_x0000_s1026" o:spt="202" type="#_x0000_t202" style="position:absolute;left:0pt;margin-left:-9pt;margin-top:1.1pt;height:46.8pt;width:72pt;z-index:251824128;mso-width-relative:page;mso-height-relative:page;" filled="f" stroked="f" coordsize="21600,21600" o:gfxdata="UEsDBAoAAAAAAIdO4kAAAAAAAAAAAAAAAAAEAAAAZHJzL1BLAwQUAAAACACHTuJAVtjQ0tUAAAAI&#10;AQAADwAAAGRycy9kb3ducmV2LnhtbE2PzW7CMBCE75X6DtZW4gZ2IkAhZMMB1Gur0h+pNxMvSUS8&#10;jmJD0revObXH0Yxmvil2k+3EjQbfOkZIFgoEceVMyzXCx/vzPAPhg2ajO8eE8EMeduXjQ6Fz40Z+&#10;o9sx1CKWsM81QhNCn0vpq4as9gvXE0fv7AarQ5RDLc2gx1huO5kqtZZWtxwXGt3TvqHqcrxahM+X&#10;8/fXUr3WB7vqRzcpyXYjEWdPidqCCDSFvzDc8SM6lJHp5K5svOgQ5kkWvwSENAVx99N11CeEzSoD&#10;WRby/4HyF1BLAwQUAAAACACHTuJAZ1Inkr0BAABtAwAADgAAAGRycy9lMm9Eb2MueG1srVPNjtMw&#10;EL4j8Q6W7zTpUioaNV1pVS0XBEgLD+A648ZS/IPHbdIXgDfgxIU7z9XnYOxky7Jc9rAXZzw/n+f7&#10;ZrK+HkzHjhBQO1vz+azkDKx0jbb7mn/5fPvqLWcYhW1E5yzU/ATIrzcvX6x7X8GVa13XQGAEYrHq&#10;fc3bGH1VFChbMAJnzoOloHLBiEjXsC+aIHpCN11xVZbLoneh8cFJQCTvdgzyCTE8BdAppSVsnTwY&#10;sHFEDdCJSJSw1R75JnerFMj4USmEyLqaE9OYT3qE7F06i81aVPsgfKvl1IJ4SguPOBmhLT16gdqK&#10;KNgh6P+gjJbBoVNxJp0pRiJZEWIxLx9pc9cKD5kLSY3+Ijo+H6z8cPwUmG5oE5YrzqwwNPLzj+/n&#10;n7/Pv76x5CSJeo8VZd55yo3DjRso/d6P5EzMBxVM+hInRnES+HQRGIbIJDlX88WipIik0JvV4vUy&#10;D6D4W+wDxnfgDEtGzQPNL8sqju8xUiOUep+S3rLuVnddnmFn/3FQ4uiBvARTdeIx9pusOOyGidzO&#10;NSfi1tMi1By/HkQAzg4+6H1LbWSuRSqhKeQmpo1JY354J/vhX7L5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FbY0NLVAAAACAEAAA8AAAAAAAAAAQAgAAAAIgAAAGRycy9kb3ducmV2LnhtbFBLAQIU&#10;ABQAAAAIAIdO4kBnUieSvQEAAG0DAAAOAAAAAAAAAAEAIAAAACQBAABkcnMvZTJvRG9jLnhtbFBL&#10;BQYAAAAABgAGAFkBAABTBQAAAAA=&#10;">
                <v:fill on="f" focussize="0,0"/>
                <v:stroke on="f"/>
                <v:imagedata o:title=""/>
                <o:lock v:ext="edit" aspectratio="f"/>
                <v:textbox>
                  <w:txbxContent>
                    <w:p w14:paraId="6B041D8F">
                      <w:pPr>
                        <w:spacing w:line="240" w:lineRule="exact"/>
                        <w:jc w:val="left"/>
                        <w:rPr>
                          <w:rFonts w:ascii="楷体_GB2312" w:hAnsi="宋体" w:eastAsia="楷体_GB2312" w:cs="Times New Roman"/>
                          <w:b/>
                          <w:bCs/>
                          <w:sz w:val="18"/>
                          <w:szCs w:val="18"/>
                        </w:rPr>
                      </w:pPr>
                      <w:r>
                        <w:rPr>
                          <w:rFonts w:hint="eastAsia" w:ascii="楷体_GB2312" w:hAnsi="宋体" w:eastAsia="楷体_GB2312" w:cs="楷体_GB2312"/>
                          <w:b/>
                          <w:bCs/>
                          <w:sz w:val="18"/>
                          <w:szCs w:val="18"/>
                        </w:rPr>
                        <w:t>发包人对质量与安全应负的责任</w:t>
                      </w:r>
                    </w:p>
                  </w:txbxContent>
                </v:textbox>
              </v:shape>
            </w:pict>
          </mc:Fallback>
        </mc:AlternateContent>
      </w:r>
      <w:r>
        <w:rPr>
          <w:rFonts w:hint="default" w:ascii="Times New Roman" w:hAnsi="Times New Roman" w:cs="Times New Roman"/>
          <w:color w:val="auto"/>
          <w:kern w:val="0"/>
          <w:sz w:val="22"/>
          <w:szCs w:val="22"/>
          <w:highlight w:val="none"/>
        </w:rPr>
        <w:t>因发包人原因造成工程质量未达到合同约定标准的，由发包人承担由此增加的费用和延误工期的责任，增加的费用按本合同相关条款以及投标报价或预算的计价原则计算。</w:t>
      </w:r>
    </w:p>
    <w:p w14:paraId="160E8A51">
      <w:pPr>
        <w:autoSpaceDE w:val="0"/>
        <w:autoSpaceDN w:val="0"/>
        <w:adjustRightInd w:val="0"/>
        <w:spacing w:line="420" w:lineRule="exact"/>
        <w:jc w:val="left"/>
        <w:rPr>
          <w:rFonts w:hint="default" w:ascii="Times New Roman" w:hAnsi="Times New Roman" w:cs="Times New Roman"/>
          <w:color w:val="auto"/>
          <w:sz w:val="22"/>
          <w:szCs w:val="22"/>
          <w:highlight w:val="none"/>
          <w:u w:val="dotted"/>
        </w:rPr>
      </w:pPr>
      <w:r>
        <w:rPr>
          <w:rFonts w:hint="default" w:ascii="Times New Roman" w:hAnsi="Times New Roman" w:cs="Times New Roman"/>
          <w:b/>
          <w:bCs/>
          <w:color w:val="auto"/>
          <w:sz w:val="22"/>
          <w:szCs w:val="22"/>
          <w:highlight w:val="none"/>
        </w:rPr>
        <w:t xml:space="preserve">41.6 </w:t>
      </w:r>
      <w:r>
        <w:rPr>
          <w:rFonts w:hint="default" w:ascii="Times New Roman" w:hAnsi="Times New Roman" w:cs="Times New Roman"/>
          <w:b/>
          <w:bCs/>
          <w:color w:val="auto"/>
          <w:sz w:val="22"/>
          <w:szCs w:val="22"/>
          <w:highlight w:val="none"/>
          <w:u w:val="dotted"/>
        </w:rPr>
        <w:t xml:space="preserve"> </w:t>
      </w:r>
      <w:r>
        <w:rPr>
          <w:rFonts w:hint="default" w:ascii="Times New Roman" w:hAnsi="Times New Roman" w:cs="Times New Roman"/>
          <w:color w:val="auto"/>
          <w:sz w:val="22"/>
          <w:szCs w:val="22"/>
          <w:highlight w:val="none"/>
          <w:u w:val="dotted"/>
        </w:rPr>
        <w:t xml:space="preserve">                                                                               </w:t>
      </w:r>
    </w:p>
    <w:p w14:paraId="12DC92C5">
      <w:pPr>
        <w:autoSpaceDE w:val="0"/>
        <w:autoSpaceDN w:val="0"/>
        <w:adjustRightInd w:val="0"/>
        <w:spacing w:line="420" w:lineRule="exact"/>
        <w:ind w:left="1619" w:leftChars="771"/>
        <w:jc w:val="lef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25152" behindDoc="0" locked="0" layoutInCell="1" allowOverlap="1">
                <wp:simplePos x="0" y="0"/>
                <wp:positionH relativeFrom="column">
                  <wp:posOffset>-114300</wp:posOffset>
                </wp:positionH>
                <wp:positionV relativeFrom="paragraph">
                  <wp:posOffset>16510</wp:posOffset>
                </wp:positionV>
                <wp:extent cx="800100" cy="495300"/>
                <wp:effectExtent l="0" t="0" r="0" b="0"/>
                <wp:wrapNone/>
                <wp:docPr id="170" name="文本框 170"/>
                <wp:cNvGraphicFramePr/>
                <a:graphic xmlns:a="http://schemas.openxmlformats.org/drawingml/2006/main">
                  <a:graphicData uri="http://schemas.microsoft.com/office/word/2010/wordprocessingShape">
                    <wps:wsp>
                      <wps:cNvSpPr txBox="1"/>
                      <wps:spPr>
                        <a:xfrm>
                          <a:off x="0" y="0"/>
                          <a:ext cx="800100" cy="495300"/>
                        </a:xfrm>
                        <a:prstGeom prst="rect">
                          <a:avLst/>
                        </a:prstGeom>
                        <a:noFill/>
                        <a:ln>
                          <a:noFill/>
                        </a:ln>
                        <a:effectLst/>
                      </wps:spPr>
                      <wps:txbx>
                        <w:txbxContent>
                          <w:p w14:paraId="61BF4653">
                            <w:pPr>
                              <w:rPr>
                                <w:rFonts w:cs="Times New Roman"/>
                                <w:color w:val="FF0000"/>
                              </w:rPr>
                            </w:pPr>
                            <w:r>
                              <w:rPr>
                                <w:rFonts w:hint="eastAsia" w:ascii="楷体_GB2312" w:hAnsi="宋体" w:eastAsia="楷体_GB2312" w:cs="楷体_GB2312"/>
                                <w:b/>
                                <w:bCs/>
                                <w:sz w:val="18"/>
                                <w:szCs w:val="18"/>
                              </w:rPr>
                              <w:t>监理人的质量检查和检验</w:t>
                            </w:r>
                          </w:p>
                        </w:txbxContent>
                      </wps:txbx>
                      <wps:bodyPr wrap="square" upright="1"/>
                    </wps:wsp>
                  </a:graphicData>
                </a:graphic>
              </wp:anchor>
            </w:drawing>
          </mc:Choice>
          <mc:Fallback>
            <w:pict>
              <v:shape id="_x0000_s1026" o:spid="_x0000_s1026" o:spt="202" type="#_x0000_t202" style="position:absolute;left:0pt;margin-left:-9pt;margin-top:1.3pt;height:39pt;width:63pt;z-index:251825152;mso-width-relative:page;mso-height-relative:page;" filled="f" stroked="f" coordsize="21600,21600" o:gfxdata="UEsDBAoAAAAAAIdO4kAAAAAAAAAAAAAAAAAEAAAAZHJzL1BLAwQUAAAACACHTuJAOJGxBNQAAAAI&#10;AQAADwAAAGRycy9kb3ducmV2LnhtbE2PwU7DMBBE75X4B2uRemvtVCUKIZseQFxb0QISNzfeJhHx&#10;OordJvw9zgmOoxnNvCl2k+3EjQbfOkZI1goEceVMyzXC++l1lYHwQbPRnWNC+CEPu/JuUejcuJHf&#10;6HYMtYgl7HON0ITQ51L6qiGr/dr1xNG7uMHqEOVQSzPoMZbbTm6USqXVLceFRvf03FD1fbxahI/9&#10;5etzqw71i33oRzcpyfZRIi7vE/UEItAU/sIw40d0KCPT2V3ZeNEhrJIsfgkImxTE7KtZnxEylYIs&#10;C/n/QPkLUEsDBBQAAAAIAIdO4kBgFyrWuQEAAG0DAAAOAAAAZHJzL2Uyb0RvYy54bWytU0uO1DAQ&#10;3SNxB8t7OpnhN0SdHgm1hg0CpIEDuJ1yx5J/uNyd9AXgBqzYsOdcfY4pO5lmPptZsHHK9Xmu96qy&#10;vBytYXuIqL1r+dmi5gyc9J1225Z/+3r14oIzTMJ1wngHLT8A8svV82fLITRw7ntvOoiMQBw2Q2h5&#10;n1JoqgplD1bgwgdwFFQ+WpHoGrdVF8VA6NZU53X9php87EL0EhDJu56CfEaMTwH0SmkJay93Flya&#10;UCMYkYgS9jogX5VulQKZPiuFkJhpOTFN5aRHyN7ks1otRbONIvRazi2Ip7TwgJMV2tGjJ6i1SILt&#10;on4EZbWMHr1KC+ltNREpihCLs/qBNte9CFC4kNQYTqLj/4OVn/ZfItMdbcJb0sQJSyM//vp5/P33&#10;+OcHy06SaAjYUOZ1oNw0vvcjpd/6kZyZ+aiizV/ixChOYIeTwDAmJsl5URNJikgKvXr3+iXZhF79&#10;Kw4R0wfwlmWj5ZHmV2QV+4+YptTblPyW81famDJD4+45CHPyQFmCuTrzmPrNVho340xu47sDcRto&#10;EVqO33ciAme7EPW2pzYK1yqX0BRKv/PG5DHfvZN99y9Z3Q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A4kbEE1AAAAAgBAAAPAAAAAAAAAAEAIAAAACIAAABkcnMvZG93bnJldi54bWxQSwECFAAUAAAA&#10;CACHTuJAYBcq1rkBAABtAwAADgAAAAAAAAABACAAAAAjAQAAZHJzL2Uyb0RvYy54bWxQSwUGAAAA&#10;AAYABgBZAQAATgUAAAAA&#10;">
                <v:fill on="f" focussize="0,0"/>
                <v:stroke on="f"/>
                <v:imagedata o:title=""/>
                <o:lock v:ext="edit" aspectratio="f"/>
                <v:textbox>
                  <w:txbxContent>
                    <w:p w14:paraId="61BF4653">
                      <w:pPr>
                        <w:rPr>
                          <w:rFonts w:cs="Times New Roman"/>
                          <w:color w:val="FF0000"/>
                        </w:rPr>
                      </w:pPr>
                      <w:r>
                        <w:rPr>
                          <w:rFonts w:hint="eastAsia" w:ascii="楷体_GB2312" w:hAnsi="宋体" w:eastAsia="楷体_GB2312" w:cs="楷体_GB2312"/>
                          <w:b/>
                          <w:bCs/>
                          <w:sz w:val="18"/>
                          <w:szCs w:val="18"/>
                        </w:rPr>
                        <w:t>监理人的质量检查和检验</w:t>
                      </w:r>
                    </w:p>
                  </w:txbxContent>
                </v:textbox>
              </v:shape>
            </w:pict>
          </mc:Fallback>
        </mc:AlternateContent>
      </w:r>
      <w:r>
        <w:rPr>
          <w:rFonts w:hint="default" w:ascii="Times New Roman" w:hAnsi="Times New Roman" w:cs="Times New Roman"/>
          <w:color w:val="auto"/>
          <w:kern w:val="0"/>
          <w:sz w:val="22"/>
          <w:szCs w:val="22"/>
          <w:highlight w:val="none"/>
        </w:rPr>
        <w:t>监理人按照法律规定和发包人授权对工程的所有部位及其施工工艺、材料和工程设备进行检查和检验。承包人应为监理人的检查和检验提供方便，包括监理人到施工现场，或制造、加工地点，或合同约定的其他地方进行察看和查阅施工原始记录。监理人为此进行的检查和检验，不免除或减轻承包人按照合同约定应当承担的责任。</w:t>
      </w:r>
    </w:p>
    <w:p w14:paraId="0F058444">
      <w:pPr>
        <w:pStyle w:val="7"/>
        <w:adjustRightInd w:val="0"/>
        <w:snapToGrid w:val="0"/>
        <w:spacing w:line="420" w:lineRule="exact"/>
        <w:ind w:firstLine="0"/>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2FE60CAF">
      <w:pPr>
        <w:pStyle w:val="7"/>
        <w:adjustRightInd w:val="0"/>
        <w:snapToGrid w:val="0"/>
        <w:spacing w:line="420" w:lineRule="exact"/>
        <w:ind w:firstLine="0"/>
        <w:outlineLvl w:val="2"/>
        <w:rPr>
          <w:rFonts w:hint="default" w:ascii="Times New Roman" w:hAnsi="Times New Roman" w:cs="Times New Roman"/>
          <w:b/>
          <w:bCs/>
          <w:color w:val="auto"/>
          <w:sz w:val="22"/>
          <w:szCs w:val="22"/>
          <w:highlight w:val="none"/>
        </w:rPr>
      </w:pPr>
      <w:bookmarkStart w:id="181" w:name="_Toc528"/>
      <w:bookmarkStart w:id="182" w:name="_Toc469384025"/>
      <w:r>
        <w:rPr>
          <w:rFonts w:hint="default" w:ascii="Times New Roman" w:hAnsi="Times New Roman" w:cs="Times New Roman"/>
          <w:b/>
          <w:bCs/>
          <w:color w:val="auto"/>
          <w:sz w:val="22"/>
          <w:szCs w:val="22"/>
          <w:highlight w:val="none"/>
        </w:rPr>
        <w:t>★42  质量标准</w:t>
      </w:r>
      <w:bookmarkEnd w:id="181"/>
      <w:bookmarkEnd w:id="182"/>
    </w:p>
    <w:p w14:paraId="44ADDEE0">
      <w:pPr>
        <w:adjustRightInd w:val="0"/>
        <w:snapToGrid w:val="0"/>
        <w:spacing w:line="420" w:lineRule="exact"/>
        <w:jc w:val="lef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42.1 </w:t>
      </w:r>
    </w:p>
    <w:p w14:paraId="627789EF">
      <w:pPr>
        <w:adjustRightInd w:val="0"/>
        <w:snapToGrid w:val="0"/>
        <w:spacing w:line="420" w:lineRule="exact"/>
        <w:ind w:left="1619" w:leftChars="771"/>
        <w:jc w:val="lef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26176" behindDoc="0" locked="0" layoutInCell="1" allowOverlap="1">
                <wp:simplePos x="0" y="0"/>
                <wp:positionH relativeFrom="column">
                  <wp:posOffset>-114300</wp:posOffset>
                </wp:positionH>
                <wp:positionV relativeFrom="paragraph">
                  <wp:posOffset>8255</wp:posOffset>
                </wp:positionV>
                <wp:extent cx="914400" cy="389890"/>
                <wp:effectExtent l="0" t="0" r="0" b="0"/>
                <wp:wrapNone/>
                <wp:docPr id="171" name="文本框 171"/>
                <wp:cNvGraphicFramePr/>
                <a:graphic xmlns:a="http://schemas.openxmlformats.org/drawingml/2006/main">
                  <a:graphicData uri="http://schemas.microsoft.com/office/word/2010/wordprocessingShape">
                    <wps:wsp>
                      <wps:cNvSpPr txBox="1"/>
                      <wps:spPr>
                        <a:xfrm>
                          <a:off x="0" y="0"/>
                          <a:ext cx="914400" cy="389890"/>
                        </a:xfrm>
                        <a:prstGeom prst="rect">
                          <a:avLst/>
                        </a:prstGeom>
                        <a:noFill/>
                        <a:ln>
                          <a:noFill/>
                        </a:ln>
                        <a:effectLst/>
                      </wps:spPr>
                      <wps:txbx>
                        <w:txbxContent>
                          <w:p w14:paraId="34213F17">
                            <w:pPr>
                              <w:spacing w:line="240" w:lineRule="exact"/>
                              <w:jc w:val="lef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约定工程质量标准</w:t>
                            </w:r>
                          </w:p>
                        </w:txbxContent>
                      </wps:txbx>
                      <wps:bodyPr wrap="square" upright="1"/>
                    </wps:wsp>
                  </a:graphicData>
                </a:graphic>
              </wp:anchor>
            </w:drawing>
          </mc:Choice>
          <mc:Fallback>
            <w:pict>
              <v:shape id="_x0000_s1026" o:spid="_x0000_s1026" o:spt="202" type="#_x0000_t202" style="position:absolute;left:0pt;margin-left:-9pt;margin-top:0.65pt;height:30.7pt;width:72pt;z-index:251826176;mso-width-relative:page;mso-height-relative:page;" filled="f" stroked="f" coordsize="21600,21600" o:gfxdata="UEsDBAoAAAAAAIdO4kAAAAAAAAAAAAAAAAAEAAAAZHJzL1BLAwQUAAAACACHTuJA0IwP89UAAAAI&#10;AQAADwAAAGRycy9kb3ducmV2LnhtbE2PwU7DMBBE70j8g7VI3Fo7AdKSxukBxBVEaStxc+NtEjVe&#10;R7HbhL9ne4Lj6K1m3xTryXXigkNoPWlI5goEUuVtS7WG7dfbbAkiREPWdJ5Qww8GWJe3N4XJrR/p&#10;Ey+bWAsuoZAbDU2MfS5lqBp0Jsx9j8Ts6AdnIsehlnYwI5e7TqZKZdKZlvhDY3p8abA6bc5Ow+79&#10;+L1/VB/1q3vqRz8pSe5Zan1/l6gViIhT/DuGqz6rQ8lOB38mG0SnYZYseUtk8ADiytOM80FDli5A&#10;loX8P6D8BVBLAwQUAAAACACHTuJAVZXC770BAABtAwAADgAAAGRycy9lMm9Eb2MueG1srVNLbtsw&#10;EN0X6B0I7mvJSdDaguUAhZFsgrZA2gPQ1NAiIH7CoS35Au0Nuuqm+57L5+iQUtw03WTRDTWcz+O8&#10;N6PV9WA6doCA2tmaz2clZ2Cla7Td1fzL55s3C84wCtuIzlmo+RGQX69fv1r1voIL17qugcAIxGLV&#10;+5q3MfqqKFC2YATOnAdLQeWCEZGuYVc0QfSEbrrioizfFr0LjQ9OAiJ5N2OQT4jhJYBOKS1h4+Te&#10;gI0jaoBORKKErfbI17lbpUDGj0ohRNbVnJjGfNIjZG/TWaxXotoF4VstpxbES1p4xskIbenRM9RG&#10;RMH2Qf8DZbQMDp2KM+lMMRLJihCLeflMm/tWeMhcSGr0Z9Hx/8HKD4dPgemGNuHdnDMrDI389P3b&#10;6cev08+vLDlJot5jRZn3nnLj8N4NlP7oR3Im5oMKJn2JE6M4CXw8CwxDZJKcy/nVVUkRSaHLxXKx&#10;zAMo/hT7gPEWnGHJqHmg+WVZxeEOIzVCqY8p6S3rbnTX5Rl29i8HJY4eyEswVSceY7/JisN2mMht&#10;XXMkbj0tQs3xYS8CcLb3Qe9aaiNzLVIJTSE3MW1MGvPTO9lP/5L1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NCMD/PVAAAACAEAAA8AAAAAAAAAAQAgAAAAIgAAAGRycy9kb3ducmV2LnhtbFBLAQIU&#10;ABQAAAAIAIdO4kBVlcLvvQEAAG0DAAAOAAAAAAAAAAEAIAAAACQBAABkcnMvZTJvRG9jLnhtbFBL&#10;BQYAAAAABgAGAFkBAABTBQAAAAA=&#10;">
                <v:fill on="f" focussize="0,0"/>
                <v:stroke on="f"/>
                <v:imagedata o:title=""/>
                <o:lock v:ext="edit" aspectratio="f"/>
                <v:textbox>
                  <w:txbxContent>
                    <w:p w14:paraId="34213F17">
                      <w:pPr>
                        <w:spacing w:line="240" w:lineRule="exact"/>
                        <w:jc w:val="lef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约定工程质量标准</w:t>
                      </w:r>
                    </w:p>
                  </w:txbxContent>
                </v:textbox>
              </v:shape>
            </w:pict>
          </mc:Fallback>
        </mc:AlternateContent>
      </w:r>
      <w:r>
        <w:rPr>
          <w:rFonts w:hint="default" w:ascii="Times New Roman" w:hAnsi="Times New Roman" w:cs="Times New Roman"/>
          <w:color w:val="auto"/>
          <w:sz w:val="22"/>
          <w:szCs w:val="22"/>
          <w:highlight w:val="none"/>
        </w:rPr>
        <w:t>合同双方当事人应在专用条款中约定工程质量标准，但不得低于国家或行业的强制性标准。工程质量应当达到专用条款约定的质量标准。</w:t>
      </w:r>
    </w:p>
    <w:p w14:paraId="59502D70">
      <w:pPr>
        <w:adjustRightInd w:val="0"/>
        <w:snapToGrid w:val="0"/>
        <w:spacing w:line="420" w:lineRule="exact"/>
        <w:ind w:left="1619" w:leftChars="771"/>
        <w:jc w:val="lef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工程质量验收，按照合同约定的标准执行；合同没有约定的，按照国家或行业的质量验收标准执行。</w:t>
      </w:r>
    </w:p>
    <w:p w14:paraId="7231F0AC">
      <w:pPr>
        <w:adjustRightInd w:val="0"/>
        <w:snapToGrid w:val="0"/>
        <w:spacing w:line="420" w:lineRule="exact"/>
        <w:jc w:val="lef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27200" behindDoc="0" locked="0" layoutInCell="1" allowOverlap="1">
                <wp:simplePos x="0" y="0"/>
                <wp:positionH relativeFrom="column">
                  <wp:posOffset>-114300</wp:posOffset>
                </wp:positionH>
                <wp:positionV relativeFrom="paragraph">
                  <wp:posOffset>256540</wp:posOffset>
                </wp:positionV>
                <wp:extent cx="977900" cy="471805"/>
                <wp:effectExtent l="0" t="0" r="0" b="0"/>
                <wp:wrapNone/>
                <wp:docPr id="178" name="文本框 178"/>
                <wp:cNvGraphicFramePr/>
                <a:graphic xmlns:a="http://schemas.openxmlformats.org/drawingml/2006/main">
                  <a:graphicData uri="http://schemas.microsoft.com/office/word/2010/wordprocessingShape">
                    <wps:wsp>
                      <wps:cNvSpPr txBox="1"/>
                      <wps:spPr>
                        <a:xfrm>
                          <a:off x="0" y="0"/>
                          <a:ext cx="977900" cy="471805"/>
                        </a:xfrm>
                        <a:prstGeom prst="rect">
                          <a:avLst/>
                        </a:prstGeom>
                        <a:noFill/>
                        <a:ln>
                          <a:noFill/>
                        </a:ln>
                        <a:effectLst/>
                      </wps:spPr>
                      <wps:txbx>
                        <w:txbxContent>
                          <w:p w14:paraId="4E2FCCC6">
                            <w:pPr>
                              <w:spacing w:line="240" w:lineRule="exact"/>
                              <w:jc w:val="lef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承包人保证工程质量的职责</w:t>
                            </w:r>
                          </w:p>
                        </w:txbxContent>
                      </wps:txbx>
                      <wps:bodyPr wrap="square" upright="1"/>
                    </wps:wsp>
                  </a:graphicData>
                </a:graphic>
              </wp:anchor>
            </w:drawing>
          </mc:Choice>
          <mc:Fallback>
            <w:pict>
              <v:shape id="_x0000_s1026" o:spid="_x0000_s1026" o:spt="202" type="#_x0000_t202" style="position:absolute;left:0pt;margin-left:-9pt;margin-top:20.2pt;height:37.15pt;width:77pt;z-index:251827200;mso-width-relative:page;mso-height-relative:page;" filled="f" stroked="f" coordsize="21600,21600" o:gfxdata="UEsDBAoAAAAAAIdO4kAAAAAAAAAAAAAAAAAEAAAAZHJzL1BLAwQUAAAACACHTuJAZ9WCL9cAAAAK&#10;AQAADwAAAGRycy9kb3ducmV2LnhtbE2PT0/DMAzF70h8h8hI3DanUMYoTXcAcQUx/kjcssZrKxqn&#10;arK1fHu8E9xsv6fn3ys3s+/VkcbYBTaQLTUo4jq4jhsD729PizWomCw72wcmAz8UYVOdn5W2cGHi&#10;VzpuU6MkhGNhDbQpDQVirFvyNi7DQCzaPozeJlnHBt1oJwn3PV5pvUJvO5YPrR3ooaX6e3vwBj6e&#10;91+fuX5pHv3NMIVZI/s7NObyItP3oBLN6c8MJ3xBh0qYduHALqrewCJbS5dkINc5qJPheiWHnQxZ&#10;fgtYlfi/QvULUEsDBBQAAAAIAIdO4kA4MJ44vAEAAG0DAAAOAAAAZHJzL2Uyb0RvYy54bWytU0tu&#10;2zAQ3RfIHQjuY8pBUyeC5QCBkWyKtkDaA9DUyCLAXzm0JV+gvUFX3XTfc/kcHUqKm6abLLKhhvN5&#10;nPdmtLzprWF7iKi9q/h8VnAGTvlau23Fv3y+O7/iDJN0tTTeQcUPgPxmdfZm2YUSLnzrTQ2REYjD&#10;sgsVb1MKpRCoWrASZz6Ao2Djo5WJrnEr6ig7QrdGXBTFO9H5WIfoFSCSdz0G+YQYXwLom0YrWHu1&#10;s+DSiBrByESUsNUB+WrotmlApY9Ng5CYqTgxTcNJj5C9yadYLWW5jTK0Wk0tyJe08IyTldrRoyeo&#10;tUyS7aL+D8pqFT36Js2Ut2IkMihCLObFM20eWhlg4EJSYziJjq8Hqz7sP0Wma9qEBQ3eSUsjP/74&#10;fvz5+/jrG8tOkqgLWFLmQ6Dc1N/6ntIf/UjOzLxvos1f4sQoTgIfTgJDn5gi5/VicV1QRFHo7WJ+&#10;VVxmFPG3OERM9+Aty0bFI81vkFXu32MaUx9T8lvO32ljhhka94+DMEcPDEswVWceY7/ZSv2mn8ht&#10;fH0gbh0tQsXx605G4GwXot621MbAVeQSmsLQ77QxecxP72Q//UtWf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n1YIv1wAAAAoBAAAPAAAAAAAAAAEAIAAAACIAAABkcnMvZG93bnJldi54bWxQSwEC&#10;FAAUAAAACACHTuJAODCeOLwBAABtAwAADgAAAAAAAAABACAAAAAmAQAAZHJzL2Uyb0RvYy54bWxQ&#10;SwUGAAAAAAYABgBZAQAAVAUAAAAA&#10;">
                <v:fill on="f" focussize="0,0"/>
                <v:stroke on="f"/>
                <v:imagedata o:title=""/>
                <o:lock v:ext="edit" aspectratio="f"/>
                <v:textbox>
                  <w:txbxContent>
                    <w:p w14:paraId="4E2FCCC6">
                      <w:pPr>
                        <w:spacing w:line="240" w:lineRule="exact"/>
                        <w:jc w:val="lef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承包人保证工程质量的职责</w:t>
                      </w:r>
                    </w:p>
                  </w:txbxContent>
                </v:textbox>
              </v:shape>
            </w:pict>
          </mc:Fallback>
        </mc:AlternateContent>
      </w:r>
      <w:r>
        <w:rPr>
          <w:rFonts w:hint="default" w:ascii="Times New Roman" w:hAnsi="Times New Roman" w:cs="Times New Roman"/>
          <w:b/>
          <w:bCs/>
          <w:color w:val="auto"/>
          <w:sz w:val="22"/>
          <w:szCs w:val="22"/>
          <w:highlight w:val="none"/>
        </w:rPr>
        <w:t>42.2</w:t>
      </w:r>
      <w:r>
        <w:rPr>
          <w:rFonts w:hint="default" w:ascii="Times New Roman" w:hAnsi="Times New Roman" w:cs="Times New Roman"/>
          <w:color w:val="auto"/>
          <w:sz w:val="22"/>
          <w:szCs w:val="22"/>
          <w:highlight w:val="none"/>
        </w:rPr>
        <w:t xml:space="preserve">  </w:t>
      </w:r>
      <w:r>
        <w:rPr>
          <w:rFonts w:hint="default" w:ascii="Times New Roman" w:hAnsi="Times New Roman" w:cs="Times New Roman"/>
          <w:color w:val="auto"/>
          <w:sz w:val="22"/>
          <w:szCs w:val="22"/>
          <w:highlight w:val="none"/>
          <w:u w:val="dotted"/>
        </w:rPr>
        <w:t xml:space="preserve">                                                                                                        </w:t>
      </w:r>
    </w:p>
    <w:p w14:paraId="6BD0CCAF">
      <w:pPr>
        <w:adjustRightInd w:val="0"/>
        <w:snapToGrid w:val="0"/>
        <w:spacing w:line="420" w:lineRule="exact"/>
        <w:ind w:left="1620"/>
        <w:jc w:val="lef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承包人对合同工程的质量向发包人负责，其职责包括但不限于下列内容：</w:t>
      </w:r>
    </w:p>
    <w:p w14:paraId="046CE019">
      <w:pPr>
        <w:adjustRightInd w:val="0"/>
        <w:snapToGrid w:val="0"/>
        <w:spacing w:line="420" w:lineRule="exact"/>
        <w:ind w:left="1620"/>
        <w:jc w:val="lef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(1) 编制施工技术方案，确定施工技术措施；</w:t>
      </w:r>
    </w:p>
    <w:p w14:paraId="33667930">
      <w:pPr>
        <w:adjustRightInd w:val="0"/>
        <w:snapToGrid w:val="0"/>
        <w:spacing w:line="420" w:lineRule="exact"/>
        <w:ind w:left="1620"/>
        <w:jc w:val="lef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(2) 提供和组织足够的工程技术人员，检查和控制工程施工质量；</w:t>
      </w:r>
    </w:p>
    <w:p w14:paraId="7F4B7BF2">
      <w:pPr>
        <w:adjustRightInd w:val="0"/>
        <w:snapToGrid w:val="0"/>
        <w:spacing w:line="420" w:lineRule="exact"/>
        <w:ind w:left="1621"/>
        <w:jc w:val="lef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(3) 控制施工所用的材料和工程设备，使其符合标准与规范、设计要求及合同约定的标准；</w:t>
      </w:r>
    </w:p>
    <w:p w14:paraId="229C144F">
      <w:pPr>
        <w:tabs>
          <w:tab w:val="right" w:pos="9864"/>
        </w:tabs>
        <w:adjustRightInd w:val="0"/>
        <w:snapToGrid w:val="0"/>
        <w:spacing w:line="420" w:lineRule="exact"/>
        <w:ind w:firstLine="1485" w:firstLineChars="675"/>
        <w:jc w:val="lef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(4) 负责合同工程施工中出现质量问题或竣工验收不合格的返修工作；</w:t>
      </w:r>
    </w:p>
    <w:p w14:paraId="10F78600">
      <w:pPr>
        <w:adjustRightInd w:val="0"/>
        <w:snapToGrid w:val="0"/>
        <w:spacing w:line="420" w:lineRule="exact"/>
        <w:ind w:left="1617"/>
        <w:jc w:val="lef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(5) 参加合同工程的所有验收工作，包括隐蔽验收、中间验收；参加竣工验收，组织分包人参加工程验收工作；</w:t>
      </w:r>
    </w:p>
    <w:p w14:paraId="206E583F">
      <w:pPr>
        <w:adjustRightInd w:val="0"/>
        <w:snapToGrid w:val="0"/>
        <w:spacing w:line="420" w:lineRule="exact"/>
        <w:ind w:left="1620"/>
        <w:jc w:val="lef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(6) 承担质量保修期的工程保修责任；</w:t>
      </w:r>
    </w:p>
    <w:p w14:paraId="33CE584D">
      <w:pPr>
        <w:adjustRightInd w:val="0"/>
        <w:snapToGrid w:val="0"/>
        <w:spacing w:line="420" w:lineRule="exact"/>
        <w:ind w:left="1620"/>
        <w:jc w:val="lef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(7) 承担其他工程质量责任。</w:t>
      </w:r>
    </w:p>
    <w:p w14:paraId="1BFC3E07">
      <w:pPr>
        <w:adjustRightInd w:val="0"/>
        <w:snapToGrid w:val="0"/>
        <w:spacing w:line="420" w:lineRule="exact"/>
        <w:jc w:val="left"/>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28224" behindDoc="0" locked="0" layoutInCell="1" allowOverlap="1">
                <wp:simplePos x="0" y="0"/>
                <wp:positionH relativeFrom="column">
                  <wp:posOffset>-114300</wp:posOffset>
                </wp:positionH>
                <wp:positionV relativeFrom="paragraph">
                  <wp:posOffset>291465</wp:posOffset>
                </wp:positionV>
                <wp:extent cx="1028700" cy="245745"/>
                <wp:effectExtent l="0" t="0" r="0" b="0"/>
                <wp:wrapNone/>
                <wp:docPr id="172" name="文本框 172"/>
                <wp:cNvGraphicFramePr/>
                <a:graphic xmlns:a="http://schemas.openxmlformats.org/drawingml/2006/main">
                  <a:graphicData uri="http://schemas.microsoft.com/office/word/2010/wordprocessingShape">
                    <wps:wsp>
                      <wps:cNvSpPr txBox="1"/>
                      <wps:spPr>
                        <a:xfrm>
                          <a:off x="0" y="0"/>
                          <a:ext cx="1028700" cy="245745"/>
                        </a:xfrm>
                        <a:prstGeom prst="rect">
                          <a:avLst/>
                        </a:prstGeom>
                        <a:noFill/>
                        <a:ln>
                          <a:noFill/>
                        </a:ln>
                        <a:effectLst/>
                      </wps:spPr>
                      <wps:txbx>
                        <w:txbxContent>
                          <w:p w14:paraId="74A0690C">
                            <w:pPr>
                              <w:spacing w:line="240" w:lineRule="exact"/>
                              <w:jc w:val="lef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质量保证体系</w:t>
                            </w:r>
                          </w:p>
                        </w:txbxContent>
                      </wps:txbx>
                      <wps:bodyPr wrap="square" upright="1"/>
                    </wps:wsp>
                  </a:graphicData>
                </a:graphic>
              </wp:anchor>
            </w:drawing>
          </mc:Choice>
          <mc:Fallback>
            <w:pict>
              <v:shape id="_x0000_s1026" o:spid="_x0000_s1026" o:spt="202" type="#_x0000_t202" style="position:absolute;left:0pt;margin-left:-9pt;margin-top:22.95pt;height:19.35pt;width:81pt;z-index:251828224;mso-width-relative:page;mso-height-relative:page;" filled="f" stroked="f" coordsize="21600,21600" o:gfxdata="UEsDBAoAAAAAAIdO4kAAAAAAAAAAAAAAAAAEAAAAZHJzL1BLAwQUAAAACACHTuJAgswKw9YAAAAJ&#10;AQAADwAAAGRycy9kb3ducmV2LnhtbE2PzU7DMBCE70i8g7VI3Fo7yK3SNJseQFxBlB+Jmxtvk6jx&#10;OordJrw97gmOszOa/abcza4XFxpD5xkhWyoQxLW3HTcIH+/PixxEiIat6T0Twg8F2FW3N6UprJ/4&#10;jS772IhUwqEwCG2MQyFlqFtyJiz9QJy8ox+diUmOjbSjmVK56+WDUmvpTMfpQ2sGemypPu3PDuHz&#10;5fj9pdVr8+RWw+RnJdltJOL9Xaa2ICLN8S8MV/yEDlViOvgz2yB6hEWWpy0RQa82IK4BrdPhgJDr&#10;NciqlP8XVL9QSwMEFAAAAAgAh07iQJTXgEq8AQAAbgMAAA4AAABkcnMvZTJvRG9jLnhtbK1TS27b&#10;MBDdF+gdCO5rKUJSB4LlAIWRboq2QNoD0NTQIsBfObQlX6C9QVfddN9z+RwdSoqbJpsssqGG83mc&#10;92a0uhmsYQeIqL1r+MWi5Ayc9K12u4Z//XL75pozTMK1wngHDT8C8pv161erPtRQ+c6bFiIjEId1&#10;HxrepRTqokDZgRW48AEcBZWPViS6xl3RRtETujVFVZZvi97HNkQvAZG8mynIZ8T4HECvlJaw8XJv&#10;waUJNYIRiShhpwPy9ditUiDTJ6UQEjMNJ6ZpPOkRsrf5LNYrUe+iCJ2WcwviOS084mSFdvToGWoj&#10;kmD7qJ9AWS2jR6/SQnpbTERGRYjFRflIm7tOBBi5kNQYzqLjy8HKj4fPkemWNmFZceaEpZGffv44&#10;/fpz+v2dZSdJ1AesKfMuUG4a3vmB0u/9SM7MfFDR5i9xYhQngY9ngWFITOaisrpelhSSFKsur5aX&#10;Vxmm+FcdIqb34C3LRsMjDXDUVRw+YJpS71PyY87famPGIRr3n4MwJw+MWzBXZyJTw9lKw3aY2W19&#10;eyRyPW1Cw/HbXkTgbB+i3nXUxki2yCU0hrHfeWXynB/eyX74m6z/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LMCsPWAAAACQEAAA8AAAAAAAAAAQAgAAAAIgAAAGRycy9kb3ducmV2LnhtbFBLAQIU&#10;ABQAAAAIAIdO4kCU14BKvAEAAG4DAAAOAAAAAAAAAAEAIAAAACUBAABkcnMvZTJvRG9jLnhtbFBL&#10;BQYAAAAABgAGAFkBAABTBQAAAAA=&#10;">
                <v:fill on="f" focussize="0,0"/>
                <v:stroke on="f"/>
                <v:imagedata o:title=""/>
                <o:lock v:ext="edit" aspectratio="f"/>
                <v:textbox>
                  <w:txbxContent>
                    <w:p w14:paraId="74A0690C">
                      <w:pPr>
                        <w:spacing w:line="240" w:lineRule="exact"/>
                        <w:jc w:val="lef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质量保证体系</w:t>
                      </w:r>
                    </w:p>
                  </w:txbxContent>
                </v:textbox>
              </v:shape>
            </w:pict>
          </mc:Fallback>
        </mc:AlternateContent>
      </w:r>
      <w:r>
        <w:rPr>
          <w:rFonts w:hint="default" w:ascii="Times New Roman" w:hAnsi="Times New Roman" w:cs="Times New Roman"/>
          <w:b/>
          <w:bCs/>
          <w:color w:val="auto"/>
          <w:sz w:val="22"/>
          <w:szCs w:val="22"/>
          <w:highlight w:val="none"/>
        </w:rPr>
        <w:t xml:space="preserve">42.3 </w:t>
      </w:r>
      <w:r>
        <w:rPr>
          <w:rFonts w:hint="default" w:ascii="Times New Roman" w:hAnsi="Times New Roman" w:cs="Times New Roman"/>
          <w:b/>
          <w:bCs/>
          <w:color w:val="auto"/>
          <w:sz w:val="22"/>
          <w:szCs w:val="22"/>
          <w:highlight w:val="none"/>
          <w:u w:val="dotted"/>
        </w:rPr>
        <w:t xml:space="preserve">                                                                                                        </w:t>
      </w:r>
    </w:p>
    <w:p w14:paraId="3578CB85">
      <w:pPr>
        <w:pStyle w:val="22"/>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承包人应建立健全完善的质量保证体系。</w:t>
      </w:r>
    </w:p>
    <w:p w14:paraId="049B95E2">
      <w:pPr>
        <w:autoSpaceDE w:val="0"/>
        <w:autoSpaceDN w:val="0"/>
        <w:adjustRightInd w:val="0"/>
        <w:spacing w:line="420" w:lineRule="exact"/>
        <w:ind w:left="1556" w:leftChars="741"/>
        <w:jc w:val="lef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（1）承包人应向发包人和监理人提交工程质量保证体系及措施文件，建立完善的质量检查制度，并提交相应的工程质量文件。对于发包人和监理人违反法律规定和合同约定的错误指示，承包人有权拒绝实施。</w:t>
      </w:r>
    </w:p>
    <w:p w14:paraId="363277B5">
      <w:pPr>
        <w:pStyle w:val="22"/>
        <w:adjustRightInd w:val="0"/>
        <w:snapToGrid w:val="0"/>
        <w:spacing w:line="420" w:lineRule="exact"/>
        <w:ind w:left="1418" w:leftChars="675"/>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2）承包人应建立健全完善的质量保证体系，对施工人员进行质量教育和技术培训，定期考核施工人员的劳动技能，严格执行施工规范和操作规程。在合同工程开工前，承包人应向发包人和监理人提交质量保证体系实施程序、施工质量检验制度和施工质量水平评定考核制度等文件、资料。建立完善的质量检查制度，并提交相应的工程质量文件。监理工程师有权要求承包人提交即使承包人遵守质量保证体系，也不能免除其按照合同约定应承担的任何责任和应履行的任何义务。</w:t>
      </w:r>
    </w:p>
    <w:p w14:paraId="49DC966D">
      <w:pPr>
        <w:adjustRightInd w:val="0"/>
        <w:snapToGrid w:val="0"/>
        <w:spacing w:line="420" w:lineRule="exact"/>
        <w:jc w:val="left"/>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29248" behindDoc="0" locked="0" layoutInCell="1" allowOverlap="1">
                <wp:simplePos x="0" y="0"/>
                <wp:positionH relativeFrom="column">
                  <wp:posOffset>-114300</wp:posOffset>
                </wp:positionH>
                <wp:positionV relativeFrom="paragraph">
                  <wp:posOffset>276225</wp:posOffset>
                </wp:positionV>
                <wp:extent cx="967740" cy="449580"/>
                <wp:effectExtent l="0" t="0" r="0" b="0"/>
                <wp:wrapNone/>
                <wp:docPr id="173" name="文本框 173"/>
                <wp:cNvGraphicFramePr/>
                <a:graphic xmlns:a="http://schemas.openxmlformats.org/drawingml/2006/main">
                  <a:graphicData uri="http://schemas.microsoft.com/office/word/2010/wordprocessingShape">
                    <wps:wsp>
                      <wps:cNvSpPr txBox="1"/>
                      <wps:spPr>
                        <a:xfrm>
                          <a:off x="0" y="0"/>
                          <a:ext cx="967740" cy="449580"/>
                        </a:xfrm>
                        <a:prstGeom prst="rect">
                          <a:avLst/>
                        </a:prstGeom>
                        <a:noFill/>
                        <a:ln>
                          <a:noFill/>
                        </a:ln>
                        <a:effectLst/>
                      </wps:spPr>
                      <wps:txbx>
                        <w:txbxContent>
                          <w:p w14:paraId="2AA0AAF7">
                            <w:pPr>
                              <w:spacing w:line="240" w:lineRule="exact"/>
                              <w:jc w:val="lef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工程质量有争议的处理</w:t>
                            </w:r>
                          </w:p>
                        </w:txbxContent>
                      </wps:txbx>
                      <wps:bodyPr wrap="square" upright="1"/>
                    </wps:wsp>
                  </a:graphicData>
                </a:graphic>
              </wp:anchor>
            </w:drawing>
          </mc:Choice>
          <mc:Fallback>
            <w:pict>
              <v:shape id="_x0000_s1026" o:spid="_x0000_s1026" o:spt="202" type="#_x0000_t202" style="position:absolute;left:0pt;margin-left:-9pt;margin-top:21.75pt;height:35.4pt;width:76.2pt;z-index:251829248;mso-width-relative:page;mso-height-relative:page;" filled="f" stroked="f" coordsize="21600,21600" o:gfxdata="UEsDBAoAAAAAAIdO4kAAAAAAAAAAAAAAAAAEAAAAZHJzL1BLAwQUAAAACACHTuJAwYkqy9gAAAAK&#10;AQAADwAAAGRycy9kb3ducmV2LnhtbE2PzU7DMBCE70i8g7VI3Fo7xEVtGqcHEFcQ5Ufito23SUS8&#10;jmK3CW+Pe4LbrGY0+025m10vzjSGzrOBbKlAENfedtwYeH97WqxBhIhssfdMBn4owK66viqxsH7i&#10;VzrvYyNSCYcCDbQxDoWUoW7JYVj6gTh5Rz86jOkcG2lHnFK56+WdUvfSYcfpQ4sDPbRUf+9PzsDH&#10;8/HrU6uX5tGthsnPSrLbSGNubzK1BRFpjn9huOAndKgS08Gf2AbRG1hk67QlGtD5CsQlkGsN4pBE&#10;pnOQVSn/T6h+AVBLAwQUAAAACACHTuJAgXDkmL4BAABtAwAADgAAAGRycy9lMm9Eb2MueG1srVNL&#10;btswEN0X6B0I7ms6qRsnguUAhZFsirZAkgPQ1MgiIH7CoS35Au0Nuuqm+57L58iQUtw02WSRDTWc&#10;z+O8N6PFZW9atoOA2tmSn0ymnIFVrtJ2U/K726sP55xhlLaSrbNQ8j0gv1y+f7fofAGnrnFtBYER&#10;iMWi8yVvYvSFEKgaMBInzoOlYO2CkZGuYSOqIDtCN604nU7PROdC5YNTgEje1RDkI2J4DaCra61g&#10;5dTWgI0DaoBWRqKEjfbIl7nbugYVv9U1QmRtyYlpzCc9QvY6nWK5kMUmSN9oNbYgX9PCM05GakuP&#10;HqFWMkq2DfoFlNEqOHR1nChnxEAkK0IsTqbPtLlppIfMhaRGfxQd3w5Wfd19D0xXtAnzj5xZaWjk&#10;h18/D7//Hv78YMlJEnUeC8q88ZQb+8+up/RHP5IzMe/rYNKXODGKk8D7o8DQR6bIeXE2n88ooig0&#10;m118Os8DEP+KfcB4Dc6wZJQ80PyyrHL3BSM1QqmPKekt66502+YZtvY/ByUOHshLMFYnHkO/yYr9&#10;uh/JrV21J24dLULJ8X4rA3C29UFvGmojcxWphKaQmxg3Jo356Z3sp3/J8g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BiSrL2AAAAAoBAAAPAAAAAAAAAAEAIAAAACIAAABkcnMvZG93bnJldi54bWxQ&#10;SwECFAAUAAAACACHTuJAgXDkmL4BAABtAwAADgAAAAAAAAABACAAAAAnAQAAZHJzL2Uyb0RvYy54&#10;bWxQSwUGAAAAAAYABgBZAQAAVwUAAAAA&#10;">
                <v:fill on="f" focussize="0,0"/>
                <v:stroke on="f"/>
                <v:imagedata o:title=""/>
                <o:lock v:ext="edit" aspectratio="f"/>
                <v:textbox>
                  <w:txbxContent>
                    <w:p w14:paraId="2AA0AAF7">
                      <w:pPr>
                        <w:spacing w:line="240" w:lineRule="exact"/>
                        <w:jc w:val="lef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工程质量有争议的处理</w:t>
                      </w:r>
                    </w:p>
                  </w:txbxContent>
                </v:textbox>
              </v:shape>
            </w:pict>
          </mc:Fallback>
        </mc:AlternateContent>
      </w:r>
      <w:r>
        <w:rPr>
          <w:rFonts w:hint="default" w:ascii="Times New Roman" w:hAnsi="Times New Roman" w:cs="Times New Roman"/>
          <w:b/>
          <w:bCs/>
          <w:color w:val="auto"/>
          <w:sz w:val="22"/>
          <w:szCs w:val="22"/>
          <w:highlight w:val="none"/>
        </w:rPr>
        <w:t xml:space="preserve">42.4 </w:t>
      </w:r>
      <w:r>
        <w:rPr>
          <w:rFonts w:hint="default" w:ascii="Times New Roman" w:hAnsi="Times New Roman" w:cs="Times New Roman"/>
          <w:b/>
          <w:bCs/>
          <w:color w:val="auto"/>
          <w:sz w:val="22"/>
          <w:szCs w:val="22"/>
          <w:highlight w:val="none"/>
          <w:u w:val="dotted"/>
        </w:rPr>
        <w:t xml:space="preserve">                                                                                                        </w:t>
      </w:r>
    </w:p>
    <w:p w14:paraId="0062E035">
      <w:pPr>
        <w:adjustRightInd w:val="0"/>
        <w:snapToGrid w:val="0"/>
        <w:spacing w:line="420" w:lineRule="exact"/>
        <w:ind w:left="1619" w:leftChars="771"/>
        <w:jc w:val="lef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合同双方当事人对工程质量有争议的，按照第86.4款规定调解或认定，所需的费用及由此造成的损失，由责任方承担。双方均有责任的，由双方根据其责任划分分别承担。</w:t>
      </w:r>
    </w:p>
    <w:p w14:paraId="5DF8CF1B">
      <w:pPr>
        <w:adjustRightInd w:val="0"/>
        <w:snapToGrid w:val="0"/>
        <w:spacing w:line="420" w:lineRule="exact"/>
        <w:ind w:left="1619" w:leftChars="771"/>
        <w:jc w:val="left"/>
        <w:rPr>
          <w:rFonts w:hint="default" w:ascii="Times New Roman" w:hAnsi="Times New Roman" w:cs="Times New Roman"/>
          <w:color w:val="auto"/>
          <w:sz w:val="22"/>
          <w:szCs w:val="22"/>
          <w:highlight w:val="none"/>
        </w:rPr>
      </w:pPr>
    </w:p>
    <w:p w14:paraId="117084ED">
      <w:pPr>
        <w:tabs>
          <w:tab w:val="left" w:pos="1620"/>
        </w:tabs>
        <w:adjustRightInd w:val="0"/>
        <w:snapToGrid w:val="0"/>
        <w:spacing w:line="420" w:lineRule="exact"/>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3277160A">
      <w:pPr>
        <w:pStyle w:val="5"/>
        <w:numPr>
          <w:ilvl w:val="0"/>
          <w:numId w:val="0"/>
        </w:numPr>
        <w:tabs>
          <w:tab w:val="left" w:pos="360"/>
          <w:tab w:val="left" w:pos="420"/>
          <w:tab w:val="left" w:pos="1287"/>
        </w:tabs>
        <w:spacing w:line="420" w:lineRule="exact"/>
        <w:rPr>
          <w:rFonts w:hint="default" w:ascii="Times New Roman" w:hAnsi="Times New Roman" w:cs="Times New Roman"/>
          <w:color w:val="auto"/>
          <w:sz w:val="22"/>
          <w:szCs w:val="22"/>
          <w:highlight w:val="none"/>
        </w:rPr>
      </w:pPr>
      <w:bookmarkStart w:id="183" w:name="_Toc28850"/>
      <w:bookmarkStart w:id="184" w:name="_Toc469384026"/>
      <w:r>
        <w:rPr>
          <w:rFonts w:hint="default" w:ascii="Times New Roman" w:hAnsi="Times New Roman" w:cs="Times New Roman"/>
          <w:color w:val="auto"/>
          <w:sz w:val="22"/>
          <w:szCs w:val="22"/>
          <w:highlight w:val="none"/>
        </w:rPr>
        <w:t>★43  工程质量创优</w:t>
      </w:r>
      <w:bookmarkEnd w:id="183"/>
      <w:bookmarkEnd w:id="184"/>
    </w:p>
    <w:p w14:paraId="154089CB">
      <w:pPr>
        <w:spacing w:line="420" w:lineRule="exact"/>
        <w:rPr>
          <w:rFonts w:hint="default" w:ascii="Times New Roman" w:hAnsi="Times New Roman" w:cs="Times New Roman"/>
          <w:b/>
          <w:bCs/>
          <w:caps/>
          <w:color w:val="auto"/>
          <w:sz w:val="22"/>
          <w:szCs w:val="22"/>
          <w:highlight w:val="none"/>
        </w:rPr>
      </w:pPr>
      <w:r>
        <w:rPr>
          <w:rFonts w:hint="default" w:ascii="Times New Roman" w:hAnsi="Times New Roman" w:cs="Times New Roman"/>
          <w:b/>
          <w:bCs/>
          <w:caps/>
          <w:color w:val="auto"/>
          <w:sz w:val="22"/>
          <w:szCs w:val="22"/>
          <w:highlight w:val="none"/>
        </w:rPr>
        <w:t>43.1</w:t>
      </w:r>
    </w:p>
    <w:p w14:paraId="3D673EF9">
      <w:pPr>
        <w:spacing w:line="420" w:lineRule="exact"/>
        <w:ind w:left="1619" w:leftChars="771"/>
        <w:rPr>
          <w:rFonts w:hint="default" w:ascii="Times New Roman" w:hAnsi="Times New Roman" w:cs="Times New Roman"/>
          <w:cap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30272" behindDoc="0" locked="0" layoutInCell="1" allowOverlap="1">
                <wp:simplePos x="0" y="0"/>
                <wp:positionH relativeFrom="column">
                  <wp:posOffset>-114300</wp:posOffset>
                </wp:positionH>
                <wp:positionV relativeFrom="paragraph">
                  <wp:posOffset>38100</wp:posOffset>
                </wp:positionV>
                <wp:extent cx="914400" cy="495300"/>
                <wp:effectExtent l="0" t="0" r="0" b="0"/>
                <wp:wrapNone/>
                <wp:docPr id="174" name="文本框 174"/>
                <wp:cNvGraphicFramePr/>
                <a:graphic xmlns:a="http://schemas.openxmlformats.org/drawingml/2006/main">
                  <a:graphicData uri="http://schemas.microsoft.com/office/word/2010/wordprocessingShape">
                    <wps:wsp>
                      <wps:cNvSpPr txBox="1"/>
                      <wps:spPr>
                        <a:xfrm>
                          <a:off x="0" y="0"/>
                          <a:ext cx="914400" cy="495300"/>
                        </a:xfrm>
                        <a:prstGeom prst="rect">
                          <a:avLst/>
                        </a:prstGeom>
                        <a:noFill/>
                        <a:ln>
                          <a:noFill/>
                        </a:ln>
                        <a:effectLst/>
                      </wps:spPr>
                      <wps:txbx>
                        <w:txbxContent>
                          <w:p w14:paraId="4B87BC5A">
                            <w:pPr>
                              <w:spacing w:line="240" w:lineRule="exact"/>
                              <w:jc w:val="lef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发包人鼓励质量创优</w:t>
                            </w:r>
                          </w:p>
                        </w:txbxContent>
                      </wps:txbx>
                      <wps:bodyPr wrap="square" upright="1"/>
                    </wps:wsp>
                  </a:graphicData>
                </a:graphic>
              </wp:anchor>
            </w:drawing>
          </mc:Choice>
          <mc:Fallback>
            <w:pict>
              <v:shape id="_x0000_s1026" o:spid="_x0000_s1026" o:spt="202" type="#_x0000_t202" style="position:absolute;left:0pt;margin-left:-9pt;margin-top:3pt;height:39pt;width:72pt;z-index:251830272;mso-width-relative:page;mso-height-relative:page;" filled="f" stroked="f" coordsize="21600,21600" o:gfxdata="UEsDBAoAAAAAAIdO4kAAAAAAAAAAAAAAAAAEAAAAZHJzL1BLAwQUAAAACACHTuJA34QPvtUAAAAI&#10;AQAADwAAAGRycy9kb3ducmV2LnhtbE2PQW/CMAyF75P2HyJP2g2SIoa6UpcDaNdNY4C0W2hMW9E4&#10;VRNo9++XnraTbb2n5+/lm9G24k69bxwjJHMFgrh0puEK4fD1NktB+KDZ6NYxIfyQh03x+JDrzLiB&#10;P+m+D5WIIewzjVCH0GVS+rImq/3cdcRRu7je6hDPvpKm10MMt61cKLWSVjccP9S6o21N5XV/swjH&#10;98v3aak+qp196QY3Ksn2VSI+PyVqDSLQGP7MMOFHdCgi09nd2HjRIsySNHYJCKs4Jn0xLWeEdKlA&#10;Frn8X6D4BVBLAwQUAAAACACHTuJAJGXldbwBAABtAwAADgAAAGRycy9lMm9Eb2MueG1srVNLbtsw&#10;EN0X6B0I7mvKqdsmguUAhZFsirZAmgPQ1MgiwF84tCVfoL1BV91033P5HB1KipsmmyyyoYbzeZz3&#10;ZrS87K1he4iovav4fFZwBk75WrttxW+/Xb055wyTdLU03kHFD4D8cvX61bILJZz51psaIiMQh2UX&#10;Kt6mFEohULVgJc58AEfBxkcrE13jVtRRdoRujTgrivei87EO0StAJO96DPIJMT4H0DeNVrD2amfB&#10;pRE1gpGJKGGrA/LV0G3TgEpfmgYhMVNxYpqGkx4he5NPsVrKchtlaLWaWpDPaeERJyu1o0dPUGuZ&#10;JNtF/QTKahU9+ibNlLdiJDIoQizmxSNtbloZYOBCUmM4iY4vB6s+779GpmvahA8Lzpy0NPLjzx/H&#10;X3+Ov7+z7CSJuoAlZd4Eyk39R99T+r0fyZmZ9020+UucGMVJ4MNJYOgTU+S8mC8WBUUUhRYX796S&#10;TejiX3GImK7BW5aNikea3yCr3H/CNKbep+S3nL/SxgwzNO4/B2GOHhiWYKrOPMZ+s5X6TT+R2/j6&#10;QNw6WoSK491ORuBsF6LettTGwFXkEprC0O+0MXnMD+9kP/xLV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34QPvtUAAAAIAQAADwAAAAAAAAABACAAAAAiAAAAZHJzL2Rvd25yZXYueG1sUEsBAhQA&#10;FAAAAAgAh07iQCRl5XW8AQAAbQMAAA4AAAAAAAAAAQAgAAAAJAEAAGRycy9lMm9Eb2MueG1sUEsF&#10;BgAAAAAGAAYAWQEAAFIFAAAAAA==&#10;">
                <v:fill on="f" focussize="0,0"/>
                <v:stroke on="f"/>
                <v:imagedata o:title=""/>
                <o:lock v:ext="edit" aspectratio="f"/>
                <v:textbox>
                  <w:txbxContent>
                    <w:p w14:paraId="4B87BC5A">
                      <w:pPr>
                        <w:spacing w:line="240" w:lineRule="exact"/>
                        <w:jc w:val="lef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发包人鼓励质量创优</w:t>
                      </w:r>
                    </w:p>
                  </w:txbxContent>
                </v:textbox>
              </v:shape>
            </w:pict>
          </mc:Fallback>
        </mc:AlternateContent>
      </w:r>
      <w:r>
        <w:rPr>
          <w:rFonts w:hint="default" w:ascii="Times New Roman" w:hAnsi="Times New Roman" w:cs="Times New Roman"/>
          <w:caps/>
          <w:color w:val="auto"/>
          <w:sz w:val="22"/>
          <w:szCs w:val="22"/>
          <w:highlight w:val="none"/>
        </w:rPr>
        <w:t>发包人应配合承包人加强合同工程质量与施工安全管理，鼓励承包人实施合同工程质量创优。对于合同工程质量标准高于国家规定或合同约定的质量验收合格标准的，应按照第67条规定向承包人支付工程优质费。</w:t>
      </w:r>
    </w:p>
    <w:p w14:paraId="4A7A101E">
      <w:pPr>
        <w:spacing w:line="420" w:lineRule="exact"/>
        <w:rPr>
          <w:rFonts w:hint="default" w:ascii="Times New Roman" w:hAnsi="Times New Roman" w:cs="Times New Roman"/>
          <w:b/>
          <w:bCs/>
          <w:caps/>
          <w:color w:val="auto"/>
          <w:sz w:val="22"/>
          <w:szCs w:val="22"/>
          <w:highlight w:val="none"/>
        </w:rPr>
      </w:pPr>
      <w:r>
        <w:rPr>
          <w:rFonts w:hint="default" w:ascii="Times New Roman" w:hAnsi="Times New Roman" w:cs="Times New Roman"/>
          <w:b/>
          <w:bCs/>
          <w:color w:val="auto"/>
          <w:sz w:val="22"/>
          <w:szCs w:val="22"/>
          <w:highlight w:val="none"/>
        </w:rPr>
        <w:t xml:space="preserve">43.2 </w:t>
      </w:r>
      <w:r>
        <w:rPr>
          <w:rFonts w:hint="default" w:ascii="Times New Roman" w:hAnsi="Times New Roman" w:cs="Times New Roman"/>
          <w:b/>
          <w:bCs/>
          <w:color w:val="auto"/>
          <w:sz w:val="22"/>
          <w:szCs w:val="22"/>
          <w:highlight w:val="none"/>
          <w:u w:val="dotted"/>
        </w:rPr>
        <w:t xml:space="preserve">                                                                              </w:t>
      </w:r>
    </w:p>
    <w:p w14:paraId="096C6698">
      <w:pPr>
        <w:spacing w:line="420" w:lineRule="exact"/>
        <w:ind w:left="1619" w:leftChars="771"/>
        <w:rPr>
          <w:rFonts w:hint="default" w:ascii="Times New Roman" w:hAnsi="Times New Roman" w:cs="Times New Roman"/>
          <w:cap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31296" behindDoc="0" locked="0" layoutInCell="1" allowOverlap="1">
                <wp:simplePos x="0" y="0"/>
                <wp:positionH relativeFrom="column">
                  <wp:posOffset>-114300</wp:posOffset>
                </wp:positionH>
                <wp:positionV relativeFrom="paragraph">
                  <wp:posOffset>170815</wp:posOffset>
                </wp:positionV>
                <wp:extent cx="914400" cy="495300"/>
                <wp:effectExtent l="0" t="0" r="0" b="0"/>
                <wp:wrapNone/>
                <wp:docPr id="175" name="文本框 175"/>
                <wp:cNvGraphicFramePr/>
                <a:graphic xmlns:a="http://schemas.openxmlformats.org/drawingml/2006/main">
                  <a:graphicData uri="http://schemas.microsoft.com/office/word/2010/wordprocessingShape">
                    <wps:wsp>
                      <wps:cNvSpPr txBox="1"/>
                      <wps:spPr>
                        <a:xfrm>
                          <a:off x="0" y="0"/>
                          <a:ext cx="914400" cy="495300"/>
                        </a:xfrm>
                        <a:prstGeom prst="rect">
                          <a:avLst/>
                        </a:prstGeom>
                        <a:noFill/>
                        <a:ln>
                          <a:noFill/>
                        </a:ln>
                        <a:effectLst/>
                      </wps:spPr>
                      <wps:txbx>
                        <w:txbxContent>
                          <w:p w14:paraId="5D3B5DC2">
                            <w:pPr>
                              <w:spacing w:line="240" w:lineRule="exact"/>
                              <w:jc w:val="lef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承包人争取质量创优</w:t>
                            </w:r>
                          </w:p>
                        </w:txbxContent>
                      </wps:txbx>
                      <wps:bodyPr wrap="square" upright="1"/>
                    </wps:wsp>
                  </a:graphicData>
                </a:graphic>
              </wp:anchor>
            </w:drawing>
          </mc:Choice>
          <mc:Fallback>
            <w:pict>
              <v:shape id="_x0000_s1026" o:spid="_x0000_s1026" o:spt="202" type="#_x0000_t202" style="position:absolute;left:0pt;margin-left:-9pt;margin-top:13.45pt;height:39pt;width:72pt;z-index:251831296;mso-width-relative:page;mso-height-relative:page;" filled="f" stroked="f" coordsize="21600,21600" o:gfxdata="UEsDBAoAAAAAAIdO4kAAAAAAAAAAAAAAAAAEAAAAZHJzL1BLAwQUAAAACACHTuJAwHDXzdcAAAAK&#10;AQAADwAAAGRycy9kb3ducmV2LnhtbE2PQU/DMAyF70j8h8hI3Lak1ajW0nSHTVxBDJi0W9Z4bUXj&#10;VE22ln+Pd4Kb7ff0/L1yM7teXHEMnScNyVKBQKq97ajR8PnxsliDCNGQNb0n1PCDATbV/V1pCusn&#10;esfrPjaCQygURkMb41BIGeoWnQlLPyCxdvajM5HXsZF2NBOHu16mSmXSmY74Q2sG3LZYf+8vTsPX&#10;6/l4WKm3ZueehsnPSpLLpdaPD4l6BhFxjn9muOEzOlTMdPIXskH0GhbJmrtEDWmWg7gZ0owPJx7U&#10;KgdZlfJ/heoXUEsDBBQAAAAIAIdO4kDWmieJvAEAAG0DAAAOAAAAZHJzL2Uyb0RvYy54bWytU0tu&#10;2zAQ3RfIHQjua8mp0zaC5QCFkW6KtkCSA9DU0CIgfsKhLfkC7Q266qb7nsvnyJBS3DTdZNENNZzP&#10;47w3o+XVYDq2h4Da2ZrPZyVnYKVrtN3W/O72+vV7zjAK24jOWaj5AZBfrc5eLXtfwblrXddAYARi&#10;sep9zdsYfVUUKFswAmfOg6WgcsGISNewLZogekI3XXFelm+L3oXGBycBkbzrMcgnxPASQKeUlrB2&#10;cmfAxhE1QCciUcJWe+Sr3K1SIOMXpRAi62pOTGM+6RGyN+ksVktRbYPwrZZTC+IlLTzjZIS29OgJ&#10;ai2iYLug/4EyWgaHTsWZdKYYiWRFiMW8fKbNTSs8ZC4kNfqT6Pj/YOXn/dfAdEOb8O6CMysMjfz4&#10;4/vx5+/jr28sOUmi3mNFmTeecuPwwQ2U/uhHcibmgwomfYkTozgJfDgJDENkkpyX88WipIik0OLy&#10;4g3ZhF78KfYB40dwhiWj5oHml2UV+08Yx9THlPSWdde66/IMO/uXgzBHD+QlmKoTj7HfZMVhM0zk&#10;Nq45ELeeFqHmeL8TATjb+aC3LbWRuRaphKaQ+502Jo356Z3sp3/J6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AcNfN1wAAAAoBAAAPAAAAAAAAAAEAIAAAACIAAABkcnMvZG93bnJldi54bWxQSwEC&#10;FAAUAAAACACHTuJA1ponibwBAABtAwAADgAAAAAAAAABACAAAAAmAQAAZHJzL2Uyb0RvYy54bWxQ&#10;SwUGAAAAAAYABgBZAQAAVAUAAAAA&#10;">
                <v:fill on="f" focussize="0,0"/>
                <v:stroke on="f"/>
                <v:imagedata o:title=""/>
                <o:lock v:ext="edit" aspectratio="f"/>
                <v:textbox>
                  <w:txbxContent>
                    <w:p w14:paraId="5D3B5DC2">
                      <w:pPr>
                        <w:spacing w:line="240" w:lineRule="exact"/>
                        <w:jc w:val="lef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承包人争取质量创优</w:t>
                      </w:r>
                    </w:p>
                  </w:txbxContent>
                </v:textbox>
              </v:shape>
            </w:pict>
          </mc:Fallback>
        </mc:AlternateContent>
      </w:r>
      <w:r>
        <w:rPr>
          <w:rFonts w:hint="default" w:ascii="Times New Roman" w:hAnsi="Times New Roman" w:cs="Times New Roman"/>
          <w:caps/>
          <w:color w:val="auto"/>
          <w:sz w:val="22"/>
          <w:szCs w:val="22"/>
          <w:highlight w:val="none"/>
        </w:rPr>
        <w:t>承包人应采取有效措施确保合同工程质量与施工安全，在保证工程质量、施工安全达到国家或行业的强制性标准的前提下，提高工程质量与施工安全管理水平，争取合同工程质量创优。</w:t>
      </w:r>
    </w:p>
    <w:p w14:paraId="391C3A5D">
      <w:pPr>
        <w:tabs>
          <w:tab w:val="left" w:pos="1620"/>
        </w:tabs>
        <w:spacing w:line="420" w:lineRule="exact"/>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aps/>
          <w:color w:val="auto"/>
          <w:sz w:val="22"/>
          <w:szCs w:val="22"/>
          <w:highlight w:val="none"/>
          <w:u w:val="single"/>
        </w:rPr>
        <w:t xml:space="preserve">                                                                                             </w:t>
      </w:r>
    </w:p>
    <w:p w14:paraId="39CB7BCF">
      <w:pPr>
        <w:pStyle w:val="15"/>
        <w:tabs>
          <w:tab w:val="left" w:pos="540"/>
        </w:tabs>
        <w:adjustRightInd w:val="0"/>
        <w:snapToGrid w:val="0"/>
        <w:spacing w:before="240" w:beforeLines="100" w:line="420" w:lineRule="exact"/>
        <w:outlineLvl w:val="2"/>
        <w:rPr>
          <w:rFonts w:hint="default" w:ascii="Times New Roman" w:hAnsi="Times New Roman" w:cs="Times New Roman"/>
          <w:b/>
          <w:bCs/>
          <w:color w:val="auto"/>
          <w:sz w:val="22"/>
          <w:szCs w:val="22"/>
          <w:highlight w:val="none"/>
        </w:rPr>
      </w:pPr>
      <w:bookmarkStart w:id="185" w:name="_Toc469384027"/>
      <w:bookmarkStart w:id="186" w:name="_Toc4584"/>
      <w:r>
        <w:rPr>
          <w:rFonts w:hint="default" w:ascii="Times New Roman" w:hAnsi="Times New Roman" w:cs="Times New Roman"/>
          <w:b/>
          <w:bCs/>
          <w:color w:val="auto"/>
          <w:sz w:val="22"/>
          <w:szCs w:val="22"/>
          <w:highlight w:val="none"/>
        </w:rPr>
        <w:t>44  工程的照管</w:t>
      </w:r>
      <w:bookmarkEnd w:id="185"/>
      <w:bookmarkEnd w:id="186"/>
    </w:p>
    <w:p w14:paraId="0B2FCA39">
      <w:pPr>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32320" behindDoc="0" locked="0" layoutInCell="1" allowOverlap="1">
                <wp:simplePos x="0" y="0"/>
                <wp:positionH relativeFrom="column">
                  <wp:posOffset>-114300</wp:posOffset>
                </wp:positionH>
                <wp:positionV relativeFrom="paragraph">
                  <wp:posOffset>264160</wp:posOffset>
                </wp:positionV>
                <wp:extent cx="800100" cy="256540"/>
                <wp:effectExtent l="0" t="0" r="0" b="0"/>
                <wp:wrapNone/>
                <wp:docPr id="176" name="文本框 176"/>
                <wp:cNvGraphicFramePr/>
                <a:graphic xmlns:a="http://schemas.openxmlformats.org/drawingml/2006/main">
                  <a:graphicData uri="http://schemas.microsoft.com/office/word/2010/wordprocessingShape">
                    <wps:wsp>
                      <wps:cNvSpPr txBox="1"/>
                      <wps:spPr>
                        <a:xfrm>
                          <a:off x="0" y="0"/>
                          <a:ext cx="800100" cy="256540"/>
                        </a:xfrm>
                        <a:prstGeom prst="rect">
                          <a:avLst/>
                        </a:prstGeom>
                        <a:noFill/>
                        <a:ln>
                          <a:noFill/>
                        </a:ln>
                        <a:effectLst/>
                      </wps:spPr>
                      <wps:txbx>
                        <w:txbxContent>
                          <w:p w14:paraId="43CF7385">
                            <w:pPr>
                              <w:spacing w:line="240" w:lineRule="exact"/>
                              <w:jc w:val="lef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工程照管</w:t>
                            </w:r>
                          </w:p>
                        </w:txbxContent>
                      </wps:txbx>
                      <wps:bodyPr wrap="square" upright="1"/>
                    </wps:wsp>
                  </a:graphicData>
                </a:graphic>
              </wp:anchor>
            </w:drawing>
          </mc:Choice>
          <mc:Fallback>
            <w:pict>
              <v:shape id="_x0000_s1026" o:spid="_x0000_s1026" o:spt="202" type="#_x0000_t202" style="position:absolute;left:0pt;margin-left:-9pt;margin-top:20.8pt;height:20.2pt;width:63pt;z-index:251832320;mso-width-relative:page;mso-height-relative:page;" filled="f" stroked="f" coordsize="21600,21600" o:gfxdata="UEsDBAoAAAAAAIdO4kAAAAAAAAAAAAAAAAAEAAAAZHJzL1BLAwQUAAAACACHTuJA8eCgxNUAAAAJ&#10;AQAADwAAAGRycy9kb3ducmV2LnhtbE2PwW7CMBBE75X6D9ZW6g3sIIrSkA0HUK+tSgGpNxMvSUS8&#10;jmJD0r+vc2qPszOafZNvRtuKO/W+cYyQzBUI4tKZhiuEw9fbLAXhg2ajW8eE8EMeNsXjQ64z4wb+&#10;pPs+VCKWsM80Qh1Cl0npy5qs9nPXEUfv4nqrQ5R9JU2vh1huW7lQaiWtbjh+qHVH25rK6/5mEY7v&#10;l+/TUn1UO/vSDW5Uku2rRHx+StQaRKAx/IVhwo/oUESms7ux8aJFmCVp3BIQlskKxBRQ0+GMkC4U&#10;yCKX/xcUv1BLAwQUAAAACACHTuJAuOtogLwBAABtAwAADgAAAGRycy9lMm9Eb2MueG1srVNLbtsw&#10;EN0X6B0I7mspRuMEguUAgZFuijZA2gPQ1MgiwF85tCVfoL1BVt10n3P5HB1SipOmmyyyoYbzeZz3&#10;ZrS8GoxmewionK352azkDKx0jbLbmn//dvPhkjOMwjZCOws1PwDyq9X7d8veVzB3ndMNBEYgFqve&#10;17yL0VdFgbIDI3DmPFgKti4YEekatkUTRE/oRhfzslwUvQuND04CInnXY5BPiOE1gK5tlYS1kzsD&#10;No6oAbSIRAk75ZGvcrdtCzJ+bVuEyHTNiWnMJz1C9iadxWopqm0QvlNyakG8poUXnIxQlh49Qa1F&#10;FGwX1H9QRsng0LVxJp0pRiJZEWJxVr7Q5q4THjIXkhr9SXR8O1j5ZX8bmGpoEy4WnFlhaOTH+1/H&#10;3w/HPz9ZcpJEvceKMu885cbh2g2U/uhHcibmQxtM+hInRnES+HASGIbIJDkvSyJJEUmh+fni/GMe&#10;QPFU7APGT+AMS0bNA80vyyr2nzFSI5T6mJLesu5GaZ1nqO0/DkocPZCXYKpOPMZ+kxWHzTCR27jm&#10;QNx6WoSa44+dCMDZzge17aiNzLVIJTSF3MS0MWnMz+9kP/9LV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8eCgxNUAAAAJAQAADwAAAAAAAAABACAAAAAiAAAAZHJzL2Rvd25yZXYueG1sUEsBAhQA&#10;FAAAAAgAh07iQLjraIC8AQAAbQMAAA4AAAAAAAAAAQAgAAAAJAEAAGRycy9lMm9Eb2MueG1sUEsF&#10;BgAAAAAGAAYAWQEAAFIFAAAAAA==&#10;">
                <v:fill on="f" focussize="0,0"/>
                <v:stroke on="f"/>
                <v:imagedata o:title=""/>
                <o:lock v:ext="edit" aspectratio="f"/>
                <v:textbox>
                  <w:txbxContent>
                    <w:p w14:paraId="43CF7385">
                      <w:pPr>
                        <w:spacing w:line="240" w:lineRule="exact"/>
                        <w:jc w:val="lef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工程照管</w:t>
                      </w:r>
                    </w:p>
                  </w:txbxContent>
                </v:textbox>
              </v:shape>
            </w:pict>
          </mc:Fallback>
        </mc:AlternateContent>
      </w:r>
      <w:r>
        <w:rPr>
          <w:rFonts w:hint="default" w:ascii="Times New Roman" w:hAnsi="Times New Roman" w:cs="Times New Roman"/>
          <w:b/>
          <w:bCs/>
          <w:color w:val="auto"/>
          <w:sz w:val="22"/>
          <w:szCs w:val="22"/>
          <w:highlight w:val="none"/>
        </w:rPr>
        <w:t xml:space="preserve">44.1  </w:t>
      </w:r>
    </w:p>
    <w:p w14:paraId="6FEAB11C">
      <w:pPr>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从开工之日起，承包人应全面负责照管合同工程及运至现场将用于和安装在合同工程中的材料和工程设备，直到合同双方当事人确认工程移交之日止。此后，工程的照管即转由发包人负责。</w:t>
      </w:r>
    </w:p>
    <w:p w14:paraId="47F1789F">
      <w:pPr>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如果在整个工程移交前，合同双方当事人已经确认移交或发包人提前使用其中任一单位工程，则从确认移交或提前使用之日起承包人无须对该单位工程负责照管，而转由发包人负责。但是，承包人应继续负责照管尚未完成的工程和将用于或安装在合同工程中的材料和工程设备，直至完成上述工作并经合同双方当事人确认整个工程移交之日止。</w:t>
      </w:r>
    </w:p>
    <w:p w14:paraId="08D441D3">
      <w:pPr>
        <w:adjustRightInd w:val="0"/>
        <w:snapToGrid w:val="0"/>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33344" behindDoc="0" locked="0" layoutInCell="1" allowOverlap="1">
                <wp:simplePos x="0" y="0"/>
                <wp:positionH relativeFrom="column">
                  <wp:posOffset>-114300</wp:posOffset>
                </wp:positionH>
                <wp:positionV relativeFrom="paragraph">
                  <wp:posOffset>276860</wp:posOffset>
                </wp:positionV>
                <wp:extent cx="914400" cy="718185"/>
                <wp:effectExtent l="0" t="0" r="0" b="0"/>
                <wp:wrapNone/>
                <wp:docPr id="177" name="文本框 177"/>
                <wp:cNvGraphicFramePr/>
                <a:graphic xmlns:a="http://schemas.openxmlformats.org/drawingml/2006/main">
                  <a:graphicData uri="http://schemas.microsoft.com/office/word/2010/wordprocessingShape">
                    <wps:wsp>
                      <wps:cNvSpPr txBox="1"/>
                      <wps:spPr>
                        <a:xfrm>
                          <a:off x="0" y="0"/>
                          <a:ext cx="914400" cy="718185"/>
                        </a:xfrm>
                        <a:prstGeom prst="rect">
                          <a:avLst/>
                        </a:prstGeom>
                        <a:noFill/>
                        <a:ln>
                          <a:noFill/>
                        </a:ln>
                        <a:effectLst/>
                      </wps:spPr>
                      <wps:txbx>
                        <w:txbxContent>
                          <w:p w14:paraId="5A6F95D1">
                            <w:pPr>
                              <w:spacing w:line="240" w:lineRule="exact"/>
                              <w:jc w:val="lef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照管期间承包人造成损失的责任</w:t>
                            </w:r>
                          </w:p>
                        </w:txbxContent>
                      </wps:txbx>
                      <wps:bodyPr wrap="square" upright="1"/>
                    </wps:wsp>
                  </a:graphicData>
                </a:graphic>
              </wp:anchor>
            </w:drawing>
          </mc:Choice>
          <mc:Fallback>
            <w:pict>
              <v:shape id="_x0000_s1026" o:spid="_x0000_s1026" o:spt="202" type="#_x0000_t202" style="position:absolute;left:0pt;margin-left:-9pt;margin-top:21.8pt;height:56.55pt;width:72pt;z-index:251833344;mso-width-relative:page;mso-height-relative:page;" filled="f" stroked="f" coordsize="21600,21600" o:gfxdata="UEsDBAoAAAAAAIdO4kAAAAAAAAAAAAAAAAAEAAAAZHJzL1BLAwQUAAAACACHTuJAQGysXNgAAAAK&#10;AQAADwAAAGRycy9kb3ducmV2LnhtbE2PQW/CMAyF75P2HyJP2g2SMiisNOWwaddNY4C0W2hMW9E4&#10;VRNo9+9nTtvN9nt6/l6+GV0rrtiHxpOGZKpAIJXeNlRp2H29TVYgQjRkTesJNfxggE1xf5ebzPqB&#10;PvG6jZXgEAqZ0VDH2GVShrJGZ8LUd0isnXzvTOS1r6TtzcDhrpUzpVLpTEP8oTYdvtRYnrcXp2H/&#10;fvo+zNVH9eoW3eBHJck9S60fHxK1BhFxjH9muOEzOhTMdPQXskG0GibJirtEDfOnFMTNMEv5cORh&#10;kS5BFrn8X6H4BVBLAwQUAAAACACHTuJAVDQGObsBAABtAwAADgAAAGRycy9lMm9Eb2MueG1srVPN&#10;jtMwEL4j8Q6W79TJaqElaroSqpYLAqSFB3CdcWMp/sHjNukLwBtw4sKd5+pzME6yZVkue+DijOfn&#10;83zfTNY3g+3YESIa72peLgrOwCnfGLev+edPty9WnGGSrpGdd1DzEyC/2Tx/tu5DBVe+9V0DkRGI&#10;w6oPNW9TCpUQqFqwEhc+gKOg9tHKRNe4F02UPaHbTlwVxSvR+9iE6BUgknc7BfmMGJ8C6LU2CrZe&#10;HSy4NKFG6GQiStiagHwzdqs1qPRBa4TEupoT0zSe9AjZu3yKzVpW+yhDa9TcgnxKC484WWkcPXqB&#10;2sok2SGaf6CsUdGj12mhvBUTkVERYlEWj7S5a2WAkQtJjeEiOv4/WPX++DEy09AmLJecOWlp5Ofv&#10;384/fp1/fmXZSRL1ASvKvAuUm4Y3fqD0ez+SMzMfdLT5S5wYxUng00VgGBJT5HxdXl8XFFEUWpar&#10;cvUyo4g/xSFiegvesmzUPNL8Rlnl8R2mKfU+Jb/l/K3punGGnfvLQZiTB8YlmKszj6nfbKVhN8zk&#10;dr45EbeeFqHm+OUgI3B2CNHsW2pj5CpyCU1h7HfemDzmh3eyH/4lm9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AbKxc2AAAAAoBAAAPAAAAAAAAAAEAIAAAACIAAABkcnMvZG93bnJldi54bWxQSwEC&#10;FAAUAAAACACHTuJAVDQGObsBAABtAwAADgAAAAAAAAABACAAAAAnAQAAZHJzL2Uyb0RvYy54bWxQ&#10;SwUGAAAAAAYABgBZAQAAVAUAAAAA&#10;">
                <v:fill on="f" focussize="0,0"/>
                <v:stroke on="f"/>
                <v:imagedata o:title=""/>
                <o:lock v:ext="edit" aspectratio="f"/>
                <v:textbox>
                  <w:txbxContent>
                    <w:p w14:paraId="5A6F95D1">
                      <w:pPr>
                        <w:spacing w:line="240" w:lineRule="exact"/>
                        <w:jc w:val="lef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照管期间承包人造成损失的责任</w:t>
                      </w:r>
                    </w:p>
                  </w:txbxContent>
                </v:textbox>
              </v:shape>
            </w:pict>
          </mc:Fallback>
        </mc:AlternateContent>
      </w:r>
      <w:r>
        <w:rPr>
          <w:rFonts w:hint="default" w:ascii="Times New Roman" w:hAnsi="Times New Roman" w:cs="Times New Roman"/>
          <w:b/>
          <w:bCs/>
          <w:color w:val="auto"/>
          <w:sz w:val="22"/>
          <w:szCs w:val="22"/>
          <w:highlight w:val="none"/>
        </w:rPr>
        <w:t>44.2</w:t>
      </w:r>
      <w:r>
        <w:rPr>
          <w:rFonts w:hint="default" w:ascii="Times New Roman" w:hAnsi="Times New Roman" w:cs="Times New Roman"/>
          <w:color w:val="auto"/>
          <w:sz w:val="22"/>
          <w:szCs w:val="22"/>
          <w:highlight w:val="none"/>
        </w:rPr>
        <w:t xml:space="preserve">  </w:t>
      </w:r>
      <w:r>
        <w:rPr>
          <w:rFonts w:hint="default" w:ascii="Times New Roman" w:hAnsi="Times New Roman" w:cs="Times New Roman"/>
          <w:color w:val="auto"/>
          <w:sz w:val="22"/>
          <w:szCs w:val="22"/>
          <w:highlight w:val="none"/>
          <w:u w:val="dotted"/>
        </w:rPr>
        <w:t xml:space="preserve">                                                                                                        </w:t>
      </w:r>
    </w:p>
    <w:p w14:paraId="7EFB3ADC">
      <w:pPr>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承包人在负责工程照管期间，如因自身原因造成合同工程或其任何部分，以及材料和工程设备或临时工程的损坏，承包人应自费修复上述损坏，保证合同工程质量达到合同约定的标准。</w:t>
      </w:r>
    </w:p>
    <w:p w14:paraId="73C0F469">
      <w:pPr>
        <w:adjustRightInd w:val="0"/>
        <w:snapToGrid w:val="0"/>
        <w:spacing w:line="420" w:lineRule="exact"/>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5E4D032A">
      <w:pPr>
        <w:pStyle w:val="15"/>
        <w:tabs>
          <w:tab w:val="left" w:pos="540"/>
        </w:tabs>
        <w:adjustRightInd w:val="0"/>
        <w:snapToGrid w:val="0"/>
        <w:spacing w:before="240" w:beforeLines="100" w:line="420" w:lineRule="exact"/>
        <w:outlineLvl w:val="2"/>
        <w:rPr>
          <w:rFonts w:hint="default" w:ascii="Times New Roman" w:hAnsi="Times New Roman" w:cs="Times New Roman"/>
          <w:b/>
          <w:bCs/>
          <w:color w:val="auto"/>
          <w:sz w:val="22"/>
          <w:szCs w:val="22"/>
          <w:highlight w:val="none"/>
        </w:rPr>
      </w:pPr>
      <w:bookmarkStart w:id="187" w:name="_Toc469384028"/>
      <w:bookmarkStart w:id="188" w:name="_Toc10911"/>
      <w:r>
        <w:rPr>
          <w:rFonts w:hint="default" w:ascii="Times New Roman" w:hAnsi="Times New Roman" w:cs="Times New Roman"/>
          <w:b/>
          <w:bCs/>
          <w:color w:val="auto"/>
          <w:sz w:val="22"/>
          <w:szCs w:val="22"/>
          <w:highlight w:val="none"/>
        </w:rPr>
        <w:t xml:space="preserve">★45  </w:t>
      </w:r>
      <w:bookmarkEnd w:id="187"/>
      <w:r>
        <w:rPr>
          <w:rFonts w:hint="default" w:ascii="Times New Roman" w:hAnsi="Times New Roman" w:cs="Times New Roman"/>
          <w:b/>
          <w:bCs/>
          <w:color w:val="auto"/>
          <w:sz w:val="22"/>
          <w:szCs w:val="22"/>
          <w:highlight w:val="none"/>
        </w:rPr>
        <w:t>绿色施工安全防护</w:t>
      </w:r>
      <w:bookmarkEnd w:id="188"/>
    </w:p>
    <w:p w14:paraId="32E84831">
      <w:pPr>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34368" behindDoc="0" locked="0" layoutInCell="1" allowOverlap="1">
                <wp:simplePos x="0" y="0"/>
                <wp:positionH relativeFrom="column">
                  <wp:posOffset>-114300</wp:posOffset>
                </wp:positionH>
                <wp:positionV relativeFrom="paragraph">
                  <wp:posOffset>223520</wp:posOffset>
                </wp:positionV>
                <wp:extent cx="977900" cy="688975"/>
                <wp:effectExtent l="0" t="0" r="0" b="0"/>
                <wp:wrapNone/>
                <wp:docPr id="179" name="文本框 179"/>
                <wp:cNvGraphicFramePr/>
                <a:graphic xmlns:a="http://schemas.openxmlformats.org/drawingml/2006/main">
                  <a:graphicData uri="http://schemas.microsoft.com/office/word/2010/wordprocessingShape">
                    <wps:wsp>
                      <wps:cNvSpPr txBox="1"/>
                      <wps:spPr>
                        <a:xfrm>
                          <a:off x="0" y="0"/>
                          <a:ext cx="977900" cy="688975"/>
                        </a:xfrm>
                        <a:prstGeom prst="rect">
                          <a:avLst/>
                        </a:prstGeom>
                        <a:noFill/>
                        <a:ln>
                          <a:noFill/>
                        </a:ln>
                        <a:effectLst/>
                      </wps:spPr>
                      <wps:txbx>
                        <w:txbxContent>
                          <w:p w14:paraId="60196544">
                            <w:pPr>
                              <w:rPr>
                                <w:rFonts w:ascii="楷体_GB2312" w:hAnsi="宋体" w:eastAsia="楷体_GB2312" w:cs="Times New Roman"/>
                                <w:sz w:val="18"/>
                                <w:szCs w:val="18"/>
                              </w:rPr>
                            </w:pPr>
                            <w:r>
                              <w:rPr>
                                <w:rFonts w:hint="eastAsia" w:ascii="楷体_GB2312" w:hAnsi="宋体" w:eastAsia="楷体_GB2312" w:cs="楷体_GB2312"/>
                                <w:b/>
                                <w:bCs/>
                                <w:color w:val="000000"/>
                                <w:sz w:val="18"/>
                                <w:szCs w:val="18"/>
                              </w:rPr>
                              <w:t>绿色施工安全防护的要求</w:t>
                            </w:r>
                          </w:p>
                        </w:txbxContent>
                      </wps:txbx>
                      <wps:bodyPr wrap="square" upright="1"/>
                    </wps:wsp>
                  </a:graphicData>
                </a:graphic>
              </wp:anchor>
            </w:drawing>
          </mc:Choice>
          <mc:Fallback>
            <w:pict>
              <v:shape id="_x0000_s1026" o:spid="_x0000_s1026" o:spt="202" type="#_x0000_t202" style="position:absolute;left:0pt;margin-left:-9pt;margin-top:17.6pt;height:54.25pt;width:77pt;z-index:251834368;mso-width-relative:page;mso-height-relative:page;" filled="f" stroked="f" coordsize="21600,21600" o:gfxdata="UEsDBAoAAAAAAIdO4kAAAAAAAAAAAAAAAAAEAAAAZHJzL1BLAwQUAAAACACHTuJApr7RE9gAAAAK&#10;AQAADwAAAGRycy9kb3ducmV2LnhtbE2PzW7CMBCE75V4B2uRegM7BChN43Cg6rVV6Y/Um4mXJCJe&#10;R7Eh6dt3OZXb7s5o9pt8O7pWXLAPjScNyVyBQCq9bajS8PnxMtuACNGQNa0n1PCLAbbF5C43mfUD&#10;veNlHyvBIRQyo6GOscukDGWNzoS575BYO/remchrX0nbm4HDXSsXSq2lMw3xh9p0uKuxPO3PTsPX&#10;6/Hne6neqme36gY/KknuUWp9P03UE4iIY/w3wxWf0aFgpoM/kw2i1TBLNtwlakhXCxBXQ7rmw4GH&#10;ZfoAssjlbYXiD1BLAwQUAAAACACHTuJArQqgvbwBAABtAwAADgAAAGRycy9lMm9Eb2MueG1srVNL&#10;btswEN0XyB0I7mMpARLbguUAhZFsirZA2gPQ1NAiwF85tCVfoL1BV91033P5HB1Kipummyy6oYbz&#10;eZz3ZrS6661hB4iovav51azkDJz0jXa7mn/+dH+54AyTcI0w3kHNj4D8bn3xZtWFCq59600DkRGI&#10;w6oLNW9TClVRoGzBCpz5AI6CykcrEl3jrmii6AjdmuK6LG+LzscmRC8BkbybMcgnxPgaQK+UlrDx&#10;cm/BpRE1ghGJKGGrA/L10K1SINMHpRASMzUnpmk46RGyt/ks1itR7aIIrZZTC+I1LbzgZIV29OgZ&#10;aiOSYPuo/4GyWkaPXqWZ9LYYiQyKEIur8oU2j60IMHAhqTGcRcf/ByvfHz5GphvahPmSMycsjfz0&#10;/dvpx6/Tz68sO0miLmBFmY+BclP/1veU/uRHcmbmvYo2f4kTozgJfDwLDH1ikpzL+XxZUkRS6Hax&#10;WM5vMkrxpzhETA/gLctGzSPNb5BVHN5hGlOfUvJbzt9rY4YZGveXgzBHDwxLMFVnHmO/2Ur9tp/I&#10;bX1zJG4dLULN8cteROBsH6LetdTGwLXIJTSFod9pY/KYn9/Jfv6XrH8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pr7RE9gAAAAKAQAADwAAAAAAAAABACAAAAAiAAAAZHJzL2Rvd25yZXYueG1sUEsB&#10;AhQAFAAAAAgAh07iQK0KoL28AQAAbQMAAA4AAAAAAAAAAQAgAAAAJwEAAGRycy9lMm9Eb2MueG1s&#10;UEsFBgAAAAAGAAYAWQEAAFUFAAAAAA==&#10;">
                <v:fill on="f" focussize="0,0"/>
                <v:stroke on="f"/>
                <v:imagedata o:title=""/>
                <o:lock v:ext="edit" aspectratio="f"/>
                <v:textbox>
                  <w:txbxContent>
                    <w:p w14:paraId="60196544">
                      <w:pPr>
                        <w:rPr>
                          <w:rFonts w:ascii="楷体_GB2312" w:hAnsi="宋体" w:eastAsia="楷体_GB2312" w:cs="Times New Roman"/>
                          <w:sz w:val="18"/>
                          <w:szCs w:val="18"/>
                        </w:rPr>
                      </w:pPr>
                      <w:r>
                        <w:rPr>
                          <w:rFonts w:hint="eastAsia" w:ascii="楷体_GB2312" w:hAnsi="宋体" w:eastAsia="楷体_GB2312" w:cs="楷体_GB2312"/>
                          <w:b/>
                          <w:bCs/>
                          <w:color w:val="000000"/>
                          <w:sz w:val="18"/>
                          <w:szCs w:val="18"/>
                        </w:rPr>
                        <w:t>绿色施工安全防护的要求</w:t>
                      </w:r>
                    </w:p>
                  </w:txbxContent>
                </v:textbox>
              </v:shape>
            </w:pict>
          </mc:Fallback>
        </mc:AlternateContent>
      </w:r>
      <w:r>
        <w:rPr>
          <w:rFonts w:hint="default" w:ascii="Times New Roman" w:hAnsi="Times New Roman" w:cs="Times New Roman"/>
          <w:b/>
          <w:bCs/>
          <w:color w:val="auto"/>
          <w:sz w:val="22"/>
          <w:szCs w:val="22"/>
          <w:highlight w:val="none"/>
        </w:rPr>
        <w:t xml:space="preserve">45.1 </w:t>
      </w:r>
      <w:r>
        <w:rPr>
          <w:rFonts w:hint="default" w:ascii="Times New Roman" w:hAnsi="Times New Roman" w:cs="Times New Roman"/>
          <w:b/>
          <w:bCs/>
          <w:color w:val="auto"/>
          <w:sz w:val="22"/>
          <w:szCs w:val="22"/>
          <w:highlight w:val="none"/>
        </w:rPr>
        <w:tab/>
      </w:r>
    </w:p>
    <w:p w14:paraId="232625C1">
      <w:pPr>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合同当事人均应当遵守国家、省、市有关绿色施工安全防护的要求，合同当事人有特别要求的，应在专用合同条款中明确施工项目绿色施工安全防护标准化达标目标及相应事项。承包人有权拒绝发包人及监理人强令承包人违章作业、冒险施工的任何指示。</w:t>
      </w:r>
    </w:p>
    <w:p w14:paraId="67DF85AA">
      <w:pPr>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在施工过程中，如遇到突发的地质变动、事先未知的地下施工障碍等影响施工安全的紧急情况，承包人应及时报告监理人和发包人，发包人应当及时下令停工并报政府有关行政管理部门采取应急措施。</w:t>
      </w:r>
    </w:p>
    <w:p w14:paraId="513B2AAE">
      <w:pPr>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发包人应组织承包人和有关单位进行安全检查，授权监理工程师按合同约定的绿色施工安全防护内容监督、检查承包人实施绿色施工安全防护，并按照第 80 条规定及时向承包人支付绿色施工安全防护费。</w:t>
      </w:r>
    </w:p>
    <w:p w14:paraId="5FCAC49D">
      <w:pPr>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承包人应及时执行监理工程师发出的绿色施工安全防护的工作指令，并按合同约定的期限和绿色施工安全防护内容编制绿色施工安全防护措施计划，包括施工扬尘污染防治措施、用工实名管理等各类专项方案计划，以及淤泥运输方案并承诺使用专用运输工具运输，提交给监理工程师并由其报发包人批准后实施。</w:t>
      </w:r>
    </w:p>
    <w:p w14:paraId="3CD767E2">
      <w:pPr>
        <w:adjustRightInd w:val="0"/>
        <w:snapToGrid w:val="0"/>
        <w:spacing w:line="420" w:lineRule="exact"/>
        <w:ind w:left="1539" w:hanging="1539" w:hangingChars="697"/>
        <w:rPr>
          <w:rFonts w:hint="default" w:ascii="Times New Roman" w:hAnsi="Times New Roman" w:cs="Times New Roman"/>
          <w:b/>
          <w:bCs/>
          <w:color w:val="auto"/>
          <w:sz w:val="22"/>
          <w:szCs w:val="22"/>
          <w:highlight w:val="none"/>
          <w:u w:val="dotted"/>
        </w:rPr>
      </w:pPr>
      <w:r>
        <w:rPr>
          <w:rFonts w:hint="default" w:ascii="Times New Roman" w:hAnsi="Times New Roman" w:cs="Times New Roman"/>
          <w:b/>
          <w:bCs/>
          <w:color w:val="auto"/>
          <w:sz w:val="22"/>
          <w:szCs w:val="22"/>
          <w:highlight w:val="none"/>
        </w:rPr>
        <w:t xml:space="preserve">45.2  </w:t>
      </w:r>
      <w:r>
        <w:rPr>
          <w:rFonts w:hint="default" w:ascii="Times New Roman" w:hAnsi="Times New Roman" w:cs="Times New Roman"/>
          <w:b/>
          <w:bCs/>
          <w:color w:val="auto"/>
          <w:sz w:val="22"/>
          <w:szCs w:val="22"/>
          <w:highlight w:val="none"/>
          <w:u w:val="dotted"/>
        </w:rPr>
        <w:t xml:space="preserve">                                                                               </w:t>
      </w:r>
    </w:p>
    <w:p w14:paraId="29B55387">
      <w:pPr>
        <w:adjustRightInd w:val="0"/>
        <w:snapToGrid w:val="0"/>
        <w:spacing w:line="420" w:lineRule="exact"/>
        <w:ind w:left="1539" w:hanging="1539" w:hangingChars="697"/>
        <w:rPr>
          <w:rFonts w:hint="default" w:ascii="Times New Roman" w:hAnsi="Times New Roman" w:cs="Times New Roman"/>
          <w:b/>
          <w:bCs/>
          <w:color w:val="auto"/>
          <w:sz w:val="22"/>
          <w:szCs w:val="22"/>
          <w:highlight w:val="none"/>
        </w:rPr>
      </w:pPr>
    </w:p>
    <w:p w14:paraId="46807B60">
      <w:pPr>
        <w:adjustRightInd w:val="0"/>
        <w:snapToGrid w:val="0"/>
        <w:spacing w:line="420" w:lineRule="exact"/>
        <w:ind w:left="1739" w:leftChars="828"/>
        <w:jc w:val="lef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房屋建筑和市政基础设施工程应按国家、省、市住房城乡建设主管部门发布的有关用工实名制、工人工资支付分账管理办法、规定等文件要求实施用工实名制、工人工资支付分账。</w:t>
      </w:r>
      <w:r>
        <w:rPr>
          <w:rFonts w:hint="default" w:ascii="Times New Roman" w:hAnsi="Times New Roman" w:cs="Times New Roman"/>
          <w:b/>
          <w:bCs/>
          <w:color w:val="auto"/>
          <w:sz w:val="22"/>
          <w:szCs w:val="22"/>
          <w:highlight w:val="none"/>
        </w:rPr>
        <w:t xml:space="preserve">                                                                            </w:t>
      </w: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83200" behindDoc="0" locked="0" layoutInCell="1" allowOverlap="1">
                <wp:simplePos x="0" y="0"/>
                <wp:positionH relativeFrom="column">
                  <wp:posOffset>-114300</wp:posOffset>
                </wp:positionH>
                <wp:positionV relativeFrom="paragraph">
                  <wp:posOffset>1270</wp:posOffset>
                </wp:positionV>
                <wp:extent cx="977900" cy="607060"/>
                <wp:effectExtent l="0" t="0" r="0" b="0"/>
                <wp:wrapNone/>
                <wp:docPr id="414" name="文本框 414"/>
                <wp:cNvGraphicFramePr/>
                <a:graphic xmlns:a="http://schemas.openxmlformats.org/drawingml/2006/main">
                  <a:graphicData uri="http://schemas.microsoft.com/office/word/2010/wordprocessingShape">
                    <wps:wsp>
                      <wps:cNvSpPr txBox="1"/>
                      <wps:spPr>
                        <a:xfrm>
                          <a:off x="0" y="0"/>
                          <a:ext cx="977900" cy="607060"/>
                        </a:xfrm>
                        <a:prstGeom prst="rect">
                          <a:avLst/>
                        </a:prstGeom>
                        <a:noFill/>
                        <a:ln>
                          <a:noFill/>
                        </a:ln>
                        <a:effectLst/>
                      </wps:spPr>
                      <wps:txbx>
                        <w:txbxContent>
                          <w:p w14:paraId="260EA516">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用工实名制、工人工资支付分账管理</w:t>
                            </w:r>
                          </w:p>
                        </w:txbxContent>
                      </wps:txbx>
                      <wps:bodyPr wrap="square" upright="1"/>
                    </wps:wsp>
                  </a:graphicData>
                </a:graphic>
              </wp:anchor>
            </w:drawing>
          </mc:Choice>
          <mc:Fallback>
            <w:pict>
              <v:shape id="_x0000_s1026" o:spid="_x0000_s1026" o:spt="202" type="#_x0000_t202" style="position:absolute;left:0pt;margin-left:-9pt;margin-top:0.1pt;height:47.8pt;width:77pt;z-index:252083200;mso-width-relative:page;mso-height-relative:page;" filled="f" stroked="f" coordsize="21600,21600" o:gfxdata="UEsDBAoAAAAAAIdO4kAAAAAAAAAAAAAAAAAEAAAAZHJzL1BLAwQUAAAACACHTuJAR9ogsNUAAAAH&#10;AQAADwAAAGRycy9kb3ducmV2LnhtbE2PzW7CMBCE75X6DtZW6g3s0IJCyIYDqNdW5adSbyZekoh4&#10;HcWGpG9fc2qPoxnNfJOvR9uKG/W+cYyQTBUI4tKZhiuEw/5tkoLwQbPRrWNC+CEP6+LxIdeZcQN/&#10;0m0XKhFL2GcaoQ6hy6T0ZU1W+6nriKN3dr3VIcq+kqbXQyy3rZwptZBWNxwXat3RpqbysrtahOP7&#10;+fvrVX1UWzvvBjcqyXYpEZ+fErUCEWgMf2G440d0KCLTyV3ZeNEiTJI0fgkIMxB3+2UR5QlhOU9B&#10;Frn8z1/8AlBLAwQUAAAACACHTuJACtsKE74BAABtAwAADgAAAGRycy9lMm9Eb2MueG1srVNLbtsw&#10;EN0X6B0I7mvJQWA3guUAhZFuirZA0gPQ1NAiIH7KoS35Au0Nusom+57L58iQUtw03WTRDTWcz+O8&#10;N6PV9WA6doCA2tmaz2clZ2Cla7Td1fzb3c2795xhFLYRnbNQ8yMgv16/fbPqfQUXrnVdA4ERiMWq&#10;9zVvY/RVUaBswQicOQ+WgsoFIyJdw65ogugJ3XTFRVkuit6FxgcnAZG8mzHIJ8TwGkCnlJawcXJv&#10;wMYRNUAnIlHCVnvk69ytUiDjF6UQIutqTkxjPukRsrfpLNYrUe2C8K2WUwviNS284GSEtvToGWoj&#10;omD7oP+BMloGh07FmXSmGIlkRYjFvHyhzW0rPGQuJDX6s+j4/2Dl58PXwHRT88v5JWdWGBr56dfP&#10;0/3v08MPlpwkUe+xosxbT7lx+OAGWpwnP5IzMR9UMOlLnBjFSeDjWWAYIpPkvFour0qKSAotymW5&#10;yAMo/hT7gPEjOMOSUfNA88uyisMnjNQIpT6lpLesu9Fdl2fY2b8clDh6IC/BVJ14jP0mKw7bYSK3&#10;dc2RuPW0CDXH73sRgLO9D3rXUhuZa5FKaAq5iWlj0pif38l+/pesH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H2iCw1QAAAAcBAAAPAAAAAAAAAAEAIAAAACIAAABkcnMvZG93bnJldi54bWxQSwEC&#10;FAAUAAAACACHTuJACtsKE74BAABtAwAADgAAAAAAAAABACAAAAAkAQAAZHJzL2Uyb0RvYy54bWxQ&#10;SwUGAAAAAAYABgBZAQAAVAUAAAAA&#10;">
                <v:fill on="f" focussize="0,0"/>
                <v:stroke on="f"/>
                <v:imagedata o:title=""/>
                <o:lock v:ext="edit" aspectratio="f"/>
                <v:textbox>
                  <w:txbxContent>
                    <w:p w14:paraId="260EA516">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用工实名制、工人工资支付分账管理</w:t>
                      </w:r>
                    </w:p>
                  </w:txbxContent>
                </v:textbox>
              </v:shape>
            </w:pict>
          </mc:Fallback>
        </mc:AlternateContent>
      </w:r>
    </w:p>
    <w:p w14:paraId="5DBE517E">
      <w:pPr>
        <w:adjustRightInd w:val="0"/>
        <w:snapToGrid w:val="0"/>
        <w:spacing w:line="420" w:lineRule="exact"/>
        <w:ind w:left="1739" w:leftChars="828"/>
        <w:jc w:val="lef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建设单位负责协调、监督项目各参建单位按规定落实实名管理，在工程安全文明措施费中明确列支实名管理所需的费用；负责监督施工总承包单位的工人工资支付情况，协调建设项目的工人工资支付事宜。</w:t>
      </w:r>
    </w:p>
    <w:p w14:paraId="7F581CE4">
      <w:pPr>
        <w:adjustRightInd w:val="0"/>
        <w:snapToGrid w:val="0"/>
        <w:spacing w:line="420" w:lineRule="exact"/>
        <w:ind w:left="1739" w:leftChars="828"/>
        <w:jc w:val="lef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建筑施工实名制以建设项目为管理单位。施工总承包企业对实名制管理负总责；专业承包企业和劳务分包企业按照合同约定，对本企业施工范围的实名制管理负责。</w:t>
      </w:r>
    </w:p>
    <w:p w14:paraId="0613DF0B">
      <w:pPr>
        <w:adjustRightInd w:val="0"/>
        <w:snapToGrid w:val="0"/>
        <w:spacing w:line="420" w:lineRule="exact"/>
        <w:ind w:left="1739" w:leftChars="828"/>
        <w:jc w:val="lef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建设单位、施工总承包企业、专业承包企业和劳务分包企业存在违反有关文件规定情形的，需承担相应的责任。</w:t>
      </w:r>
    </w:p>
    <w:p w14:paraId="30FFE9B5">
      <w:pPr>
        <w:adjustRightInd w:val="0"/>
        <w:snapToGrid w:val="0"/>
        <w:spacing w:line="420" w:lineRule="exact"/>
        <w:ind w:left="1539" w:hanging="1539" w:hangingChars="697"/>
        <w:rPr>
          <w:rFonts w:hint="default" w:ascii="Times New Roman" w:hAnsi="Times New Roman" w:cs="Times New Roman"/>
          <w:b/>
          <w:bCs/>
          <w:color w:val="auto"/>
          <w:sz w:val="22"/>
          <w:szCs w:val="22"/>
          <w:highlight w:val="none"/>
          <w:u w:val="dotted"/>
        </w:rPr>
      </w:pPr>
      <w:r>
        <w:rPr>
          <w:rFonts w:hint="default" w:ascii="Times New Roman" w:hAnsi="Times New Roman" w:cs="Times New Roman"/>
          <w:b/>
          <w:bCs/>
          <w:color w:val="auto"/>
          <w:sz w:val="22"/>
          <w:szCs w:val="22"/>
          <w:highlight w:val="none"/>
        </w:rPr>
        <w:t xml:space="preserve">45.3  </w:t>
      </w:r>
      <w:r>
        <w:rPr>
          <w:rFonts w:hint="default" w:ascii="Times New Roman" w:hAnsi="Times New Roman" w:cs="Times New Roman"/>
          <w:b/>
          <w:bCs/>
          <w:color w:val="auto"/>
          <w:sz w:val="22"/>
          <w:szCs w:val="22"/>
          <w:highlight w:val="none"/>
          <w:u w:val="dotted"/>
        </w:rPr>
        <w:t xml:space="preserve">                                                                               </w:t>
      </w:r>
    </w:p>
    <w:p w14:paraId="65A35F24">
      <w:pPr>
        <w:adjustRightInd w:val="0"/>
        <w:snapToGrid w:val="0"/>
        <w:spacing w:line="420" w:lineRule="exact"/>
        <w:ind w:left="1539" w:hanging="1539" w:hangingChars="697"/>
        <w:rPr>
          <w:rFonts w:hint="default" w:ascii="Times New Roman" w:hAnsi="Times New Roman" w:cs="Times New Roman"/>
          <w:b/>
          <w:bCs/>
          <w:color w:val="auto"/>
          <w:sz w:val="22"/>
          <w:szCs w:val="22"/>
          <w:highlight w:val="none"/>
        </w:rPr>
      </w:pPr>
    </w:p>
    <w:p w14:paraId="1E748CEB">
      <w:pPr>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35392" behindDoc="0" locked="0" layoutInCell="1" allowOverlap="1">
                <wp:simplePos x="0" y="0"/>
                <wp:positionH relativeFrom="column">
                  <wp:posOffset>-114300</wp:posOffset>
                </wp:positionH>
                <wp:positionV relativeFrom="paragraph">
                  <wp:posOffset>1270</wp:posOffset>
                </wp:positionV>
                <wp:extent cx="977900" cy="396240"/>
                <wp:effectExtent l="0" t="0" r="0" b="0"/>
                <wp:wrapNone/>
                <wp:docPr id="180" name="文本框 180"/>
                <wp:cNvGraphicFramePr/>
                <a:graphic xmlns:a="http://schemas.openxmlformats.org/drawingml/2006/main">
                  <a:graphicData uri="http://schemas.microsoft.com/office/word/2010/wordprocessingShape">
                    <wps:wsp>
                      <wps:cNvSpPr txBox="1"/>
                      <wps:spPr>
                        <a:xfrm>
                          <a:off x="0" y="0"/>
                          <a:ext cx="977900" cy="396240"/>
                        </a:xfrm>
                        <a:prstGeom prst="rect">
                          <a:avLst/>
                        </a:prstGeom>
                        <a:noFill/>
                        <a:ln>
                          <a:noFill/>
                        </a:ln>
                        <a:effectLst/>
                      </wps:spPr>
                      <wps:txbx>
                        <w:txbxContent>
                          <w:p w14:paraId="7E9A0DCC">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发包人责任</w:t>
                            </w:r>
                          </w:p>
                        </w:txbxContent>
                      </wps:txbx>
                      <wps:bodyPr wrap="square" upright="1"/>
                    </wps:wsp>
                  </a:graphicData>
                </a:graphic>
              </wp:anchor>
            </w:drawing>
          </mc:Choice>
          <mc:Fallback>
            <w:pict>
              <v:shape id="_x0000_s1026" o:spid="_x0000_s1026" o:spt="202" type="#_x0000_t202" style="position:absolute;left:0pt;margin-left:-9pt;margin-top:0.1pt;height:31.2pt;width:77pt;z-index:251835392;mso-width-relative:page;mso-height-relative:page;" filled="f" stroked="f" coordsize="21600,21600" o:gfxdata="UEsDBAoAAAAAAIdO4kAAAAAAAAAAAAAAAAAEAAAAZHJzL1BLAwQUAAAACACHTuJAbOUMidQAAAAH&#10;AQAADwAAAGRycy9kb3ducmV2LnhtbE2PwU7DMBBE70j9B2uRuLV2AkRtmk0PRVxBbQGJmxtvk4h4&#10;HcVuE/6+7gmOoxnNvCk2k+3EhQbfOkZIFgoEceVMyzXCx+F1vgThg2ajO8eE8EseNuXsrtC5cSPv&#10;6LIPtYgl7HON0ITQ51L6qiGr/cL1xNE7ucHqEOVQSzPoMZbbTqZKZdLqluNCo3vaNlT97M8W4fPt&#10;9P31pN7rF/vcj25Sku1KIj7cJ2oNItAU/sJww4/oUEamozuz8aJDmCfL+CUgpCBu9mMW5REhSzOQ&#10;ZSH/85dXUEsDBBQAAAAIAIdO4kApSUtQvAEAAG0DAAAOAAAAZHJzL2Uyb0RvYy54bWytU0tu2zAQ&#10;3RfIHQjuYylOkcSC5QCFkWyKtkCaA9DU0CIgfsqhLfkC7Q266qb7nsvn6JBS3DTdZNENNZzP47w3&#10;o+XtYDq2h4Da2ZpfzErOwErXaLut+ePnu/MbzjAK24jOWaj5AZDfrs7eLHtfwdy1rmsgMAKxWPW+&#10;5m2MvioKlC0YgTPnwVJQuWBEpGvYFk0QPaGbrpiX5VXRu9D44CQgknc9BvmEGF4D6JTSEtZO7gzY&#10;OKIG6EQkSthqj3yVu1UKZPyoFEJkXc2JacwnPUL2Jp3FaimqbRC+1XJqQbymhRecjNCWHj1BrUUU&#10;bBf0P1BGy+DQqTiTzhQjkawIsbgoX2jz0AoPmQtJjf4kOv4/WPlh/ykw3dAm3JAmVhga+fH7t+OP&#10;X8efX1lykkS9x4oyHzzlxuGdGyj9yY/kTMwHFUz6EidGcQI7nASGITJJzsX19aKkiKTQ5eJq/jaj&#10;F3+KfcB4D86wZNQ80PyyrGL/HiM1QqlPKekt6+501+UZdvYvByWOHshLMFUnHmO/yYrDZpjIbVxz&#10;IG49LULN8ctOBOBs54PettRG5lqkEppCbmLamDTm53eyn/8lq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Bs5QyJ1AAAAAcBAAAPAAAAAAAAAAEAIAAAACIAAABkcnMvZG93bnJldi54bWxQSwECFAAU&#10;AAAACACHTuJAKUlLULwBAABtAwAADgAAAAAAAAABACAAAAAjAQAAZHJzL2Uyb0RvYy54bWxQSwUG&#10;AAAAAAYABgBZAQAAUQUAAAAA&#10;">
                <v:fill on="f" focussize="0,0"/>
                <v:stroke on="f"/>
                <v:imagedata o:title=""/>
                <o:lock v:ext="edit" aspectratio="f"/>
                <v:textbox>
                  <w:txbxContent>
                    <w:p w14:paraId="7E9A0DCC">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发包人责任</w:t>
                      </w:r>
                    </w:p>
                  </w:txbxContent>
                </v:textbox>
              </v:shape>
            </w:pict>
          </mc:Fallback>
        </mc:AlternateContent>
      </w:r>
      <w:r>
        <w:rPr>
          <w:rFonts w:hint="default" w:ascii="Times New Roman" w:hAnsi="Times New Roman" w:cs="Times New Roman"/>
          <w:color w:val="auto"/>
          <w:sz w:val="22"/>
          <w:szCs w:val="22"/>
          <w:highlight w:val="none"/>
        </w:rPr>
        <w:t>在合同工程实施、完成及保修期间，发包人承担下列责任：</w:t>
      </w:r>
    </w:p>
    <w:p w14:paraId="6BE65649">
      <w:pPr>
        <w:adjustRightInd w:val="0"/>
        <w:snapToGrid w:val="0"/>
        <w:spacing w:line="420" w:lineRule="exact"/>
        <w:ind w:left="1619" w:leftChars="771" w:firstLine="55" w:firstLineChars="25"/>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（1）发包人应配合承包人做好绿色施工安全防护工作，定期对其现场机构雇佣的全部人员进行绿色施工安全防护教育和培训。</w:t>
      </w:r>
    </w:p>
    <w:p w14:paraId="3CE7CFE7">
      <w:pPr>
        <w:adjustRightInd w:val="0"/>
        <w:snapToGrid w:val="0"/>
        <w:spacing w:line="420" w:lineRule="exact"/>
        <w:ind w:left="1575" w:leftChars="75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（2）发包人应对其现场机构雇佣的全部人员的安全事故承担责任，但由于承包人原因造成发包人人员安全事故的，应由承包人承担责任。</w:t>
      </w:r>
    </w:p>
    <w:p w14:paraId="3FFF4BC9">
      <w:pPr>
        <w:adjustRightInd w:val="0"/>
        <w:snapToGrid w:val="0"/>
        <w:spacing w:line="420" w:lineRule="exact"/>
        <w:ind w:left="1573" w:leftChars="743" w:hanging="13" w:hangingChars="6"/>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（3）发包人有下列行为之一或由于发包人原因造成安全事故的，由发包人承担责任，由此增加的费用和延误的工期由发包人承担。</w:t>
      </w:r>
    </w:p>
    <w:p w14:paraId="08A4E2BB">
      <w:pPr>
        <w:adjustRightInd w:val="0"/>
        <w:snapToGrid w:val="0"/>
        <w:spacing w:line="420" w:lineRule="exact"/>
        <w:ind w:left="1573" w:leftChars="743" w:hanging="13" w:hangingChars="6"/>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1）要求承包人违反绿色施工安全防护操作规程施工的；</w:t>
      </w:r>
    </w:p>
    <w:p w14:paraId="159D9AC6">
      <w:pPr>
        <w:adjustRightInd w:val="0"/>
        <w:snapToGrid w:val="0"/>
        <w:spacing w:line="420" w:lineRule="exact"/>
        <w:ind w:left="1573" w:leftChars="743" w:hanging="13" w:hangingChars="6"/>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2）对承包人提出不符合国家、省有关安绿色施工安全防护全文明施工法律和强制性标准规定要求的；</w:t>
      </w:r>
    </w:p>
    <w:p w14:paraId="236F80D4">
      <w:pPr>
        <w:adjustRightInd w:val="0"/>
        <w:snapToGrid w:val="0"/>
        <w:spacing w:line="420" w:lineRule="exact"/>
        <w:ind w:left="1573" w:leftChars="743" w:hanging="13" w:hangingChars="6"/>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3）明示或暗示承包人购买、租赁、使用不符合安全施工要求的安全防护用具、机械设备、施工机具及配件、消防设施和器材的。</w:t>
      </w:r>
    </w:p>
    <w:p w14:paraId="374D3CB1">
      <w:pPr>
        <w:adjustRightInd w:val="0"/>
        <w:snapToGrid w:val="0"/>
        <w:spacing w:line="420" w:lineRule="exact"/>
        <w:ind w:firstLine="1430" w:firstLineChars="65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（4）发包人应负责赔偿下列情形造成的第三者人身伤亡和财产损失。</w:t>
      </w:r>
    </w:p>
    <w:p w14:paraId="299D77BA">
      <w:pPr>
        <w:adjustRightInd w:val="0"/>
        <w:snapToGrid w:val="0"/>
        <w:spacing w:line="420" w:lineRule="exact"/>
        <w:ind w:firstLine="1650" w:firstLineChars="75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1）工程或工程的任何部分对土地的占用所造成的第三者财产损失；</w:t>
      </w:r>
    </w:p>
    <w:p w14:paraId="54457305">
      <w:pPr>
        <w:adjustRightInd w:val="0"/>
        <w:snapToGrid w:val="0"/>
        <w:spacing w:line="420" w:lineRule="exact"/>
        <w:ind w:left="1786" w:leftChars="798" w:hanging="110" w:hangingChars="5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2）由于发包人原因在施工场地及其毗邻造成的第三者人身伤亡和财产损失。</w:t>
      </w:r>
    </w:p>
    <w:p w14:paraId="7F004EF7">
      <w:pPr>
        <w:adjustRightInd w:val="0"/>
        <w:snapToGrid w:val="0"/>
        <w:spacing w:line="420" w:lineRule="exact"/>
        <w:rPr>
          <w:rFonts w:hint="default" w:ascii="Times New Roman" w:hAnsi="Times New Roman" w:cs="Times New Roman"/>
          <w:color w:val="auto"/>
          <w:sz w:val="22"/>
          <w:szCs w:val="22"/>
          <w:highlight w:val="none"/>
          <w:u w:val="dotted"/>
        </w:rPr>
      </w:pPr>
      <w:r>
        <w:rPr>
          <w:rFonts w:hint="default" w:ascii="Times New Roman" w:hAnsi="Times New Roman" w:cs="Times New Roman"/>
          <w:b/>
          <w:bCs/>
          <w:color w:val="auto"/>
          <w:sz w:val="22"/>
          <w:szCs w:val="22"/>
          <w:highlight w:val="none"/>
        </w:rPr>
        <w:t xml:space="preserve">45.4 </w:t>
      </w:r>
      <w:r>
        <w:rPr>
          <w:rFonts w:hint="default" w:ascii="Times New Roman" w:hAnsi="Times New Roman" w:cs="Times New Roman"/>
          <w:color w:val="auto"/>
          <w:sz w:val="22"/>
          <w:szCs w:val="22"/>
          <w:highlight w:val="none"/>
        </w:rPr>
        <w:t xml:space="preserve"> </w:t>
      </w:r>
      <w:r>
        <w:rPr>
          <w:rFonts w:hint="default" w:ascii="Times New Roman" w:hAnsi="Times New Roman" w:cs="Times New Roman"/>
          <w:color w:val="auto"/>
          <w:sz w:val="22"/>
          <w:szCs w:val="22"/>
          <w:highlight w:val="none"/>
          <w:u w:val="dotted"/>
        </w:rPr>
        <w:t xml:space="preserve">                                                                               </w:t>
      </w:r>
    </w:p>
    <w:p w14:paraId="3E3403B4">
      <w:pPr>
        <w:adjustRightInd w:val="0"/>
        <w:snapToGrid w:val="0"/>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36416" behindDoc="0" locked="0" layoutInCell="1" allowOverlap="1">
                <wp:simplePos x="0" y="0"/>
                <wp:positionH relativeFrom="column">
                  <wp:posOffset>-114300</wp:posOffset>
                </wp:positionH>
                <wp:positionV relativeFrom="paragraph">
                  <wp:posOffset>198120</wp:posOffset>
                </wp:positionV>
                <wp:extent cx="1028700" cy="567055"/>
                <wp:effectExtent l="0" t="0" r="0" b="0"/>
                <wp:wrapNone/>
                <wp:docPr id="181" name="文本框 181"/>
                <wp:cNvGraphicFramePr/>
                <a:graphic xmlns:a="http://schemas.openxmlformats.org/drawingml/2006/main">
                  <a:graphicData uri="http://schemas.microsoft.com/office/word/2010/wordprocessingShape">
                    <wps:wsp>
                      <wps:cNvSpPr txBox="1"/>
                      <wps:spPr>
                        <a:xfrm>
                          <a:off x="0" y="0"/>
                          <a:ext cx="1028700" cy="567055"/>
                        </a:xfrm>
                        <a:prstGeom prst="rect">
                          <a:avLst/>
                        </a:prstGeom>
                        <a:noFill/>
                        <a:ln>
                          <a:noFill/>
                        </a:ln>
                        <a:effectLst/>
                      </wps:spPr>
                      <wps:txbx>
                        <w:txbxContent>
                          <w:p w14:paraId="2BCB4740">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承包人责任</w:t>
                            </w:r>
                          </w:p>
                        </w:txbxContent>
                      </wps:txbx>
                      <wps:bodyPr wrap="square" upright="1"/>
                    </wps:wsp>
                  </a:graphicData>
                </a:graphic>
              </wp:anchor>
            </w:drawing>
          </mc:Choice>
          <mc:Fallback>
            <w:pict>
              <v:shape id="_x0000_s1026" o:spid="_x0000_s1026" o:spt="202" type="#_x0000_t202" style="position:absolute;left:0pt;margin-left:-9pt;margin-top:15.6pt;height:44.65pt;width:81pt;z-index:251836416;mso-width-relative:page;mso-height-relative:page;" filled="f" stroked="f" coordsize="21600,21600" o:gfxdata="UEsDBAoAAAAAAIdO4kAAAAAAAAAAAAAAAAAEAAAAZHJzL1BLAwQUAAAACACHTuJAYBZsFtgAAAAK&#10;AQAADwAAAGRycy9kb3ducmV2LnhtbE2PzW7CMBCE75V4B2srcQM7IVQQ4nCg6rVV6Y/Um4mXJGq8&#10;jmJD0rfvcmpvuzuj2W+K/eQ6ccUhtJ40JEsFAqnytqVaw/vb02IDIkRD1nSeUMMPBtiXs7vC5NaP&#10;9IrXY6wFh1DIjYYmxj6XMlQNOhOWvkdi7ewHZyKvQy3tYEYOd51MlXqQzrTEHxrT46HB6vt4cRo+&#10;ns9fn5l6qR/duh/9pCS5rdR6fp+oHYiIU/wzww2f0aFkppO/kA2i07BINtwlalglKYibIcv4cOIh&#10;VWuQZSH/Vyh/AVBLAwQUAAAACACHTuJA+DR9k7sBAABuAwAADgAAAGRycy9lMm9Eb2MueG1srVNL&#10;btswEN0X6B0I7mvJBpwYguUAgZFuirZA2gPQ1MgiwF85tCVfoL1BV91033P5HB1SipOmmyyyoYbz&#10;eZz3ZrS+GYxmRwionK35fFZyBla6Rtl9zb9+uXu34gyjsI3QzkLNT4D8ZvP2zbr3FSxc53QDgRGI&#10;xar3Ne9i9FVRoOzACJw5D5aCrQtGRLqGfdEE0RO60cWiLK+K3oXGBycBkbzbMcgnxPASQNe2SsLW&#10;yYMBG0fUAFpEooSd8sg3udu2BRk/tS1CZLrmxDTmkx4he5fOYrMW1T4I3yk5tSBe0sIzTkYoS49e&#10;oLYiCnYI6j8oo2Rw6No4k84UI5GsCLGYl8+0ue+Eh8yFpEZ/ER1fD1Z+PH4OTDW0Cas5Z1YYGvn5&#10;54/zrz/n399ZcpJEvceKMu895cbh1g2U/uBHcibmQxtM+hInRnES+HQRGIbIZCoqF6vrkkKSYsur&#10;63K5TDDFY7UPGN+DMywZNQ80wKyrOH7AOKY+pKTHrLtTWuchavuPgzBHD+QtmKoTkbHhZMVhN0zs&#10;dq45EbmeNqHm+O0gAnB28EHtO2ojky1SCY0h9zutTJrz0zvZT3+TzV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gFmwW2AAAAAoBAAAPAAAAAAAAAAEAIAAAACIAAABkcnMvZG93bnJldi54bWxQSwEC&#10;FAAUAAAACACHTuJA+DR9k7sBAABuAwAADgAAAAAAAAABACAAAAAnAQAAZHJzL2Uyb0RvYy54bWxQ&#10;SwUGAAAAAAYABgBZAQAAVAUAAAAA&#10;">
                <v:fill on="f" focussize="0,0"/>
                <v:stroke on="f"/>
                <v:imagedata o:title=""/>
                <o:lock v:ext="edit" aspectratio="f"/>
                <v:textbox>
                  <w:txbxContent>
                    <w:p w14:paraId="2BCB4740">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承包人责任</w:t>
                      </w:r>
                    </w:p>
                  </w:txbxContent>
                </v:textbox>
              </v:shape>
            </w:pict>
          </mc:Fallback>
        </mc:AlternateContent>
      </w:r>
    </w:p>
    <w:p w14:paraId="4E658EE0">
      <w:pPr>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在合同工程实施、完成及保修期间，承包人承担下列责任：</w:t>
      </w:r>
    </w:p>
    <w:p w14:paraId="163033BA">
      <w:pPr>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（1）承包人应严格按照国家、省、市有关绿色施工安全防护的标准、内容与规范制定绿色施工安全防护操作规程，配备必要的安全生产和劳动保护设施，加强对承包人人员的施工安全教育和培训。</w:t>
      </w:r>
    </w:p>
    <w:p w14:paraId="7E11FA52">
      <w:pPr>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（2）承包人应对合同工程的绿色施工安全防护负责，采取有效的安全措施消除安全事故隐患，并接受和配合依法实施的监督检查。</w:t>
      </w:r>
    </w:p>
    <w:p w14:paraId="329001F6">
      <w:pPr>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3）承包人应加强施工作业安全管理，特别应加强经监理工程师同意并由其报发包人批准的输送电线路工程，使用易燃、易爆材料、火工器材、有毒与腐蚀性材料等危险品工程，以及爆破作业和地下工程施工等危险作业的安全管理，尽量避免人员伤亡和财产损失。</w:t>
      </w:r>
    </w:p>
    <w:p w14:paraId="5AFF7272">
      <w:pPr>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（4）承包人应按监理工程师的指令制定应对灾害的紧急预案，并按预案做好安全检查，配置必要的救助物资和器材，切实保护好有关人员的人身和财产安全。</w:t>
      </w:r>
    </w:p>
    <w:p w14:paraId="7A22F526">
      <w:pPr>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（5）承包人违反本条规定或由于承包人原因造成安全事故的，由承包人承担责任，由此增加的费用和延误的工期由承包人承担。</w:t>
      </w:r>
    </w:p>
    <w:p w14:paraId="63D98A0C">
      <w:pPr>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（6）承包人应对其履行合同所雇佣的全部人员，包括分包人人员的安全事故承担责任，但由于发包人原因造成承包人人员安全事故的，应由发包人承担责任。</w:t>
      </w:r>
    </w:p>
    <w:p w14:paraId="7B94A6D1">
      <w:pPr>
        <w:adjustRightInd w:val="0"/>
        <w:snapToGrid w:val="0"/>
        <w:spacing w:line="420" w:lineRule="exact"/>
        <w:ind w:left="1619" w:leftChars="771" w:firstLine="55" w:firstLineChars="25"/>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（7）由于承包人原因在施工场地内及其毗邻造成的第三者人身伤亡和财产损失，由承包人负责赔偿。</w:t>
      </w:r>
    </w:p>
    <w:p w14:paraId="05F56152">
      <w:pPr>
        <w:adjustRightInd w:val="0"/>
        <w:snapToGrid w:val="0"/>
        <w:spacing w:line="420" w:lineRule="exact"/>
        <w:rPr>
          <w:rFonts w:hint="default" w:ascii="Times New Roman" w:hAnsi="Times New Roman" w:cs="Times New Roman"/>
          <w:color w:val="auto"/>
          <w:sz w:val="22"/>
          <w:szCs w:val="22"/>
          <w:highlight w:val="none"/>
          <w:u w:val="dotted"/>
        </w:rPr>
      </w:pPr>
      <w:r>
        <w:rPr>
          <w:rFonts w:hint="default" w:ascii="Times New Roman" w:hAnsi="Times New Roman" w:cs="Times New Roman"/>
          <w:b/>
          <w:bCs/>
          <w:color w:val="auto"/>
          <w:sz w:val="22"/>
          <w:szCs w:val="22"/>
          <w:highlight w:val="none"/>
        </w:rPr>
        <w:t xml:space="preserve">45.5 </w:t>
      </w:r>
      <w:r>
        <w:rPr>
          <w:rFonts w:hint="default" w:ascii="Times New Roman" w:hAnsi="Times New Roman" w:cs="Times New Roman"/>
          <w:color w:val="auto"/>
          <w:sz w:val="22"/>
          <w:szCs w:val="22"/>
          <w:highlight w:val="none"/>
        </w:rPr>
        <w:t xml:space="preserve"> </w:t>
      </w:r>
      <w:r>
        <w:rPr>
          <w:rFonts w:hint="default" w:ascii="Times New Roman" w:hAnsi="Times New Roman" w:cs="Times New Roman"/>
          <w:color w:val="auto"/>
          <w:sz w:val="22"/>
          <w:szCs w:val="22"/>
          <w:highlight w:val="none"/>
          <w:u w:val="dotted"/>
        </w:rPr>
        <w:t xml:space="preserve">                                                                                 </w:t>
      </w:r>
    </w:p>
    <w:p w14:paraId="439FCBB8">
      <w:pPr>
        <w:adjustRightInd w:val="0"/>
        <w:snapToGrid w:val="0"/>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37440" behindDoc="0" locked="0" layoutInCell="1" allowOverlap="1">
                <wp:simplePos x="0" y="0"/>
                <wp:positionH relativeFrom="column">
                  <wp:posOffset>-114300</wp:posOffset>
                </wp:positionH>
                <wp:positionV relativeFrom="paragraph">
                  <wp:posOffset>219710</wp:posOffset>
                </wp:positionV>
                <wp:extent cx="954405" cy="479425"/>
                <wp:effectExtent l="0" t="0" r="0" b="0"/>
                <wp:wrapNone/>
                <wp:docPr id="182" name="文本框 182"/>
                <wp:cNvGraphicFramePr/>
                <a:graphic xmlns:a="http://schemas.openxmlformats.org/drawingml/2006/main">
                  <a:graphicData uri="http://schemas.microsoft.com/office/word/2010/wordprocessingShape">
                    <wps:wsp>
                      <wps:cNvSpPr txBox="1"/>
                      <wps:spPr>
                        <a:xfrm>
                          <a:off x="0" y="0"/>
                          <a:ext cx="954405" cy="479425"/>
                        </a:xfrm>
                        <a:prstGeom prst="rect">
                          <a:avLst/>
                        </a:prstGeom>
                        <a:noFill/>
                        <a:ln>
                          <a:noFill/>
                        </a:ln>
                        <a:effectLst/>
                      </wps:spPr>
                      <wps:txbx>
                        <w:txbxContent>
                          <w:p w14:paraId="508981D6">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施工措施的审查与整改</w:t>
                            </w:r>
                          </w:p>
                        </w:txbxContent>
                      </wps:txbx>
                      <wps:bodyPr wrap="square" upright="1"/>
                    </wps:wsp>
                  </a:graphicData>
                </a:graphic>
              </wp:anchor>
            </w:drawing>
          </mc:Choice>
          <mc:Fallback>
            <w:pict>
              <v:shape id="_x0000_s1026" o:spid="_x0000_s1026" o:spt="202" type="#_x0000_t202" style="position:absolute;left:0pt;margin-left:-9pt;margin-top:17.3pt;height:37.75pt;width:75.15pt;z-index:251837440;mso-width-relative:page;mso-height-relative:page;" filled="f" stroked="f" coordsize="21600,21600" o:gfxdata="UEsDBAoAAAAAAIdO4kAAAAAAAAAAAAAAAAAEAAAAZHJzL1BLAwQUAAAACACHTuJA8bHsGtcAAAAK&#10;AQAADwAAAGRycy9kb3ducmV2LnhtbE2PwU7DMBBE70j8g7VI3FrbTanaNE4PIK4gWkDito23SUS8&#10;jmK3CX+Pe4LbrGY0+6bYTa4TFxpC69mAnisQxJW3LdcG3g/PszWIEJEtdp7JwA8F2JW3NwXm1o/8&#10;Rpd9rEUq4ZCjgSbGPpcyVA05DHPfEyfv5AeHMZ1DLe2AYyp3nVwotZIOW04fGuzpsaHqe392Bj5e&#10;Tl+fS/VaP7mHfvSTkuw20pj7O622ICJN8S8MV/yEDmViOvoz2yA6AzO9TluigWy5AnENZIsMxDEJ&#10;rTTIspD/J5S/UEsDBBQAAAAIAIdO4kB6fx0AvQEAAG0DAAAOAAAAZHJzL2Uyb0RvYy54bWytU0tu&#10;2zAQ3RfoHQjuaymG3SaC5QCFkW6KtkCaA9DU0CIgfsqhLfkC7Q266qb7nsvn6JBS3DTZZJENNZzP&#10;47w3o9X1YDp2gIDa2ZpfzErOwErXaLur+d3XmzeXnGEUthGds1DzIyC/Xr9+tep9BXPXuq6BwAjE&#10;YtX7mrcx+qooULZgBM6cB0tB5YIRka5hVzRB9IRuumJelm+L3oXGBycBkbybMcgnxPAcQKeUlrBx&#10;cm/AxhE1QCciUcJWe+Tr3K1SIONnpRAi62pOTGM+6RGyt+ks1itR7YLwrZZTC+I5LTziZIS29OgZ&#10;aiOiYPugn0AZLYNDp+JMOlOMRLIixOKifKTNbSs8ZC4kNfqz6PhysPLT4UtguqFNuJxzZoWhkZ9+&#10;/jj9+nP6/Z0lJ0nUe6wo89ZTbhzeu4HS7/1IzsR8UMGkL3FiFCeBj2eBYYhMkvNquViUS84khRbv&#10;rhbzZUIp/hX7gPEDOMOSUfNA88uyisNHjGPqfUp6y7ob3XV5hp39z0GYowfyEkzVicfYb7LisB0m&#10;clvXHIlbT4tQc/y2FwE42/ugdy21kbkWqYSmkPudNiaN+eGd7Id/yfov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8bHsGtcAAAAKAQAADwAAAAAAAAABACAAAAAiAAAAZHJzL2Rvd25yZXYueG1sUEsB&#10;AhQAFAAAAAgAh07iQHp/HQC9AQAAbQMAAA4AAAAAAAAAAQAgAAAAJgEAAGRycy9lMm9Eb2MueG1s&#10;UEsFBgAAAAAGAAYAWQEAAFUFAAAAAA==&#10;">
                <v:fill on="f" focussize="0,0"/>
                <v:stroke on="f"/>
                <v:imagedata o:title=""/>
                <o:lock v:ext="edit" aspectratio="f"/>
                <v:textbox>
                  <w:txbxContent>
                    <w:p w14:paraId="508981D6">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施工措施的审查与整改</w:t>
                      </w:r>
                    </w:p>
                  </w:txbxContent>
                </v:textbox>
              </v:shape>
            </w:pict>
          </mc:Fallback>
        </mc:AlternateContent>
      </w:r>
    </w:p>
    <w:p w14:paraId="38269075">
      <w:pPr>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监理工程师应当审查施工组织设计中的安全技术措施或者专项施工方案是否符合建设行政主管部门的有关规定。监理工程师发现承包人未遵守安全生产和文明施工规定或施工现场存在安全事故隐患的，应以书面形式通知承包人整改；情况严重的，应要求承包人暂停施工，并及时报告发包人。承包人在收到监理工程师发出书面通知后的48小时内仍未整改的，监理工程师可在报经发包人批准后委托第三方采取措施。该款项经造价工程师核实后，由发包人从应付或将付给承包人的款项中扣除。</w:t>
      </w:r>
    </w:p>
    <w:p w14:paraId="47EB3A7C">
      <w:pPr>
        <w:adjustRightInd w:val="0"/>
        <w:snapToGrid w:val="0"/>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45.6</w:t>
      </w:r>
      <w:r>
        <w:rPr>
          <w:rFonts w:hint="default" w:ascii="Times New Roman" w:hAnsi="Times New Roman" w:cs="Times New Roman"/>
          <w:color w:val="auto"/>
          <w:sz w:val="22"/>
          <w:szCs w:val="22"/>
          <w:highlight w:val="none"/>
        </w:rPr>
        <w:t xml:space="preserve">  </w:t>
      </w:r>
      <w:r>
        <w:rPr>
          <w:rFonts w:hint="default" w:ascii="Times New Roman" w:hAnsi="Times New Roman" w:cs="Times New Roman"/>
          <w:color w:val="auto"/>
          <w:sz w:val="22"/>
          <w:szCs w:val="22"/>
          <w:highlight w:val="none"/>
          <w:u w:val="dotted"/>
        </w:rPr>
        <w:t xml:space="preserve">                                                                                                       </w:t>
      </w:r>
      <w:r>
        <w:rPr>
          <w:rFonts w:hint="default" w:ascii="Times New Roman" w:hAnsi="Times New Roman" w:cs="Times New Roman"/>
          <w:color w:val="auto"/>
          <w:sz w:val="22"/>
          <w:szCs w:val="22"/>
          <w:highlight w:val="none"/>
        </w:rPr>
        <w:t xml:space="preserve"> </w:t>
      </w:r>
    </w:p>
    <w:p w14:paraId="0DEDDB2A">
      <w:pPr>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38464" behindDoc="0" locked="0" layoutInCell="1" allowOverlap="1">
                <wp:simplePos x="0" y="0"/>
                <wp:positionH relativeFrom="column">
                  <wp:posOffset>-83820</wp:posOffset>
                </wp:positionH>
                <wp:positionV relativeFrom="paragraph">
                  <wp:posOffset>11430</wp:posOffset>
                </wp:positionV>
                <wp:extent cx="800100" cy="720090"/>
                <wp:effectExtent l="0" t="0" r="0" b="0"/>
                <wp:wrapNone/>
                <wp:docPr id="183" name="文本框 183"/>
                <wp:cNvGraphicFramePr/>
                <a:graphic xmlns:a="http://schemas.openxmlformats.org/drawingml/2006/main">
                  <a:graphicData uri="http://schemas.microsoft.com/office/word/2010/wordprocessingShape">
                    <wps:wsp>
                      <wps:cNvSpPr txBox="1"/>
                      <wps:spPr>
                        <a:xfrm>
                          <a:off x="0" y="0"/>
                          <a:ext cx="800100" cy="720090"/>
                        </a:xfrm>
                        <a:prstGeom prst="rect">
                          <a:avLst/>
                        </a:prstGeom>
                        <a:noFill/>
                        <a:ln>
                          <a:noFill/>
                        </a:ln>
                        <a:effectLst/>
                      </wps:spPr>
                      <wps:txbx>
                        <w:txbxContent>
                          <w:p w14:paraId="70A0A088">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治安管理</w:t>
                            </w:r>
                          </w:p>
                        </w:txbxContent>
                      </wps:txbx>
                      <wps:bodyPr wrap="square" upright="1"/>
                    </wps:wsp>
                  </a:graphicData>
                </a:graphic>
              </wp:anchor>
            </w:drawing>
          </mc:Choice>
          <mc:Fallback>
            <w:pict>
              <v:shape id="_x0000_s1026" o:spid="_x0000_s1026" o:spt="202" type="#_x0000_t202" style="position:absolute;left:0pt;margin-left:-6.6pt;margin-top:0.9pt;height:56.7pt;width:63pt;z-index:251838464;mso-width-relative:page;mso-height-relative:page;" filled="f" stroked="f" coordsize="21600,21600" o:gfxdata="UEsDBAoAAAAAAIdO4kAAAAAAAAAAAAAAAAAEAAAAZHJzL1BLAwQUAAAACACHTuJAzYEY0dQAAAAJ&#10;AQAADwAAAGRycy9kb3ducmV2LnhtbE2PzU7DMBCE70i8g7VI3Np1AkUQ4vQA4gqi/Ejc3HibRMTr&#10;KHab8PZsTnCb1TeanSm3s+/VicbYBTaQrTUo4jq4jhsD729Pq1tQMVl2tg9MBn4owrY6Pytt4cLE&#10;r3TapUZJCMfCGmhTGgrEWLfkbVyHgVjYIYzeJjnHBt1oJwn3PeZa36C3HcuH1g700FL9vTt6Ax/P&#10;h6/Pa/3SPPrNMIVZI/s7NObyItP3oBLN6c8MS32pDpV02ocju6h6A6vsKherAFmw8CwXsV/EJges&#10;Svy/oPoFUEsDBBQAAAAIAIdO4kA77VDOugEAAG0DAAAOAAAAZHJzL2Uyb0RvYy54bWytU82O0zAQ&#10;viPxDpbvNNlFghI1XWlVLRcESAsP4DrjxpL/8LhN+gLwBpy4cOe5+hyMnWx3WS572Isznp/P830z&#10;WV2N1rADRNTetfxiUXMGTvpOu13Lv365ebXkDJNwnTDeQcuPgPxq/fLFaggNXPremw4iIxCHzRBa&#10;3qcUmqpC2YMVuPABHAWVj1YkusZd1UUxELo11WVdv6kGH7sQvQRE8m6mIJ8R41MAvVJawsbLvQWX&#10;JtQIRiSihL0OyNelW6VApk9KISRmWk5MUznpEbK3+azWK9Hsogi9lnML4iktPOJkhXb06BlqI5Jg&#10;+6j/g7JaRo9epYX0tpqIFEWIxUX9SJvbXgQoXEhqDGfR8flg5cfD58h0R5uwfM2ZE5ZGfvr54/Tr&#10;z+n3d5adJNEQsKHM20C5abz2I6Xf+ZGcmfmoos1f4sQoTgIfzwLDmJgk57ImkhSRFHpLy/CuDKC6&#10;Lw4R03vwlmWj5ZHmV2QVhw+YqBFKvUvJbzl/o40pMzTuHwclTh4oSzBXZx5Tv9lK43acyW19dyRu&#10;Ay1Cy/HbXkTgbB+i3vXURuFa5RKaQmli3pg85od3sh/+Jeu/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zYEY0dQAAAAJAQAADwAAAAAAAAABACAAAAAiAAAAZHJzL2Rvd25yZXYueG1sUEsBAhQAFAAA&#10;AAgAh07iQDvtUM66AQAAbQMAAA4AAAAAAAAAAQAgAAAAIwEAAGRycy9lMm9Eb2MueG1sUEsFBgAA&#10;AAAGAAYAWQEAAE8FAAAAAA==&#10;">
                <v:fill on="f" focussize="0,0"/>
                <v:stroke on="f"/>
                <v:imagedata o:title=""/>
                <o:lock v:ext="edit" aspectratio="f"/>
                <v:textbox>
                  <w:txbxContent>
                    <w:p w14:paraId="70A0A088">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治安管理</w:t>
                      </w:r>
                    </w:p>
                  </w:txbxContent>
                </v:textbox>
              </v:shape>
            </w:pict>
          </mc:Fallback>
        </mc:AlternateContent>
      </w:r>
      <w:r>
        <w:rPr>
          <w:rFonts w:hint="default" w:ascii="Times New Roman" w:hAnsi="Times New Roman" w:cs="Times New Roman"/>
          <w:color w:val="auto"/>
          <w:sz w:val="22"/>
          <w:szCs w:val="22"/>
          <w:highlight w:val="none"/>
        </w:rPr>
        <w:t>合同双方当事人不仅应协助现场治安管理机构或联防组织维护施工场地的社会治安，而且应做好包括有关人员现场生活、居住场所在内的施工场地内的治安保卫工作。</w:t>
      </w:r>
    </w:p>
    <w:p w14:paraId="1F8E8AC5">
      <w:pPr>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除专用条款另有约定外，合同双方当事人应在工程开工后，共同编制施工场地治安管理计划，并制定应对突发治安事件的紧急预案。在施工过程中，发生暴乱、爆炸等恐怖事件，以及群殴、械斗等群体性突发治安事件的，应立即向当地政府有关部门报告，积极协助当地政府有关部门采取措施平息事件，防止事态扩大，尽量减少财产损失和避免人员伤亡。</w:t>
      </w:r>
    </w:p>
    <w:p w14:paraId="69732780">
      <w:pPr>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45.7  </w:t>
      </w:r>
      <w:r>
        <w:rPr>
          <w:rFonts w:hint="default" w:ascii="Times New Roman" w:hAnsi="Times New Roman" w:cs="Times New Roman"/>
          <w:b/>
          <w:bCs/>
          <w:color w:val="auto"/>
          <w:sz w:val="22"/>
          <w:szCs w:val="22"/>
          <w:highlight w:val="none"/>
          <w:u w:val="dotted"/>
        </w:rPr>
        <w:t xml:space="preserve">                                                                                                        </w:t>
      </w:r>
      <w:r>
        <w:rPr>
          <w:rFonts w:hint="default" w:ascii="Times New Roman" w:hAnsi="Times New Roman" w:cs="Times New Roman"/>
          <w:b/>
          <w:bCs/>
          <w:color w:val="auto"/>
          <w:sz w:val="22"/>
          <w:szCs w:val="22"/>
          <w:highlight w:val="none"/>
        </w:rPr>
        <w:t xml:space="preserve"> </w:t>
      </w:r>
    </w:p>
    <w:p w14:paraId="2C0986DD">
      <w:pPr>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39488" behindDoc="0" locked="0" layoutInCell="1" allowOverlap="1">
                <wp:simplePos x="0" y="0"/>
                <wp:positionH relativeFrom="column">
                  <wp:posOffset>-73660</wp:posOffset>
                </wp:positionH>
                <wp:positionV relativeFrom="paragraph">
                  <wp:posOffset>15875</wp:posOffset>
                </wp:positionV>
                <wp:extent cx="873760" cy="650875"/>
                <wp:effectExtent l="0" t="0" r="0" b="0"/>
                <wp:wrapNone/>
                <wp:docPr id="184" name="文本框 184"/>
                <wp:cNvGraphicFramePr/>
                <a:graphic xmlns:a="http://schemas.openxmlformats.org/drawingml/2006/main">
                  <a:graphicData uri="http://schemas.microsoft.com/office/word/2010/wordprocessingShape">
                    <wps:wsp>
                      <wps:cNvSpPr txBox="1"/>
                      <wps:spPr>
                        <a:xfrm>
                          <a:off x="0" y="0"/>
                          <a:ext cx="873760" cy="650875"/>
                        </a:xfrm>
                        <a:prstGeom prst="rect">
                          <a:avLst/>
                        </a:prstGeom>
                        <a:noFill/>
                        <a:ln>
                          <a:noFill/>
                        </a:ln>
                        <a:effectLst/>
                      </wps:spPr>
                      <wps:txbx>
                        <w:txbxContent>
                          <w:p w14:paraId="36904217">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施工场地的环保、卫生要求</w:t>
                            </w:r>
                          </w:p>
                        </w:txbxContent>
                      </wps:txbx>
                      <wps:bodyPr wrap="square" upright="1"/>
                    </wps:wsp>
                  </a:graphicData>
                </a:graphic>
              </wp:anchor>
            </w:drawing>
          </mc:Choice>
          <mc:Fallback>
            <w:pict>
              <v:shape id="_x0000_s1026" o:spid="_x0000_s1026" o:spt="202" type="#_x0000_t202" style="position:absolute;left:0pt;margin-left:-5.8pt;margin-top:1.25pt;height:51.25pt;width:68.8pt;z-index:251839488;mso-width-relative:page;mso-height-relative:page;" filled="f" stroked="f" coordsize="21600,21600" o:gfxdata="UEsDBAoAAAAAAIdO4kAAAAAAAAAAAAAAAAAEAAAAZHJzL1BLAwQUAAAACACHTuJAa/AGb9YAAAAJ&#10;AQAADwAAAGRycy9kb3ducmV2LnhtbE2PzW6DMBCE75X6DtZWyi2xQQG1BJNDq14bNf2RenPwBlDw&#10;GmEnkLfv5tTedjSj2W/K7ex6ccExdJ40JCsFAqn2tqNGw+fH6/IRRIiGrOk9oYYrBthW93elKayf&#10;6B0v+9gILqFQGA1tjEMhZahbdCas/IDE3tGPzkSWYyPtaCYud71MlcqlMx3xh9YM+NxifdqfnYav&#10;t+PP91rtmheXDZOflST3JLVePCRqAyLiHP/CcMNndKiY6eDPZIPoNSyTJOeohjQDcfPTnLcd+FCZ&#10;AlmV8v+C6hdQSwMEFAAAAAgAh07iQDPSCN28AQAAbQMAAA4AAABkcnMvZTJvRG9jLnhtbK1TS27b&#10;MBDdF+gdCO5rKWljG4LlAIWRboq2QJoD0NTIIsBfObQlX6C9QVfddN9z+RwdUoqbJpsssqGG83mc&#10;92a0uh6MZgcIqJyt+cWs5AysdI2yu5rffb15s+QMo7CN0M5CzY+A/Hr9+tWq9xVcus7pBgIjEItV&#10;72vexeirokDZgRE4cx4sBVsXjIh0DbuiCaIndKOLy7KcF70LjQ9OAiJ5N2OQT4jhOYCubZWEjZN7&#10;AzaOqAG0iEQJO+WRr3O3bQsyfm5bhMh0zYlpzCc9QvY2ncV6JapdEL5TcmpBPKeFR5yMUJYePUNt&#10;RBRsH9QTKKNkcOjaOJPOFCORrAixuCgfaXPbCQ+ZC0mN/iw6vhys/HT4EphqaBOW7zizwtDITz9/&#10;nH79Of3+zpKTJOo9VpR56yk3Du/dQOn3fiRnYj60waQvcWIUJ4GPZ4FhiEySc7l4u5hTRFJoflUu&#10;F1cJpfhX7APGD+AMS0bNA80vyyoOHzGOqfcp6S3rbpTWeYba/ucgzNEDeQmm6sRj7DdZcdgOE7mt&#10;a47EradFqDl+24sAnO19ULuO2shci1RCU8j9ThuTxvzwTvbDv2T9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GvwBm/WAAAACQEAAA8AAAAAAAAAAQAgAAAAIgAAAGRycy9kb3ducmV2LnhtbFBLAQIU&#10;ABQAAAAIAIdO4kAz0gjdvAEAAG0DAAAOAAAAAAAAAAEAIAAAACUBAABkcnMvZTJvRG9jLnhtbFBL&#10;BQYAAAAABgAGAFkBAABTBQAAAAA=&#10;">
                <v:fill on="f" focussize="0,0"/>
                <v:stroke on="f"/>
                <v:imagedata o:title=""/>
                <o:lock v:ext="edit" aspectratio="f"/>
                <v:textbox>
                  <w:txbxContent>
                    <w:p w14:paraId="36904217">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施工场地的环保、卫生要求</w:t>
                      </w:r>
                    </w:p>
                  </w:txbxContent>
                </v:textbox>
              </v:shape>
            </w:pict>
          </mc:Fallback>
        </mc:AlternateContent>
      </w:r>
      <w:r>
        <w:rPr>
          <w:rFonts w:hint="default" w:ascii="Times New Roman" w:hAnsi="Times New Roman" w:cs="Times New Roman"/>
          <w:color w:val="auto"/>
          <w:sz w:val="22"/>
          <w:szCs w:val="22"/>
          <w:highlight w:val="none"/>
        </w:rPr>
        <w:t>承包人应遵守国家有关环境保护、卫生监督的法律，按照合同约定采取有效措施，保证施工场地达到环境保护、卫生部门的管理要求，为现场所有人员提供并维护干净卫生的生活设施，并在颁发合同工程接收证书后的28天内，清理现场，运走全部施工设备、剩余材料和垃圾，保持施工场地和合同工程的清洁整齐。否则，发包人可自行处理或委托第三方处理留下的物品，所得金额在扣除由此发生的费用之后，将余额退还给承包人。</w:t>
      </w:r>
    </w:p>
    <w:p w14:paraId="695BE38B">
      <w:pPr>
        <w:adjustRightInd w:val="0"/>
        <w:snapToGrid w:val="0"/>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 xml:space="preserve">45.8  </w:t>
      </w:r>
      <w:r>
        <w:rPr>
          <w:rFonts w:hint="default" w:ascii="Times New Roman" w:hAnsi="Times New Roman" w:cs="Times New Roman"/>
          <w:b/>
          <w:bCs/>
          <w:color w:val="auto"/>
          <w:sz w:val="22"/>
          <w:szCs w:val="22"/>
          <w:highlight w:val="none"/>
          <w:u w:val="dotted"/>
        </w:rPr>
        <w:t xml:space="preserve">                                                                                 </w:t>
      </w:r>
    </w:p>
    <w:p w14:paraId="557135DA">
      <w:pPr>
        <w:adjustRightInd w:val="0"/>
        <w:snapToGrid w:val="0"/>
        <w:spacing w:line="420" w:lineRule="exact"/>
        <w:ind w:left="1619" w:leftChars="771"/>
        <w:rPr>
          <w:rFonts w:hint="default" w:ascii="Times New Roman" w:hAnsi="Times New Roman" w:cs="Times New Roman"/>
          <w:cap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40512" behindDoc="0" locked="0" layoutInCell="1" allowOverlap="1">
                <wp:simplePos x="0" y="0"/>
                <wp:positionH relativeFrom="column">
                  <wp:posOffset>0</wp:posOffset>
                </wp:positionH>
                <wp:positionV relativeFrom="paragraph">
                  <wp:posOffset>17145</wp:posOffset>
                </wp:positionV>
                <wp:extent cx="873760" cy="594360"/>
                <wp:effectExtent l="0" t="0" r="0" b="0"/>
                <wp:wrapNone/>
                <wp:docPr id="185" name="文本框 185"/>
                <wp:cNvGraphicFramePr/>
                <a:graphic xmlns:a="http://schemas.openxmlformats.org/drawingml/2006/main">
                  <a:graphicData uri="http://schemas.microsoft.com/office/word/2010/wordprocessingShape">
                    <wps:wsp>
                      <wps:cNvSpPr txBox="1"/>
                      <wps:spPr>
                        <a:xfrm>
                          <a:off x="0" y="0"/>
                          <a:ext cx="873760" cy="594360"/>
                        </a:xfrm>
                        <a:prstGeom prst="rect">
                          <a:avLst/>
                        </a:prstGeom>
                        <a:noFill/>
                        <a:ln>
                          <a:noFill/>
                        </a:ln>
                        <a:effectLst/>
                      </wps:spPr>
                      <wps:txbx>
                        <w:txbxContent>
                          <w:p w14:paraId="5981510C">
                            <w:pPr>
                              <w:rPr>
                                <w:rFonts w:ascii="楷体_GB2312" w:hAnsi="宋体" w:eastAsia="楷体_GB2312" w:cs="Times New Roman"/>
                                <w:b/>
                                <w:bCs/>
                                <w:sz w:val="18"/>
                                <w:szCs w:val="18"/>
                              </w:rPr>
                            </w:pPr>
                            <w:r>
                              <w:rPr>
                                <w:rFonts w:hint="eastAsia" w:ascii="楷体_GB2312" w:hAnsi="宋体" w:eastAsia="楷体_GB2312" w:cs="楷体_GB2312"/>
                                <w:b/>
                                <w:bCs/>
                                <w:sz w:val="18"/>
                                <w:szCs w:val="18"/>
                              </w:rPr>
                              <w:t>发包人鼓励创建文明工地</w:t>
                            </w:r>
                          </w:p>
                        </w:txbxContent>
                      </wps:txbx>
                      <wps:bodyPr wrap="square" upright="1"/>
                    </wps:wsp>
                  </a:graphicData>
                </a:graphic>
              </wp:anchor>
            </w:drawing>
          </mc:Choice>
          <mc:Fallback>
            <w:pict>
              <v:shape id="_x0000_s1026" o:spid="_x0000_s1026" o:spt="202" type="#_x0000_t202" style="position:absolute;left:0pt;margin-left:0pt;margin-top:1.35pt;height:46.8pt;width:68.8pt;z-index:251840512;mso-width-relative:page;mso-height-relative:page;" filled="f" stroked="f" coordsize="21600,21600" o:gfxdata="UEsDBAoAAAAAAIdO4kAAAAAAAAAAAAAAAAAEAAAAZHJzL1BLAwQUAAAACACHTuJALt6dMNQAAAAF&#10;AQAADwAAAGRycy9kb3ducmV2LnhtbE2PzU7DMBCE70i8g7VI3KjdFlIasukBxBVE+ZG4beNtEhGv&#10;o9htwtvjnuhxNKOZb4rN5Dp15CG0XhDmMwOKpfK2lRrh4/355h5UiCSWOi+M8MsBNuXlRUG59aO8&#10;8XEba5VKJOSE0MTY51qHqmFHYeZ7luTt/eAoJjnU2g40pnLX6YUxmXbUSlpoqOfHhquf7cEhfL7s&#10;v79uzWv95O760U9Gi1trxOuruXkAFXmK/2E44Sd0KBPTzh/EBtUhpCMRYbECdTKXqwzUDmGdLUGX&#10;hT6nL/8AUEsDBBQAAAAIAIdO4kCAtgjPvAEAAG0DAAAOAAAAZHJzL2Uyb0RvYy54bWytU81uEzEQ&#10;viPxDpbvxGlL27DKphKKygUBUuEBHO9s1pL/8DjZzQvAG3Diwp3nynN07N2GUi49cPGO5+fzfN/M&#10;Lm8Ga9geImrvan42m3MGTvlGu23Nv3y+fbXgDJN0jTTeQc0PgPxm9fLFsg8VnPvOmwYiIxCHVR9q&#10;3qUUKiFQdWAlznwAR8HWRysTXeNWNFH2hG6NOJ/Pr0TvYxOiV4BI3vUY5BNifA6gb1utYO3VzoJL&#10;I2oEIxNRwk4H5KvSbduCSh/bFiExU3NimspJj5C9yadYLWW1jTJ0Wk0tyOe08ISTldrRoyeotUyS&#10;7aL+B8pqFT36Ns2Ut2IkUhQhFmfzJ9rcdTJA4UJSYziJjv8PVn3Yf4pMN7QJi0vOnLQ08uOP78ef&#10;v4+/vrHsJIn6gBVl3gXKTcNbP1D6gx/JmZkPbbT5S5wYxUngw0lgGBJT5FxcX1xfUURR6PLN6wuy&#10;CV38KQ4R0zvwlmWj5pHmV2SV+/eYxtSHlPyW87famDJD4/5yEObogbIEU3XmMfabrTRshoncxjcH&#10;4tbTItQcv+5kBM52IeptR20UriKX0BRKv9PG5DE/vpP9+C9Z3Q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u3p0w1AAAAAUBAAAPAAAAAAAAAAEAIAAAACIAAABkcnMvZG93bnJldi54bWxQSwECFAAU&#10;AAAACACHTuJAgLYIz7wBAABtAwAADgAAAAAAAAABACAAAAAjAQAAZHJzL2Uyb0RvYy54bWxQSwUG&#10;AAAAAAYABgBZAQAAUQUAAAAA&#10;">
                <v:fill on="f" focussize="0,0"/>
                <v:stroke on="f"/>
                <v:imagedata o:title=""/>
                <o:lock v:ext="edit" aspectratio="f"/>
                <v:textbox>
                  <w:txbxContent>
                    <w:p w14:paraId="5981510C">
                      <w:pPr>
                        <w:rPr>
                          <w:rFonts w:ascii="楷体_GB2312" w:hAnsi="宋体" w:eastAsia="楷体_GB2312" w:cs="Times New Roman"/>
                          <w:b/>
                          <w:bCs/>
                          <w:sz w:val="18"/>
                          <w:szCs w:val="18"/>
                        </w:rPr>
                      </w:pPr>
                      <w:r>
                        <w:rPr>
                          <w:rFonts w:hint="eastAsia" w:ascii="楷体_GB2312" w:hAnsi="宋体" w:eastAsia="楷体_GB2312" w:cs="楷体_GB2312"/>
                          <w:b/>
                          <w:bCs/>
                          <w:sz w:val="18"/>
                          <w:szCs w:val="18"/>
                        </w:rPr>
                        <w:t>发包人鼓励创建文明工地</w:t>
                      </w:r>
                    </w:p>
                  </w:txbxContent>
                </v:textbox>
              </v:shape>
            </w:pict>
          </mc:Fallback>
        </mc:AlternateContent>
      </w:r>
      <w:r>
        <w:rPr>
          <w:rFonts w:hint="default" w:ascii="Times New Roman" w:hAnsi="Times New Roman" w:cs="Times New Roman"/>
          <w:caps/>
          <w:color w:val="auto"/>
          <w:sz w:val="22"/>
          <w:szCs w:val="22"/>
          <w:highlight w:val="none"/>
        </w:rPr>
        <w:t>发包人应配合承包人加强</w:t>
      </w:r>
      <w:r>
        <w:rPr>
          <w:rFonts w:hint="default" w:ascii="Times New Roman" w:hAnsi="Times New Roman" w:cs="Times New Roman"/>
          <w:color w:val="auto"/>
          <w:sz w:val="22"/>
          <w:szCs w:val="22"/>
          <w:highlight w:val="none"/>
        </w:rPr>
        <w:t>绿色施工安全防护</w:t>
      </w:r>
      <w:r>
        <w:rPr>
          <w:rFonts w:hint="default" w:ascii="Times New Roman" w:hAnsi="Times New Roman" w:cs="Times New Roman"/>
          <w:caps/>
          <w:color w:val="auto"/>
          <w:sz w:val="22"/>
          <w:szCs w:val="22"/>
          <w:highlight w:val="none"/>
        </w:rPr>
        <w:t>管理，鼓励承包人实施省、市级或其它级别文明工地。对于工程获得省、市级或其它级别文明工地的，应按照第80条规定向承包人支付文明工地增加费。</w:t>
      </w:r>
    </w:p>
    <w:p w14:paraId="6B9AF60E">
      <w:pPr>
        <w:adjustRightInd w:val="0"/>
        <w:snapToGrid w:val="0"/>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 xml:space="preserve">45.9 </w:t>
      </w:r>
      <w:r>
        <w:rPr>
          <w:rFonts w:hint="default" w:ascii="Times New Roman" w:hAnsi="Times New Roman" w:cs="Times New Roman"/>
          <w:b/>
          <w:bCs/>
          <w:color w:val="auto"/>
          <w:sz w:val="22"/>
          <w:szCs w:val="22"/>
          <w:highlight w:val="none"/>
          <w:u w:val="dotted"/>
        </w:rPr>
        <w:t xml:space="preserve">                                                                                 </w:t>
      </w:r>
    </w:p>
    <w:p w14:paraId="403D9826">
      <w:pPr>
        <w:spacing w:line="420" w:lineRule="exact"/>
        <w:ind w:firstLine="440" w:firstLineChars="2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77056" behindDoc="0" locked="0" layoutInCell="1" allowOverlap="1">
                <wp:simplePos x="0" y="0"/>
                <wp:positionH relativeFrom="column">
                  <wp:posOffset>0</wp:posOffset>
                </wp:positionH>
                <wp:positionV relativeFrom="paragraph">
                  <wp:posOffset>17145</wp:posOffset>
                </wp:positionV>
                <wp:extent cx="873760" cy="594360"/>
                <wp:effectExtent l="0" t="0" r="0" b="0"/>
                <wp:wrapNone/>
                <wp:docPr id="408" name="文本框 408"/>
                <wp:cNvGraphicFramePr/>
                <a:graphic xmlns:a="http://schemas.openxmlformats.org/drawingml/2006/main">
                  <a:graphicData uri="http://schemas.microsoft.com/office/word/2010/wordprocessingShape">
                    <wps:wsp>
                      <wps:cNvSpPr txBox="1"/>
                      <wps:spPr>
                        <a:xfrm>
                          <a:off x="0" y="0"/>
                          <a:ext cx="873760" cy="594360"/>
                        </a:xfrm>
                        <a:prstGeom prst="rect">
                          <a:avLst/>
                        </a:prstGeom>
                        <a:noFill/>
                        <a:ln>
                          <a:noFill/>
                        </a:ln>
                        <a:effectLst/>
                      </wps:spPr>
                      <wps:txbx>
                        <w:txbxContent>
                          <w:p w14:paraId="6E23F3D3">
                            <w:pPr>
                              <w:rPr>
                                <w:rFonts w:ascii="楷体_GB2312" w:hAnsi="宋体" w:eastAsia="楷体_GB2312" w:cs="Times New Roman"/>
                                <w:b/>
                                <w:bCs/>
                                <w:sz w:val="18"/>
                                <w:szCs w:val="18"/>
                              </w:rPr>
                            </w:pPr>
                            <w:r>
                              <w:rPr>
                                <w:rFonts w:hint="eastAsia" w:ascii="楷体_GB2312" w:hAnsi="宋体" w:eastAsia="楷体_GB2312" w:cs="楷体_GB2312"/>
                                <w:b/>
                                <w:bCs/>
                                <w:sz w:val="18"/>
                                <w:szCs w:val="18"/>
                              </w:rPr>
                              <w:t>特别安全生产事项</w:t>
                            </w:r>
                          </w:p>
                        </w:txbxContent>
                      </wps:txbx>
                      <wps:bodyPr wrap="square" upright="1"/>
                    </wps:wsp>
                  </a:graphicData>
                </a:graphic>
              </wp:anchor>
            </w:drawing>
          </mc:Choice>
          <mc:Fallback>
            <w:pict>
              <v:shape id="_x0000_s1026" o:spid="_x0000_s1026" o:spt="202" type="#_x0000_t202" style="position:absolute;left:0pt;margin-left:0pt;margin-top:1.35pt;height:46.8pt;width:68.8pt;z-index:252077056;mso-width-relative:page;mso-height-relative:page;" filled="f" stroked="f" coordsize="21600,21600" o:gfxdata="UEsDBAoAAAAAAIdO4kAAAAAAAAAAAAAAAAAEAAAAZHJzL1BLAwQUAAAACACHTuJALt6dMNQAAAAF&#10;AQAADwAAAGRycy9kb3ducmV2LnhtbE2PzU7DMBCE70i8g7VI3KjdFlIasukBxBVE+ZG4beNtEhGv&#10;o9htwtvjnuhxNKOZb4rN5Dp15CG0XhDmMwOKpfK2lRrh4/355h5UiCSWOi+M8MsBNuXlRUG59aO8&#10;8XEba5VKJOSE0MTY51qHqmFHYeZ7luTt/eAoJjnU2g40pnLX6YUxmXbUSlpoqOfHhquf7cEhfL7s&#10;v79uzWv95O760U9Gi1trxOuruXkAFXmK/2E44Sd0KBPTzh/EBtUhpCMRYbECdTKXqwzUDmGdLUGX&#10;hT6nL/8AUEsDBBQAAAAIAIdO4kCnCbMvvAEAAG0DAAAOAAAAZHJzL2Uyb0RvYy54bWytU0tu2zAQ&#10;3RfoHQjuaymfJqlgOUBgJJuiLZD2ADQ1tAjwFw5tyRdob9BVN933XD5HhpLi5rPJIhtqOJ/HeW9G&#10;88veGraFiNq7mh/NSs7ASd9ot675j+/XHy44wyRcI4x3UPMdIL9cvH8370IFx771poHICMRh1YWa&#10;tymFqihQtmAFznwAR0HloxWJrnFdNFF0hG5NcVyWZ0XnYxOil4BI3uUY5BNifA2gV0pLWHq5seDS&#10;iBrBiESUsNUB+WLoVimQ6atSCImZmhPTNJz0CNmrfBaLuajWUYRWy6kF8ZoWnnGyQjt69AC1FEmw&#10;TdQvoKyW0aNXaSa9LUYigyLE4qh8ps1tKwIMXEhqDAfR8e1g5Zftt8h0U/PTkgbvhKWR73//2v/5&#10;t//7k2UnSdQFrCjzNlBu6q98T4vz4EdyZua9ijZ/iROjOAm8OwgMfWKSnBfnJ+dnFJEU+vjp9IRs&#10;Qi/+F4eI6Qa8ZdmoeaT5DbKK7WdMY+pDSn7L+WttzDBD4544CHP0wLAEU3XmMfabrdSv+oncyjc7&#10;4tbRItQc7zYiAmebEPW6pTYGrkUuoSkM/U4bk8f8+E72479kcQ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u3p0w1AAAAAUBAAAPAAAAAAAAAAEAIAAAACIAAABkcnMvZG93bnJldi54bWxQSwECFAAU&#10;AAAACACHTuJApwmzL7wBAABtAwAADgAAAAAAAAABACAAAAAjAQAAZHJzL2Uyb0RvYy54bWxQSwUG&#10;AAAAAAYABgBZAQAAUQUAAAAA&#10;">
                <v:fill on="f" focussize="0,0"/>
                <v:stroke on="f"/>
                <v:imagedata o:title=""/>
                <o:lock v:ext="edit" aspectratio="f"/>
                <v:textbox>
                  <w:txbxContent>
                    <w:p w14:paraId="6E23F3D3">
                      <w:pPr>
                        <w:rPr>
                          <w:rFonts w:ascii="楷体_GB2312" w:hAnsi="宋体" w:eastAsia="楷体_GB2312" w:cs="Times New Roman"/>
                          <w:b/>
                          <w:bCs/>
                          <w:sz w:val="18"/>
                          <w:szCs w:val="18"/>
                        </w:rPr>
                      </w:pPr>
                      <w:r>
                        <w:rPr>
                          <w:rFonts w:hint="eastAsia" w:ascii="楷体_GB2312" w:hAnsi="宋体" w:eastAsia="楷体_GB2312" w:cs="楷体_GB2312"/>
                          <w:b/>
                          <w:bCs/>
                          <w:sz w:val="18"/>
                          <w:szCs w:val="18"/>
                        </w:rPr>
                        <w:t>特别安全生产事项</w:t>
                      </w:r>
                    </w:p>
                  </w:txbxContent>
                </v:textbox>
              </v:shape>
            </w:pict>
          </mc:Fallback>
        </mc:AlternateContent>
      </w:r>
      <w:r>
        <w:rPr>
          <w:rFonts w:hint="default" w:ascii="Times New Roman" w:hAnsi="Times New Roman" w:cs="Times New Roman"/>
          <w:color w:val="auto"/>
          <w:sz w:val="22"/>
          <w:szCs w:val="22"/>
          <w:highlight w:val="none"/>
        </w:rPr>
        <w:t xml:space="preserve">          承包人应按照法律规定进行施工，开工前做好安全技术交底工作，施工过程中做好</w:t>
      </w:r>
    </w:p>
    <w:p w14:paraId="0F81867D">
      <w:pPr>
        <w:spacing w:line="420" w:lineRule="exact"/>
        <w:ind w:left="1556" w:leftChars="74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各项安全防护措施。承包人为实施合同而雇用的特殊工种的人员应受过专门的培训并已取得政府有关管理机构颁发的上岗证书。</w:t>
      </w:r>
    </w:p>
    <w:p w14:paraId="6F38826F">
      <w:pPr>
        <w:spacing w:line="420" w:lineRule="exact"/>
        <w:ind w:left="1556" w:leftChars="74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 xml:space="preserve">承包人在动力设备、输电线路、地下管道、密封防震车间、易燃易爆地段以及临街交通要道附近施工时，施工开始前应向发包人和监理人提出安全防护措施，经发包人认可后实施。 </w:t>
      </w:r>
    </w:p>
    <w:p w14:paraId="30A035A5">
      <w:pPr>
        <w:spacing w:line="420" w:lineRule="exact"/>
        <w:ind w:left="1556" w:leftChars="74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实施爆破作业，在放射、毒害性环境中施工（含储存、运输、使用）及使用毒害性、腐蚀性物品施工时，承包人应在施工前7天以书面通知发包人和监理人，并报送相应的安全防护措施，经发包人认可后实施。</w:t>
      </w:r>
    </w:p>
    <w:p w14:paraId="6F22E599">
      <w:pPr>
        <w:adjustRightInd w:val="0"/>
        <w:snapToGrid w:val="0"/>
        <w:spacing w:line="420" w:lineRule="exact"/>
        <w:ind w:left="1556" w:leftChars="74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需单独编制危险性较大分部分项专项工程施工方案的，及要求进行专家论证的超过一定规模的危险性较大的分部分项工程，承包人应及时编制和组织论证。</w:t>
      </w:r>
    </w:p>
    <w:p w14:paraId="36F5F350">
      <w:pPr>
        <w:adjustRightInd w:val="0"/>
        <w:snapToGrid w:val="0"/>
        <w:spacing w:line="420" w:lineRule="exact"/>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4E24F591">
      <w:pPr>
        <w:pStyle w:val="15"/>
        <w:tabs>
          <w:tab w:val="left" w:pos="540"/>
        </w:tabs>
        <w:adjustRightInd w:val="0"/>
        <w:snapToGrid w:val="0"/>
        <w:spacing w:before="240" w:beforeLines="100" w:line="420" w:lineRule="exact"/>
        <w:outlineLvl w:val="2"/>
        <w:rPr>
          <w:rFonts w:hint="default" w:ascii="Times New Roman" w:hAnsi="Times New Roman" w:cs="Times New Roman"/>
          <w:b/>
          <w:bCs/>
          <w:color w:val="auto"/>
          <w:sz w:val="22"/>
          <w:szCs w:val="22"/>
          <w:highlight w:val="none"/>
        </w:rPr>
      </w:pPr>
      <w:bookmarkStart w:id="189" w:name="_Toc469384029"/>
      <w:bookmarkStart w:id="190" w:name="_Toc24673"/>
      <w:r>
        <w:rPr>
          <w:rFonts w:hint="default" w:ascii="Times New Roman" w:hAnsi="Times New Roman" w:cs="Times New Roman"/>
          <w:b/>
          <w:bCs/>
          <w:color w:val="auto"/>
          <w:sz w:val="22"/>
          <w:szCs w:val="22"/>
          <w:highlight w:val="none"/>
        </w:rPr>
        <w:t>46  测量放线</w:t>
      </w:r>
      <w:bookmarkEnd w:id="189"/>
      <w:bookmarkEnd w:id="190"/>
    </w:p>
    <w:p w14:paraId="2474B606">
      <w:pPr>
        <w:pStyle w:val="7"/>
        <w:tabs>
          <w:tab w:val="left" w:pos="1202"/>
        </w:tabs>
        <w:adjustRightInd w:val="0"/>
        <w:snapToGrid w:val="0"/>
        <w:spacing w:line="420" w:lineRule="exact"/>
        <w:ind w:firstLine="0"/>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41536" behindDoc="0" locked="0" layoutInCell="1" allowOverlap="1">
                <wp:simplePos x="0" y="0"/>
                <wp:positionH relativeFrom="column">
                  <wp:posOffset>-114300</wp:posOffset>
                </wp:positionH>
                <wp:positionV relativeFrom="paragraph">
                  <wp:posOffset>286385</wp:posOffset>
                </wp:positionV>
                <wp:extent cx="914400" cy="546100"/>
                <wp:effectExtent l="0" t="0" r="0" b="0"/>
                <wp:wrapNone/>
                <wp:docPr id="415" name="文本框 415"/>
                <wp:cNvGraphicFramePr/>
                <a:graphic xmlns:a="http://schemas.openxmlformats.org/drawingml/2006/main">
                  <a:graphicData uri="http://schemas.microsoft.com/office/word/2010/wordprocessingShape">
                    <wps:wsp>
                      <wps:cNvSpPr txBox="1"/>
                      <wps:spPr>
                        <a:xfrm>
                          <a:off x="0" y="0"/>
                          <a:ext cx="914400" cy="546100"/>
                        </a:xfrm>
                        <a:prstGeom prst="rect">
                          <a:avLst/>
                        </a:prstGeom>
                        <a:noFill/>
                        <a:ln>
                          <a:noFill/>
                        </a:ln>
                        <a:effectLst/>
                      </wps:spPr>
                      <wps:txbx>
                        <w:txbxContent>
                          <w:p w14:paraId="4215BFB7">
                            <w:pPr>
                              <w:rPr>
                                <w:rFonts w:ascii="宋体" w:cs="Times New Roman"/>
                                <w:sz w:val="18"/>
                                <w:szCs w:val="18"/>
                              </w:rPr>
                            </w:pPr>
                            <w:r>
                              <w:rPr>
                                <w:rFonts w:hint="eastAsia" w:ascii="楷体_GB2312" w:hAnsi="宋体" w:eastAsia="楷体_GB2312" w:cs="楷体_GB2312"/>
                                <w:b/>
                                <w:bCs/>
                                <w:color w:val="000000"/>
                                <w:sz w:val="18"/>
                                <w:szCs w:val="18"/>
                              </w:rPr>
                              <w:t>测设施工控制网</w:t>
                            </w:r>
                          </w:p>
                        </w:txbxContent>
                      </wps:txbx>
                      <wps:bodyPr wrap="square" upright="1"/>
                    </wps:wsp>
                  </a:graphicData>
                </a:graphic>
              </wp:anchor>
            </w:drawing>
          </mc:Choice>
          <mc:Fallback>
            <w:pict>
              <v:shape id="_x0000_s1026" o:spid="_x0000_s1026" o:spt="202" type="#_x0000_t202" style="position:absolute;left:0pt;margin-left:-9pt;margin-top:22.55pt;height:43pt;width:72pt;z-index:251841536;mso-width-relative:page;mso-height-relative:page;" filled="f" stroked="f" coordsize="21600,21600" o:gfxdata="UEsDBAoAAAAAAIdO4kAAAAAAAAAAAAAAAAAEAAAAZHJzL1BLAwQUAAAACACHTuJAF63redcAAAAK&#10;AQAADwAAAGRycy9kb3ducmV2LnhtbE2PzU7DMBCE70h9B2uRuLW2S1uVEKeHIq4g+oPEzY23SUS8&#10;jmK3CW/P9gS33Z3R7Df5ZvStuGIfm0AG9EyBQCqDa6gycNi/TtcgYrLkbBsIDfxghE0xuctt5sJA&#10;H3jdpUpwCMXMGqhT6jIpY1mjt3EWOiTWzqH3NvHaV9L1duBw38q5UivpbUP8obYdbmssv3cXb+D4&#10;dv76XKj36sUvuyGMSpJ/ksY83Gv1DCLhmP7McMNndCiY6RQu5KJoDUz1mrskA4ulBnEzzFd8OPHw&#10;qDXIIpf/KxS/UEsDBBQAAAAIAIdO4kBz0vdavAEAAG0DAAAOAAAAZHJzL2Uyb0RvYy54bWytU0tu&#10;2zAQ3RfoHQjua0mBE7SC5QCBkW6KtkDaA9DUyCLAXzm0JV+gvUFX3XTfc/kcHVKKk6abLLKhhvN5&#10;nPdmtLoejWYHCKicbXi1KDkDK12r7K7hX7/cvnnLGUZhW6GdhYYfAfn1+vWr1eBruHC90y0ERiAW&#10;68E3vI/R10WBsgcjcOE8WAp2LhgR6Rp2RRvEQOhGFxdleVUMLrQ+OAmI5N1MQT4jhucAuq5TEjZO&#10;7g3YOKEG0CISJeyVR77O3XYdyPip6xAi0w0npjGf9AjZ23QW65Wod0H4Xsm5BfGcFp5wMkJZevQM&#10;tRFRsH1Q/0EZJYND18WFdKaYiGRFiEVVPtHmrhceMheSGv1ZdHw5WPnx8Dkw1TZ8WV1yZoWhkZ9+&#10;/jj9+nP6/Z0lJ0k0eKwp885Tbhxv3EiLc+9HcibmYxdM+hInRnES+HgWGMbIJDnfVctlSRFJocvl&#10;VUU2oRcPxT5gfA/OsGQ0PND8sqzi8AHjlHqfkt6y7lZpnWeo7T8Owpw8kJdgrk48pn6TFcftOJPb&#10;uvZI3AZahIbjt70IwNneB7XrqY3MtUglNIXc77wxacyP72Q//kvWf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Xret51wAAAAoBAAAPAAAAAAAAAAEAIAAAACIAAABkcnMvZG93bnJldi54bWxQSwEC&#10;FAAUAAAACACHTuJAc9L3WrwBAABtAwAADgAAAAAAAAABACAAAAAmAQAAZHJzL2Uyb0RvYy54bWxQ&#10;SwUGAAAAAAYABgBZAQAAVAUAAAAA&#10;">
                <v:fill on="f" focussize="0,0"/>
                <v:stroke on="f"/>
                <v:imagedata o:title=""/>
                <o:lock v:ext="edit" aspectratio="f"/>
                <v:textbox>
                  <w:txbxContent>
                    <w:p w14:paraId="4215BFB7">
                      <w:pPr>
                        <w:rPr>
                          <w:rFonts w:ascii="宋体" w:cs="Times New Roman"/>
                          <w:sz w:val="18"/>
                          <w:szCs w:val="18"/>
                        </w:rPr>
                      </w:pPr>
                      <w:r>
                        <w:rPr>
                          <w:rFonts w:hint="eastAsia" w:ascii="楷体_GB2312" w:hAnsi="宋体" w:eastAsia="楷体_GB2312" w:cs="楷体_GB2312"/>
                          <w:b/>
                          <w:bCs/>
                          <w:color w:val="000000"/>
                          <w:sz w:val="18"/>
                          <w:szCs w:val="18"/>
                        </w:rPr>
                        <w:t>测设施工控制网</w:t>
                      </w:r>
                    </w:p>
                  </w:txbxContent>
                </v:textbox>
              </v:shape>
            </w:pict>
          </mc:Fallback>
        </mc:AlternateContent>
      </w:r>
      <w:r>
        <w:rPr>
          <w:rFonts w:hint="default" w:ascii="Times New Roman" w:hAnsi="Times New Roman" w:cs="Times New Roman"/>
          <w:b/>
          <w:bCs/>
          <w:color w:val="auto"/>
          <w:sz w:val="22"/>
          <w:szCs w:val="22"/>
          <w:highlight w:val="none"/>
        </w:rPr>
        <w:t>46.1</w:t>
      </w:r>
    </w:p>
    <w:p w14:paraId="4BC3BAB3">
      <w:pPr>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监理工程师应在发出开工令后的7天内，向承包人提供原始基准点、基准线、基准高程等书面资料。承包人应根据国家测绘基准、测绘系统和工程测量技术规范，按照上述资料以及合同工程精度要求，测绘施工控制网，并在专用条款约定的期限内，将施工控制网资料提交监理工程师确认。</w:t>
      </w:r>
    </w:p>
    <w:p w14:paraId="7003C1E9">
      <w:pPr>
        <w:adjustRightInd w:val="0"/>
        <w:snapToGrid w:val="0"/>
        <w:spacing w:line="420" w:lineRule="exact"/>
        <w:ind w:left="1619" w:leftChars="771"/>
        <w:rPr>
          <w:rFonts w:hint="default" w:ascii="Times New Roman" w:hAnsi="Times New Roman" w:cs="Times New Roman"/>
          <w:color w:val="auto"/>
          <w:sz w:val="22"/>
          <w:szCs w:val="22"/>
          <w:highlight w:val="none"/>
        </w:rPr>
      </w:pPr>
    </w:p>
    <w:p w14:paraId="659C22A2">
      <w:pPr>
        <w:adjustRightInd w:val="0"/>
        <w:snapToGrid w:val="0"/>
        <w:spacing w:line="420" w:lineRule="exact"/>
        <w:rPr>
          <w:rFonts w:hint="default" w:ascii="Times New Roman" w:hAnsi="Times New Roman" w:cs="Times New Roman"/>
          <w:b/>
          <w:bCs/>
          <w:color w:val="auto"/>
          <w:sz w:val="22"/>
          <w:szCs w:val="22"/>
          <w:highlight w:val="none"/>
          <w:u w:val="dotted"/>
        </w:rPr>
      </w:pPr>
      <w:r>
        <w:rPr>
          <w:rFonts w:hint="default" w:ascii="Times New Roman" w:hAnsi="Times New Roman" w:cs="Times New Roman"/>
          <w:b/>
          <w:bCs/>
          <w:color w:val="auto"/>
          <w:sz w:val="22"/>
          <w:szCs w:val="22"/>
          <w:highlight w:val="none"/>
        </w:rPr>
        <w:t xml:space="preserve">46.2  </w:t>
      </w:r>
      <w:r>
        <w:rPr>
          <w:rFonts w:hint="default" w:ascii="Times New Roman" w:hAnsi="Times New Roman" w:cs="Times New Roman"/>
          <w:b/>
          <w:bCs/>
          <w:color w:val="auto"/>
          <w:sz w:val="22"/>
          <w:szCs w:val="22"/>
          <w:highlight w:val="none"/>
          <w:u w:val="dotted"/>
        </w:rPr>
        <w:t xml:space="preserve">                                                                              </w:t>
      </w:r>
    </w:p>
    <w:p w14:paraId="0ACDA3BA">
      <w:pPr>
        <w:adjustRightInd w:val="0"/>
        <w:snapToGrid w:val="0"/>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42560" behindDoc="0" locked="0" layoutInCell="1" allowOverlap="1">
                <wp:simplePos x="0" y="0"/>
                <wp:positionH relativeFrom="column">
                  <wp:posOffset>-114300</wp:posOffset>
                </wp:positionH>
                <wp:positionV relativeFrom="paragraph">
                  <wp:posOffset>214630</wp:posOffset>
                </wp:positionV>
                <wp:extent cx="914400" cy="677545"/>
                <wp:effectExtent l="0" t="0" r="0" b="0"/>
                <wp:wrapNone/>
                <wp:docPr id="186" name="文本框 186"/>
                <wp:cNvGraphicFramePr/>
                <a:graphic xmlns:a="http://schemas.openxmlformats.org/drawingml/2006/main">
                  <a:graphicData uri="http://schemas.microsoft.com/office/word/2010/wordprocessingShape">
                    <wps:wsp>
                      <wps:cNvSpPr txBox="1"/>
                      <wps:spPr>
                        <a:xfrm>
                          <a:off x="0" y="0"/>
                          <a:ext cx="914400" cy="677545"/>
                        </a:xfrm>
                        <a:prstGeom prst="rect">
                          <a:avLst/>
                        </a:prstGeom>
                        <a:noFill/>
                        <a:ln>
                          <a:noFill/>
                        </a:ln>
                        <a:effectLst/>
                      </wps:spPr>
                      <wps:txbx>
                        <w:txbxContent>
                          <w:p w14:paraId="5EDB2646">
                            <w:pPr>
                              <w:jc w:val="lef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施工控制网（点）管理与使用</w:t>
                            </w:r>
                          </w:p>
                        </w:txbxContent>
                      </wps:txbx>
                      <wps:bodyPr wrap="square" upright="1"/>
                    </wps:wsp>
                  </a:graphicData>
                </a:graphic>
              </wp:anchor>
            </w:drawing>
          </mc:Choice>
          <mc:Fallback>
            <w:pict>
              <v:shape id="_x0000_s1026" o:spid="_x0000_s1026" o:spt="202" type="#_x0000_t202" style="position:absolute;left:0pt;margin-left:-9pt;margin-top:16.9pt;height:53.35pt;width:72pt;z-index:251842560;mso-width-relative:page;mso-height-relative:page;" filled="f" stroked="f" coordsize="21600,21600" o:gfxdata="UEsDBAoAAAAAAIdO4kAAAAAAAAAAAAAAAAAEAAAAZHJzL1BLAwQUAAAACACHTuJAWpNLadcAAAAK&#10;AQAADwAAAGRycy9kb3ducmV2LnhtbE2PS0/DMBCE70j8B2uRuLV2+lIJ2fQA4gqiPCRubrxNIuJ1&#10;FLtN+PdsT3Db3RnNflPsJt+pMw2xDYyQzQ0o4iq4lmuE97en2RZUTJad7QITwg9F2JXXV4XNXRj5&#10;lc77VCsJ4ZhbhCalPtc6Vg15G+ehJxbtGAZvk6xDrd1gRwn3nV4Ys9HetiwfGtvTQ0PV9/7kET6e&#10;j1+fK/NSP/p1P4bJaPZ3GvH2JjP3oBJN6c8MF3xBh1KYDuHELqoOYZZtpUtCWC6lwsWw2MjhIMPK&#10;rEGXhf5fofwFUEsDBBQAAAAIAIdO4kAjLH19vAEAAG0DAAAOAAAAZHJzL2Uyb0RvYy54bWytU0tu&#10;2zAQ3RfoHQjua8qB46SC5QCFkW6KtkDaA9DUyCLAXzm0JV+gvUFX3XTfc/kcHUqKmyabLLKhhvN5&#10;nPdmtLrprWEHiKi9q/h8VnAGTvlau13Fv365fXPNGSbpamm8g4ofAfnN+vWrVRdKuPCtNzVERiAO&#10;yy5UvE0plEKgasFKnPkAjoKNj1YmusadqKPsCN0acVEUS9H5WIfoFSCSdzMG+YQYnwPom0Yr2Hi1&#10;t+DSiBrByESUsNUB+XrotmlApU9Ng5CYqTgxTcNJj5C9zadYr2S5izK0Wk0tyOe08IiTldrRo2eo&#10;jUyS7aN+AmW1ih59k2bKWzESGRQhFvPikTZ3rQwwcCGpMZxFx5eDVR8PnyPTNW3C9ZIzJy2N/PTz&#10;x+nXn9Pv7yw7SaIuYEmZd4FyU//O95R+70dyZuZ9E23+EidGcRL4eBYY+sQUOd/OF4uCIopCy6ur&#10;y8VlRhH/ikPE9B68ZdmoeKT5DbLKwwdMY+p9Sn7L+VttzDBD4/5zEObogWEJpurMY+w3W6nf9hO5&#10;ra+PxK2jRag4ftvLCJztQ9S7ltoYuIpcQlMY+p02Jo/54Z3sh3/J+i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ak0tp1wAAAAoBAAAPAAAAAAAAAAEAIAAAACIAAABkcnMvZG93bnJldi54bWxQSwEC&#10;FAAUAAAACACHTuJAIyx9fbwBAABtAwAADgAAAAAAAAABACAAAAAmAQAAZHJzL2Uyb0RvYy54bWxQ&#10;SwUGAAAAAAYABgBZAQAAVAUAAAAA&#10;">
                <v:fill on="f" focussize="0,0"/>
                <v:stroke on="f"/>
                <v:imagedata o:title=""/>
                <o:lock v:ext="edit" aspectratio="f"/>
                <v:textbox>
                  <w:txbxContent>
                    <w:p w14:paraId="5EDB2646">
                      <w:pPr>
                        <w:jc w:val="lef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施工控制网（点）管理与使用</w:t>
                      </w:r>
                    </w:p>
                  </w:txbxContent>
                </v:textbox>
              </v:shape>
            </w:pict>
          </mc:Fallback>
        </mc:AlternateContent>
      </w:r>
    </w:p>
    <w:p w14:paraId="3B9A2EA7">
      <w:pPr>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承包人应负责施工控制网点的管理。施工控制网点丢失或损坏的，承包人应及时修复。承包人应承担施工控制网点的管理与修复费用，并在工程竣工后将施工控制网点移交发包人。</w:t>
      </w:r>
    </w:p>
    <w:p w14:paraId="6B6BF1CF">
      <w:pPr>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监理工程师需要使用施工控制网的，承包人应提供必要的协助，发包人无需为此支付任何费用。</w:t>
      </w:r>
    </w:p>
    <w:p w14:paraId="157F9F83">
      <w:pPr>
        <w:adjustRightInd w:val="0"/>
        <w:snapToGrid w:val="0"/>
        <w:spacing w:line="420" w:lineRule="exact"/>
        <w:rPr>
          <w:rFonts w:hint="default" w:ascii="Times New Roman" w:hAnsi="Times New Roman" w:cs="Times New Roman"/>
          <w:b/>
          <w:bCs/>
          <w:color w:val="auto"/>
          <w:sz w:val="22"/>
          <w:szCs w:val="22"/>
          <w:highlight w:val="none"/>
          <w:u w:val="dotted"/>
        </w:rPr>
      </w:pPr>
      <w:r>
        <w:rPr>
          <w:rFonts w:hint="default" w:ascii="Times New Roman" w:hAnsi="Times New Roman" w:cs="Times New Roman"/>
          <w:b/>
          <w:bCs/>
          <w:color w:val="auto"/>
          <w:sz w:val="22"/>
          <w:szCs w:val="22"/>
          <w:highlight w:val="none"/>
        </w:rPr>
        <w:t xml:space="preserve">46.3  </w:t>
      </w:r>
      <w:r>
        <w:rPr>
          <w:rFonts w:hint="default" w:ascii="Times New Roman" w:hAnsi="Times New Roman" w:cs="Times New Roman"/>
          <w:b/>
          <w:bCs/>
          <w:color w:val="auto"/>
          <w:sz w:val="22"/>
          <w:szCs w:val="22"/>
          <w:highlight w:val="none"/>
          <w:u w:val="dotted"/>
        </w:rPr>
        <w:t xml:space="preserve">                                                                              </w:t>
      </w:r>
    </w:p>
    <w:p w14:paraId="711D8D0C">
      <w:pPr>
        <w:adjustRightInd w:val="0"/>
        <w:snapToGrid w:val="0"/>
        <w:spacing w:line="420" w:lineRule="exact"/>
        <w:rPr>
          <w:rFonts w:hint="default" w:ascii="Times New Roman" w:hAnsi="Times New Roman" w:cs="Times New Roman"/>
          <w:color w:val="auto"/>
          <w:sz w:val="22"/>
          <w:szCs w:val="22"/>
          <w:highlight w:val="none"/>
        </w:rPr>
      </w:pPr>
    </w:p>
    <w:p w14:paraId="190C9844">
      <w:pPr>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43584" behindDoc="0" locked="0" layoutInCell="1" allowOverlap="1">
                <wp:simplePos x="0" y="0"/>
                <wp:positionH relativeFrom="column">
                  <wp:posOffset>-114300</wp:posOffset>
                </wp:positionH>
                <wp:positionV relativeFrom="paragraph">
                  <wp:posOffset>-6350</wp:posOffset>
                </wp:positionV>
                <wp:extent cx="914400" cy="541020"/>
                <wp:effectExtent l="0" t="0" r="0" b="0"/>
                <wp:wrapNone/>
                <wp:docPr id="187" name="文本框 187"/>
                <wp:cNvGraphicFramePr/>
                <a:graphic xmlns:a="http://schemas.openxmlformats.org/drawingml/2006/main">
                  <a:graphicData uri="http://schemas.microsoft.com/office/word/2010/wordprocessingShape">
                    <wps:wsp>
                      <wps:cNvSpPr txBox="1"/>
                      <wps:spPr>
                        <a:xfrm>
                          <a:off x="0" y="0"/>
                          <a:ext cx="914400" cy="541020"/>
                        </a:xfrm>
                        <a:prstGeom prst="rect">
                          <a:avLst/>
                        </a:prstGeom>
                        <a:noFill/>
                        <a:ln>
                          <a:noFill/>
                        </a:ln>
                        <a:effectLst/>
                      </wps:spPr>
                      <wps:txbx>
                        <w:txbxContent>
                          <w:p w14:paraId="7DD4425E">
                            <w:pPr>
                              <w:spacing w:line="200" w:lineRule="exact"/>
                              <w:rPr>
                                <w:rFonts w:cs="Times New Roman"/>
                                <w:sz w:val="18"/>
                                <w:szCs w:val="18"/>
                              </w:rPr>
                            </w:pPr>
                            <w:r>
                              <w:rPr>
                                <w:rFonts w:hint="eastAsia" w:ascii="楷体_GB2312" w:hAnsi="宋体" w:eastAsia="楷体_GB2312" w:cs="楷体_GB2312"/>
                                <w:b/>
                                <w:bCs/>
                                <w:color w:val="000000"/>
                                <w:sz w:val="18"/>
                                <w:szCs w:val="18"/>
                              </w:rPr>
                              <w:t>承包人测量放线的责任</w:t>
                            </w:r>
                          </w:p>
                        </w:txbxContent>
                      </wps:txbx>
                      <wps:bodyPr wrap="square" upright="1"/>
                    </wps:wsp>
                  </a:graphicData>
                </a:graphic>
              </wp:anchor>
            </w:drawing>
          </mc:Choice>
          <mc:Fallback>
            <w:pict>
              <v:shape id="_x0000_s1026" o:spid="_x0000_s1026" o:spt="202" type="#_x0000_t202" style="position:absolute;left:0pt;margin-left:-9pt;margin-top:-0.5pt;height:42.6pt;width:72pt;z-index:251843584;mso-width-relative:page;mso-height-relative:page;" filled="f" stroked="f" coordsize="21600,21600" o:gfxdata="UEsDBAoAAAAAAIdO4kAAAAAAAAAAAAAAAAAEAAAAZHJzL1BLAwQUAAAACACHTuJA3iywvNUAAAAJ&#10;AQAADwAAAGRycy9kb3ducmV2LnhtbE2PQU/DMAyF70j8h8hI3Lak1Zi60nQHEFcQY5u0W9Z4bUXj&#10;VE22ln+Pe4KTn+Wn5+8V28l14oZDaD1pSJYKBFLlbUu1hv3X2yIDEaIhazpPqOEHA2zL+7vC5NaP&#10;9Im3XawFh1DIjYYmxj6XMlQNOhOWvkfi28UPzkReh1rawYwc7jqZKrWWzrTEHxrT40uD1ffu6jQc&#10;3i+n40p91K/uqR/9pCS5jdT68SFRzyAiTvHPDDM+o0PJTGd/JRtEp2GRZNwlzoLnbEjXLM4aslUK&#10;sizk/wblL1BLAwQUAAAACACHTuJAX6YvUL0BAABtAwAADgAAAGRycy9lMm9Eb2MueG1srVNLbtsw&#10;EN0X6B0I7mvJhpsmguUAhZFuirRAmgPQ1MgiwF85tCVfoL1BV91033P5HB1SipOmmyy6oYbzeZz3&#10;ZrS6HoxmBwionK35fFZyBla6Rtldze+/3Ly55AyjsI3QzkLNj4D8ev361ar3FSxc53QDgRGIxar3&#10;Ne9i9FVRoOzACJw5D5aCrQtGRLqGXdEE0RO60cWiLC+K3oXGBycBkbybMcgnxPASQNe2SsLGyb0B&#10;G0fUAFpEooSd8sjXudu2BRk/tS1CZLrmxDTmkx4he5vOYr0S1S4I3yk5tSBe0sIzTkYoS4+eoTYi&#10;CrYP6h8oo2Rw6No4k84UI5GsCLGYl8+0ueuEh8yFpEZ/Fh3/H6y8PXwOTDW0CZfvOLPC0MhPP76f&#10;fv4+/frGkpMk6j1WlHnnKTcO791A6Q9+JGdiPrTBpC9xYhQngY9ngWGITJLzar5clhSRFHq7nJeL&#10;PIDisdgHjB/AGZaMmgeaX5ZVHD5ipEYo9SElvWXdjdI6z1DbvxyUOHogL8FUnXiM/SYrDtthIrd1&#10;zZG49bQINcevexGAs70PatdRG5lrkUpoCrmJaWPSmJ/eyX76l6z/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N4ssLzVAAAACQEAAA8AAAAAAAAAAQAgAAAAIgAAAGRycy9kb3ducmV2LnhtbFBLAQIU&#10;ABQAAAAIAIdO4kBfpi9QvQEAAG0DAAAOAAAAAAAAAAEAIAAAACQBAABkcnMvZTJvRG9jLnhtbFBL&#10;BQYAAAAABgAGAFkBAABTBQAAAAA=&#10;">
                <v:fill on="f" focussize="0,0"/>
                <v:stroke on="f"/>
                <v:imagedata o:title=""/>
                <o:lock v:ext="edit" aspectratio="f"/>
                <v:textbox>
                  <w:txbxContent>
                    <w:p w14:paraId="7DD4425E">
                      <w:pPr>
                        <w:spacing w:line="200" w:lineRule="exact"/>
                        <w:rPr>
                          <w:rFonts w:cs="Times New Roman"/>
                          <w:sz w:val="18"/>
                          <w:szCs w:val="18"/>
                        </w:rPr>
                      </w:pPr>
                      <w:r>
                        <w:rPr>
                          <w:rFonts w:hint="eastAsia" w:ascii="楷体_GB2312" w:hAnsi="宋体" w:eastAsia="楷体_GB2312" w:cs="楷体_GB2312"/>
                          <w:b/>
                          <w:bCs/>
                          <w:color w:val="000000"/>
                          <w:sz w:val="18"/>
                          <w:szCs w:val="18"/>
                        </w:rPr>
                        <w:t>承包人测量放线的责任</w:t>
                      </w:r>
                    </w:p>
                  </w:txbxContent>
                </v:textbox>
              </v:shape>
            </w:pict>
          </mc:Fallback>
        </mc:AlternateContent>
      </w:r>
      <w:r>
        <w:rPr>
          <w:rFonts w:hint="default" w:ascii="Times New Roman" w:hAnsi="Times New Roman" w:cs="Times New Roman"/>
          <w:color w:val="auto"/>
          <w:sz w:val="22"/>
          <w:szCs w:val="22"/>
          <w:highlight w:val="none"/>
        </w:rPr>
        <w:t>承包人应配置合格的人员、仪器、设备和其他物品，根据监理工程师书面确定的原始基准点、基准线、基准高程等资料，准确完成对合同工程的全部施工测量放线工作，并对工程各部分的位置、标高、尺寸或定线的正确性负责。</w:t>
      </w:r>
    </w:p>
    <w:p w14:paraId="2732CF25">
      <w:pPr>
        <w:pStyle w:val="7"/>
        <w:tabs>
          <w:tab w:val="left" w:pos="720"/>
          <w:tab w:val="left" w:pos="1080"/>
        </w:tabs>
        <w:adjustRightInd w:val="0"/>
        <w:snapToGrid w:val="0"/>
        <w:spacing w:line="420" w:lineRule="exact"/>
        <w:ind w:firstLine="0"/>
        <w:rPr>
          <w:rFonts w:hint="default" w:ascii="Times New Roman" w:hAnsi="Times New Roman" w:cs="Times New Roman"/>
          <w:b/>
          <w:bCs/>
          <w:color w:val="auto"/>
          <w:sz w:val="22"/>
          <w:szCs w:val="22"/>
          <w:highlight w:val="none"/>
          <w:u w:val="dotted"/>
        </w:rPr>
      </w:pPr>
      <w:r>
        <w:rPr>
          <w:rFonts w:hint="default" w:ascii="Times New Roman" w:hAnsi="Times New Roman" w:cs="Times New Roman"/>
          <w:b/>
          <w:bCs/>
          <w:color w:val="auto"/>
          <w:sz w:val="22"/>
          <w:szCs w:val="22"/>
          <w:highlight w:val="none"/>
        </w:rPr>
        <w:t xml:space="preserve">46.4 </w:t>
      </w:r>
      <w:r>
        <w:rPr>
          <w:rFonts w:hint="default" w:ascii="Times New Roman" w:hAnsi="Times New Roman" w:cs="Times New Roman"/>
          <w:b/>
          <w:bCs/>
          <w:color w:val="auto"/>
          <w:sz w:val="22"/>
          <w:szCs w:val="22"/>
          <w:highlight w:val="none"/>
          <w:u w:val="dotted"/>
        </w:rPr>
        <w:t xml:space="preserve">                                                                               </w:t>
      </w:r>
    </w:p>
    <w:p w14:paraId="5CCFB73A">
      <w:pPr>
        <w:spacing w:line="420" w:lineRule="exact"/>
        <w:rPr>
          <w:rFonts w:hint="default" w:ascii="Times New Roman" w:hAnsi="Times New Roman" w:cs="Times New Roman"/>
          <w:color w:val="auto"/>
          <w:sz w:val="22"/>
          <w:szCs w:val="22"/>
          <w:highlight w:val="none"/>
        </w:rPr>
      </w:pPr>
    </w:p>
    <w:p w14:paraId="2F13D983">
      <w:pPr>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44608" behindDoc="0" locked="0" layoutInCell="1" allowOverlap="1">
                <wp:simplePos x="0" y="0"/>
                <wp:positionH relativeFrom="column">
                  <wp:posOffset>-66675</wp:posOffset>
                </wp:positionH>
                <wp:positionV relativeFrom="paragraph">
                  <wp:posOffset>8255</wp:posOffset>
                </wp:positionV>
                <wp:extent cx="914400" cy="375920"/>
                <wp:effectExtent l="0" t="0" r="0" b="0"/>
                <wp:wrapNone/>
                <wp:docPr id="188" name="文本框 188"/>
                <wp:cNvGraphicFramePr/>
                <a:graphic xmlns:a="http://schemas.openxmlformats.org/drawingml/2006/main">
                  <a:graphicData uri="http://schemas.microsoft.com/office/word/2010/wordprocessingShape">
                    <wps:wsp>
                      <wps:cNvSpPr txBox="1"/>
                      <wps:spPr>
                        <a:xfrm>
                          <a:off x="0" y="0"/>
                          <a:ext cx="914400" cy="375920"/>
                        </a:xfrm>
                        <a:prstGeom prst="rect">
                          <a:avLst/>
                        </a:prstGeom>
                        <a:noFill/>
                        <a:ln>
                          <a:noFill/>
                        </a:ln>
                        <a:effectLst/>
                      </wps:spPr>
                      <wps:txbx>
                        <w:txbxContent>
                          <w:p w14:paraId="1F5616C8">
                            <w:pPr>
                              <w:spacing w:line="200" w:lineRule="exact"/>
                              <w:rPr>
                                <w:rFonts w:ascii="楷体_GB2312" w:hAnsi="宋体" w:eastAsia="楷体_GB2312" w:cs="Times New Roman"/>
                                <w:sz w:val="18"/>
                                <w:szCs w:val="18"/>
                              </w:rPr>
                            </w:pPr>
                            <w:r>
                              <w:rPr>
                                <w:rFonts w:hint="eastAsia" w:ascii="楷体_GB2312" w:hAnsi="宋体" w:eastAsia="楷体_GB2312" w:cs="楷体_GB2312"/>
                                <w:b/>
                                <w:bCs/>
                                <w:color w:val="000000"/>
                                <w:sz w:val="18"/>
                                <w:szCs w:val="18"/>
                              </w:rPr>
                              <w:t>测量放线误差的处理</w:t>
                            </w:r>
                          </w:p>
                        </w:txbxContent>
                      </wps:txbx>
                      <wps:bodyPr wrap="square" upright="1"/>
                    </wps:wsp>
                  </a:graphicData>
                </a:graphic>
              </wp:anchor>
            </w:drawing>
          </mc:Choice>
          <mc:Fallback>
            <w:pict>
              <v:shape id="_x0000_s1026" o:spid="_x0000_s1026" o:spt="202" type="#_x0000_t202" style="position:absolute;left:0pt;margin-left:-5.25pt;margin-top:0.65pt;height:29.6pt;width:72pt;z-index:251844608;mso-width-relative:page;mso-height-relative:page;" filled="f" stroked="f" coordsize="21600,21600" o:gfxdata="UEsDBAoAAAAAAIdO4kAAAAAAAAAAAAAAAAAEAAAAZHJzL1BLAwQUAAAACACHTuJA47LALNMAAAAI&#10;AQAADwAAAGRycy9kb3ducmV2LnhtbE2PwU7DMBBE70j8g7VI3Np1CK0gxOkBxBVEC0jc3HibRMTr&#10;KHab8PdsT3CcfaPZmXIz+16daIxdYAPZUoMiroPruDHwvnte3IGKybKzfWAy8EMRNtXlRWkLFyZ+&#10;o9M2NUpCOBbWQJvSUCDGuiVv4zIMxMIOYfQ2iRwbdKOdJNz3eKP1Gr3tWD60dqDHlurv7dEb+Hg5&#10;fH3e6tfmya+GKcwa2d+jMddXmX4AlWhOf2Y415fqUEmnfTiyi6o3sMj0SqwCclBnnuei9wbWcseq&#10;xP8Dql9QSwMEFAAAAAgAh07iQJ6qL3C9AQAAbQMAAA4AAABkcnMvZTJvRG9jLnhtbK1TS27bMBDd&#10;F8gdCO5jym7aJoLlAIWRboq2QJID0NTIIiB+yqEt+QLtDbrqpvuey+fIkFLcNN1k0Q01nM/jvDej&#10;5fVgOraHgNrZis9nBWdglau13Vb8/u7m/JIzjNLWsnMWKn4A5Ners1fL3pewcK3ragiMQCyWva94&#10;G6MvhUDVgpE4cx4sBRsXjIx0DVtRB9kTuunEoijeit6F2genAJG86zHIJ8TwEkDXNFrB2qmdARtH&#10;1ACdjEQJW+2Rr3K3TQMqfm4ahMi6ihPTmE96hOxNOsVqKcttkL7VampBvqSFZ5yM1JYePUGtZZRs&#10;F/Q/UEar4NA1caacESORrAixmBfPtLltpYfMhaRGfxId/x+s+rT/EpiuaRMuafBWGhr58cf348/f&#10;x1/fWHKSRL3HkjJvPeXG4b0bKP3Rj+RMzIcmmPQlToziJPDhJDAMkSlyXs0vLgqKKAq9fvfmapEH&#10;IP4U+4DxAzjDklHxQPPLssr9R4zUCKU+pqS3rLvRXZdn2Nm/HJQ4eiAvwVSdeIz9JisOm2Eit3H1&#10;gbj1tAgVx687GYCznQ9621IbmatIJTSF3MS0MWnMT+9kP/1LVg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jssAs0wAAAAgBAAAPAAAAAAAAAAEAIAAAACIAAABkcnMvZG93bnJldi54bWxQSwECFAAU&#10;AAAACACHTuJAnqovcL0BAABtAwAADgAAAAAAAAABACAAAAAiAQAAZHJzL2Uyb0RvYy54bWxQSwUG&#10;AAAAAAYABgBZAQAAUQUAAAAA&#10;">
                <v:fill on="f" focussize="0,0"/>
                <v:stroke on="f"/>
                <v:imagedata o:title=""/>
                <o:lock v:ext="edit" aspectratio="f"/>
                <v:textbox>
                  <w:txbxContent>
                    <w:p w14:paraId="1F5616C8">
                      <w:pPr>
                        <w:spacing w:line="200" w:lineRule="exact"/>
                        <w:rPr>
                          <w:rFonts w:ascii="楷体_GB2312" w:hAnsi="宋体" w:eastAsia="楷体_GB2312" w:cs="Times New Roman"/>
                          <w:sz w:val="18"/>
                          <w:szCs w:val="18"/>
                        </w:rPr>
                      </w:pPr>
                      <w:r>
                        <w:rPr>
                          <w:rFonts w:hint="eastAsia" w:ascii="楷体_GB2312" w:hAnsi="宋体" w:eastAsia="楷体_GB2312" w:cs="楷体_GB2312"/>
                          <w:b/>
                          <w:bCs/>
                          <w:color w:val="000000"/>
                          <w:sz w:val="18"/>
                          <w:szCs w:val="18"/>
                        </w:rPr>
                        <w:t>测量放线误差的处理</w:t>
                      </w:r>
                    </w:p>
                  </w:txbxContent>
                </v:textbox>
              </v:shape>
            </w:pict>
          </mc:Fallback>
        </mc:AlternateContent>
      </w:r>
      <w:r>
        <w:rPr>
          <w:rFonts w:hint="default" w:ascii="Times New Roman" w:hAnsi="Times New Roman" w:cs="Times New Roman"/>
          <w:color w:val="auto"/>
          <w:sz w:val="22"/>
          <w:szCs w:val="22"/>
          <w:highlight w:val="none"/>
        </w:rPr>
        <w:t>监理工程师有权对承包人施工测量放线工作进行检查验收。如果发现永久工程任何部分的位置、标高、尺寸或定线超过合同约定误差的，承包人应自费纠正，直到监理工程师认为符合合同约定为止。如果这些误差是由于监理工程师书面提供的数据错误导致的，发包人应当承担由此增加的费用和（或）工期延误，并向承包人支付合理利润。</w:t>
      </w:r>
    </w:p>
    <w:p w14:paraId="17E4965C">
      <w:pPr>
        <w:pStyle w:val="7"/>
        <w:tabs>
          <w:tab w:val="left" w:pos="720"/>
          <w:tab w:val="left" w:pos="1080"/>
        </w:tabs>
        <w:adjustRightInd w:val="0"/>
        <w:snapToGrid w:val="0"/>
        <w:spacing w:line="420" w:lineRule="exact"/>
        <w:ind w:firstLine="0"/>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46.5 </w:t>
      </w:r>
      <w:r>
        <w:rPr>
          <w:rFonts w:hint="default" w:ascii="Times New Roman" w:hAnsi="Times New Roman" w:cs="Times New Roman"/>
          <w:b/>
          <w:bCs/>
          <w:color w:val="auto"/>
          <w:sz w:val="22"/>
          <w:szCs w:val="22"/>
          <w:highlight w:val="none"/>
          <w:u w:val="dotted"/>
        </w:rPr>
        <w:t xml:space="preserve">                                                                         </w:t>
      </w: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45632" behindDoc="0" locked="0" layoutInCell="1" allowOverlap="1">
                <wp:simplePos x="0" y="0"/>
                <wp:positionH relativeFrom="column">
                  <wp:posOffset>-114300</wp:posOffset>
                </wp:positionH>
                <wp:positionV relativeFrom="paragraph">
                  <wp:posOffset>278130</wp:posOffset>
                </wp:positionV>
                <wp:extent cx="914400" cy="448310"/>
                <wp:effectExtent l="0" t="0" r="0" b="0"/>
                <wp:wrapNone/>
                <wp:docPr id="189" name="文本框 189"/>
                <wp:cNvGraphicFramePr/>
                <a:graphic xmlns:a="http://schemas.openxmlformats.org/drawingml/2006/main">
                  <a:graphicData uri="http://schemas.microsoft.com/office/word/2010/wordprocessingShape">
                    <wps:wsp>
                      <wps:cNvSpPr txBox="1"/>
                      <wps:spPr>
                        <a:xfrm>
                          <a:off x="0" y="0"/>
                          <a:ext cx="914400" cy="448310"/>
                        </a:xfrm>
                        <a:prstGeom prst="rect">
                          <a:avLst/>
                        </a:prstGeom>
                        <a:noFill/>
                        <a:ln>
                          <a:noFill/>
                        </a:ln>
                        <a:effectLst/>
                      </wps:spPr>
                      <wps:txbx>
                        <w:txbxContent>
                          <w:p w14:paraId="0E9E55F5">
                            <w:pPr>
                              <w:spacing w:line="20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保护基准点或线等标志</w:t>
                            </w:r>
                          </w:p>
                        </w:txbxContent>
                      </wps:txbx>
                      <wps:bodyPr wrap="square" upright="1"/>
                    </wps:wsp>
                  </a:graphicData>
                </a:graphic>
              </wp:anchor>
            </w:drawing>
          </mc:Choice>
          <mc:Fallback>
            <w:pict>
              <v:shape id="_x0000_s1026" o:spid="_x0000_s1026" o:spt="202" type="#_x0000_t202" style="position:absolute;left:0pt;margin-left:-9pt;margin-top:21.9pt;height:35.3pt;width:72pt;z-index:251845632;mso-width-relative:page;mso-height-relative:page;" filled="f" stroked="f" coordsize="21600,21600" o:gfxdata="UEsDBAoAAAAAAIdO4kAAAAAAAAAAAAAAAAAEAAAAZHJzL1BLAwQUAAAACACHTuJAYEupT9cAAAAK&#10;AQAADwAAAGRycy9kb3ducmV2LnhtbE2PT0/DMAzF70h8h8hI3Lako0yjNN0BxBXE+CNx8xqvrWic&#10;qsnW8u3xTnCz/Z6ef6/czr5XJxpjF9hCtjSgiOvgOm4svL89LTagYkJ22AcmCz8UYVtdXpRYuDDx&#10;K512qVESwrFAC21KQ6F1rFvyGJdhIBbtEEaPSdax0W7EScJ9r1fGrLXHjuVDiwM9tFR/747ewsfz&#10;4eszNy/No78dpjAbzf5OW3t9lZl7UInm9GeGM76gQyVM+3BkF1VvYZFtpEuykN9IhbNhtZbDXoYs&#10;z0FXpf5fofoFUEsDBBQAAAAIAIdO4kAIBXmqvAEAAG0DAAAOAAAAZHJzL2Uyb0RvYy54bWytU0tu&#10;2zAQ3RfIHQjuY8mpUTiC5QCFkW6KtkDaA9DUyCLAXzm0JV+gvUFX3XTfc/kcHVKK89tk0Q01nM/j&#10;vDej1c1gNDtAQOVszeezkjOw0jXK7mr+7evt5ZIzjMI2QjsLNT8C8pv1xZtV7yu4cp3TDQRGIBar&#10;3te8i9FXRYGyAyNw5jxYCrYuGBHpGnZFE0RP6EYXV2X5ruhdaHxwEhDJuxmDfEIMrwF0baskbJzc&#10;G7BxRA2gRSRK2CmPfJ27bVuQ8XPbIkSma05MYz7pEbK36SzWK1HtgvCdklML4jUtPONkhLL06Blq&#10;I6Jg+6BeQBklg0PXxpl0phiJZEWIxbx8ps1dJzxkLiQ1+rPo+P9g5afDl8BUQ5uwvObMCkMjP/36&#10;efr99/TnB0tOkqj3WFHmnafcOLx3A6Xf+5GcifnQBpO+xIlRnAQ+ngWGITJJzuv5YlFSRFJosVi+&#10;necBFA/FPmD8AM6wZNQ80PyyrOLwESM1Qqn3Kekt626V1nmG2j5xUOLogbwEU3XiMfabrDhsh4nc&#10;1jVH4tbTItQcv+9FAM72PqhdR21krkUqoSnkJqaNSWN+fCf78V+y/g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gS6lP1wAAAAoBAAAPAAAAAAAAAAEAIAAAACIAAABkcnMvZG93bnJldi54bWxQSwEC&#10;FAAUAAAACACHTuJACAV5qrwBAABtAwAADgAAAAAAAAABACAAAAAmAQAAZHJzL2Uyb0RvYy54bWxQ&#10;SwUGAAAAAAYABgBZAQAAVAUAAAAA&#10;">
                <v:fill on="f" focussize="0,0"/>
                <v:stroke on="f"/>
                <v:imagedata o:title=""/>
                <o:lock v:ext="edit" aspectratio="f"/>
                <v:textbox>
                  <w:txbxContent>
                    <w:p w14:paraId="0E9E55F5">
                      <w:pPr>
                        <w:spacing w:line="20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保护基准点或线等标志</w:t>
                      </w:r>
                    </w:p>
                  </w:txbxContent>
                </v:textbox>
              </v:shape>
            </w:pict>
          </mc:Fallback>
        </mc:AlternateContent>
      </w:r>
      <w:r>
        <w:rPr>
          <w:rFonts w:hint="default" w:ascii="Times New Roman" w:hAnsi="Times New Roman" w:cs="Times New Roman"/>
          <w:b/>
          <w:bCs/>
          <w:color w:val="auto"/>
          <w:sz w:val="22"/>
          <w:szCs w:val="22"/>
          <w:highlight w:val="none"/>
          <w:u w:val="dotted"/>
        </w:rPr>
        <w:t xml:space="preserve">      </w:t>
      </w:r>
    </w:p>
    <w:p w14:paraId="298CF9F8">
      <w:pPr>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监理工程师对工程位置、标高、尺寸、定线的检查，不能免除承包人测量放线工作准确性应承担的任何责任和应履行的任何义务。承包人应有效地保护一切基准点、基准线和其他有关的标志，直到永久工程竣工验收合格为止。</w:t>
      </w:r>
    </w:p>
    <w:p w14:paraId="1263DEAC">
      <w:pPr>
        <w:pStyle w:val="7"/>
        <w:tabs>
          <w:tab w:val="left" w:pos="2070"/>
        </w:tabs>
        <w:adjustRightInd w:val="0"/>
        <w:snapToGrid w:val="0"/>
        <w:spacing w:line="420" w:lineRule="exact"/>
        <w:ind w:firstLine="0"/>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5B706547">
      <w:pPr>
        <w:pStyle w:val="15"/>
        <w:tabs>
          <w:tab w:val="left" w:pos="540"/>
        </w:tabs>
        <w:adjustRightInd w:val="0"/>
        <w:snapToGrid w:val="0"/>
        <w:spacing w:before="240" w:beforeLines="100" w:line="420" w:lineRule="exact"/>
        <w:outlineLvl w:val="2"/>
        <w:rPr>
          <w:rFonts w:hint="default" w:ascii="Times New Roman" w:hAnsi="Times New Roman" w:cs="Times New Roman"/>
          <w:b/>
          <w:bCs/>
          <w:color w:val="auto"/>
          <w:sz w:val="22"/>
          <w:szCs w:val="22"/>
          <w:highlight w:val="none"/>
        </w:rPr>
      </w:pPr>
      <w:bookmarkStart w:id="191" w:name="_Toc8343"/>
      <w:bookmarkStart w:id="192" w:name="_Toc469384030"/>
      <w:r>
        <w:rPr>
          <w:rFonts w:hint="default" w:ascii="Times New Roman" w:hAnsi="Times New Roman" w:cs="Times New Roman"/>
          <w:b/>
          <w:bCs/>
          <w:color w:val="auto"/>
          <w:sz w:val="22"/>
          <w:szCs w:val="22"/>
          <w:highlight w:val="none"/>
        </w:rPr>
        <w:t>47  钻孔与勘探性开挖</w:t>
      </w:r>
      <w:bookmarkEnd w:id="191"/>
      <w:bookmarkEnd w:id="192"/>
    </w:p>
    <w:p w14:paraId="6B23C6FB">
      <w:pPr>
        <w:pStyle w:val="7"/>
        <w:adjustRightInd w:val="0"/>
        <w:snapToGrid w:val="0"/>
        <w:spacing w:line="420" w:lineRule="exact"/>
        <w:ind w:firstLine="0"/>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46656" behindDoc="0" locked="0" layoutInCell="1" allowOverlap="1">
                <wp:simplePos x="0" y="0"/>
                <wp:positionH relativeFrom="column">
                  <wp:posOffset>-133350</wp:posOffset>
                </wp:positionH>
                <wp:positionV relativeFrom="paragraph">
                  <wp:posOffset>285115</wp:posOffset>
                </wp:positionV>
                <wp:extent cx="914400" cy="648335"/>
                <wp:effectExtent l="0" t="0" r="0" b="0"/>
                <wp:wrapNone/>
                <wp:docPr id="190" name="文本框 190"/>
                <wp:cNvGraphicFramePr/>
                <a:graphic xmlns:a="http://schemas.openxmlformats.org/drawingml/2006/main">
                  <a:graphicData uri="http://schemas.microsoft.com/office/word/2010/wordprocessingShape">
                    <wps:wsp>
                      <wps:cNvSpPr txBox="1"/>
                      <wps:spPr>
                        <a:xfrm>
                          <a:off x="0" y="0"/>
                          <a:ext cx="914400" cy="648335"/>
                        </a:xfrm>
                        <a:prstGeom prst="rect">
                          <a:avLst/>
                        </a:prstGeom>
                        <a:noFill/>
                        <a:ln>
                          <a:noFill/>
                        </a:ln>
                        <a:effectLst/>
                      </wps:spPr>
                      <wps:txbx>
                        <w:txbxContent>
                          <w:p w14:paraId="7E424BFD">
                            <w:pPr>
                              <w:spacing w:line="20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发出钻孔和勘探性开挖工作指令</w:t>
                            </w:r>
                          </w:p>
                        </w:txbxContent>
                      </wps:txbx>
                      <wps:bodyPr wrap="square" upright="1"/>
                    </wps:wsp>
                  </a:graphicData>
                </a:graphic>
              </wp:anchor>
            </w:drawing>
          </mc:Choice>
          <mc:Fallback>
            <w:pict>
              <v:shape id="_x0000_s1026" o:spid="_x0000_s1026" o:spt="202" type="#_x0000_t202" style="position:absolute;left:0pt;margin-left:-10.5pt;margin-top:22.45pt;height:51.05pt;width:72pt;z-index:251846656;mso-width-relative:page;mso-height-relative:page;" filled="f" stroked="f" coordsize="21600,21600" o:gfxdata="UEsDBAoAAAAAAIdO4kAAAAAAAAAAAAAAAAAEAAAAZHJzL1BLAwQUAAAACACHTuJAjYtmqtcAAAAK&#10;AQAADwAAAGRycy9kb3ducmV2LnhtbE2PQU/DMAyF70j8h8hI3LakpQxWmu4A4graGJN2yxqvrWic&#10;qsnW8u/xTuNm+z09f69YTa4TZxxC60lDMlcgkCpvW6o1bL/eZ88gQjRkTecJNfxigFV5e1OY3PqR&#10;1njexFpwCIXcaGhi7HMpQ9WgM2HueyTWjn5wJvI61NIOZuRw18lUqYV0piX+0JgeXxusfjYnp+H7&#10;47jfZeqzfnOP/egnJcktpdb3d4l6ARFxilczXPAZHUpmOvgT2SA6DbM04S5RQ5YtQVwM6QMfDjxk&#10;TwpkWcj/Fco/UEsDBBQAAAAIAIdO4kB4D3pCvAEAAG0DAAAOAAAAZHJzL2Uyb0RvYy54bWytU0tu&#10;2zAQ3RfoHQjua8qJGySC5QCFkW6KNkDaA9DUyCIgfsqhLfkC7Q266ib7nMvnyJBS3DTdZNENNZzP&#10;47w3o+X1YDq2h4Da2YrPZwVnYJWrtd1W/NvXm3eXnGGUtpads1DxAyC/Xr19s+x9CWeudV0NgRGI&#10;xbL3FW9j9KUQqFowEmfOg6Vg44KRka5hK+oge0I3nTgrigvRu1D74BQgknc9BvmEGF4D6JpGK1g7&#10;tTNg44gaoJORKGGrPfJV7rZpQMUvTYMQWVdxYhrzSY+QvUmnWC1luQ3St1pNLcjXtPCCk5Ha0qMn&#10;qLWMku2C/gfKaBUcuibOlDNiJJIVIRbz4oU2d630kLmQ1OhPouP/g1Wf97eB6Zo24Yo0sdLQyI+/&#10;fh5/Pxzvf7DkJIl6jyVl3nnKjcMHN1D6kx/JmZgPTTDpS5wYxQnscBIYhsgUOa/mi0VBEUWhi8Xl&#10;+fn7hCL+FPuA8SM4w5JR8UDzy7LK/SeMY+pTSnrLuhvddXmGnf3LQZijB/ISTNWJx9hvsuKwGSZy&#10;G1cfiFtPi1Bx/L6TATjb+aC3LbWRuYpUQlPI/U4bk8b8/E72879k9Qh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Ni2aq1wAAAAoBAAAPAAAAAAAAAAEAIAAAACIAAABkcnMvZG93bnJldi54bWxQSwEC&#10;FAAUAAAACACHTuJAeA96QrwBAABtAwAADgAAAAAAAAABACAAAAAmAQAAZHJzL2Uyb0RvYy54bWxQ&#10;SwUGAAAAAAYABgBZAQAAVAUAAAAA&#10;">
                <v:fill on="f" focussize="0,0"/>
                <v:stroke on="f"/>
                <v:imagedata o:title=""/>
                <o:lock v:ext="edit" aspectratio="f"/>
                <v:textbox>
                  <w:txbxContent>
                    <w:p w14:paraId="7E424BFD">
                      <w:pPr>
                        <w:spacing w:line="20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发出钻孔和勘探性开挖工作指令</w:t>
                      </w:r>
                    </w:p>
                  </w:txbxContent>
                </v:textbox>
              </v:shape>
            </w:pict>
          </mc:Fallback>
        </mc:AlternateContent>
      </w:r>
      <w:r>
        <w:rPr>
          <w:rFonts w:hint="default" w:ascii="Times New Roman" w:hAnsi="Times New Roman" w:cs="Times New Roman"/>
          <w:b/>
          <w:bCs/>
          <w:color w:val="auto"/>
          <w:sz w:val="22"/>
          <w:szCs w:val="22"/>
          <w:highlight w:val="none"/>
        </w:rPr>
        <w:t>47.1</w:t>
      </w:r>
    </w:p>
    <w:p w14:paraId="1EB35390">
      <w:pPr>
        <w:pStyle w:val="7"/>
        <w:adjustRightInd w:val="0"/>
        <w:snapToGrid w:val="0"/>
        <w:spacing w:line="420" w:lineRule="exact"/>
        <w:ind w:left="1619" w:leftChars="771"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在施工过程中，如果需要承包人进行钻孔或勘探性开挖（含疏浚工作在内）工作的，监理工程师应就此项工作按照第56条规定书面发出专项指令。承包人在接到监理工程师指令后，应及时实施相关工作。</w:t>
      </w:r>
    </w:p>
    <w:p w14:paraId="1DE5D86B">
      <w:pPr>
        <w:pStyle w:val="7"/>
        <w:tabs>
          <w:tab w:val="left" w:pos="720"/>
          <w:tab w:val="left" w:pos="1080"/>
        </w:tabs>
        <w:adjustRightInd w:val="0"/>
        <w:snapToGrid w:val="0"/>
        <w:spacing w:line="420" w:lineRule="exact"/>
        <w:ind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47680" behindDoc="0" locked="0" layoutInCell="1" allowOverlap="1">
                <wp:simplePos x="0" y="0"/>
                <wp:positionH relativeFrom="column">
                  <wp:posOffset>-133350</wp:posOffset>
                </wp:positionH>
                <wp:positionV relativeFrom="paragraph">
                  <wp:posOffset>199390</wp:posOffset>
                </wp:positionV>
                <wp:extent cx="914400" cy="699135"/>
                <wp:effectExtent l="0" t="0" r="0" b="0"/>
                <wp:wrapNone/>
                <wp:docPr id="191" name="文本框 191"/>
                <wp:cNvGraphicFramePr/>
                <a:graphic xmlns:a="http://schemas.openxmlformats.org/drawingml/2006/main">
                  <a:graphicData uri="http://schemas.microsoft.com/office/word/2010/wordprocessingShape">
                    <wps:wsp>
                      <wps:cNvSpPr txBox="1"/>
                      <wps:spPr>
                        <a:xfrm>
                          <a:off x="0" y="0"/>
                          <a:ext cx="914400" cy="699135"/>
                        </a:xfrm>
                        <a:prstGeom prst="rect">
                          <a:avLst/>
                        </a:prstGeom>
                        <a:noFill/>
                        <a:ln>
                          <a:noFill/>
                        </a:ln>
                        <a:effectLst/>
                      </wps:spPr>
                      <wps:txbx>
                        <w:txbxContent>
                          <w:p w14:paraId="42E36D84">
                            <w:pPr>
                              <w:spacing w:line="20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钻孔和勘探性开挖工作的费用</w:t>
                            </w:r>
                          </w:p>
                          <w:p w14:paraId="5AD0C017">
                            <w:pPr>
                              <w:spacing w:line="200" w:lineRule="exact"/>
                              <w:rPr>
                                <w:rFonts w:cs="Times New Roman"/>
                                <w:sz w:val="18"/>
                                <w:szCs w:val="18"/>
                              </w:rPr>
                            </w:pPr>
                          </w:p>
                        </w:txbxContent>
                      </wps:txbx>
                      <wps:bodyPr wrap="square" upright="1"/>
                    </wps:wsp>
                  </a:graphicData>
                </a:graphic>
              </wp:anchor>
            </w:drawing>
          </mc:Choice>
          <mc:Fallback>
            <w:pict>
              <v:shape id="_x0000_s1026" o:spid="_x0000_s1026" o:spt="202" type="#_x0000_t202" style="position:absolute;left:0pt;margin-left:-10.5pt;margin-top:15.7pt;height:55.05pt;width:72pt;z-index:251847680;mso-width-relative:page;mso-height-relative:page;" filled="f" stroked="f" coordsize="21600,21600" o:gfxdata="UEsDBAoAAAAAAIdO4kAAAAAAAAAAAAAAAAAEAAAAZHJzL1BLAwQUAAAACACHTuJAi0M8xtcAAAAK&#10;AQAADwAAAGRycy9kb3ducmV2LnhtbE2PzU7DMBCE70i8g7VI3FrbaYogxOkBxLWI8iNxc+NtEhGv&#10;o9ht0rdne4Lb7s5o9ptyM/tenHCMXSADeqlAINXBddQY+Hh/WdyDiMmSs30gNHDGCJvq+qq0hQsT&#10;veFplxrBIRQLa6BNaSikjHWL3sZlGJBYO4TR28Tr2Eg32onDfS8zpe6ktx3xh9YO+NRi/bM7egOf&#10;28P3V65em2e/HqYwK0n+QRpze6PVI4iEc/ozwwWf0aFipn04kouiN7DINHdJBlY6B3ExZCs+7HnI&#10;9RpkVcr/FapfUEsDBBQAAAAIAIdO4kB2JGoqvAEAAG0DAAAOAAAAZHJzL2Uyb0RvYy54bWytU82O&#10;0zAQviPxDpbvNMmyrGjUdKVVtVwQIC08gOuMG0v+w+M26QvAG3Diwp3n6nMwTrJlWS572Isznp/P&#10;830zWV0P1rADRNTeNbxalJyBk77VbtfwL59vX73lDJNwrTDeQcOPgPx6/fLFqg81XPjOmxYiIxCH&#10;dR8a3qUU6qJA2YEVuPABHAWVj1YkusZd0UbRE7o1xUVZXhW9j22IXgIieTdTkM+I8SmAXiktYePl&#10;3oJLE2oEIxJRwk4H5OuxW6VApo9KISRmGk5M03jSI2Rv81msV6LeRRE6LecWxFNaeMTJCu3o0TPU&#10;RiTB9lH/B2W1jB69SgvpbTERGRUhFlX5SJu7TgQYuZDUGM6i4/PByg+HT5HpljZhWXHmhKWRn358&#10;P/38ffr1jWUnSdQHrCnzLlBuGm78QOn3fiRnZj6oaPOXODGKk8DHs8AwJCbJuawuL0uKSApdLZfV&#10;6zcZpfhbHCKmd+Aty0bDI81vlFUc3mOaUu9T8lvO32pjxhka94+DMCcPjEswV2ceU7/ZSsN2mMlt&#10;fXskbj0tQsPx615E4Gwfot511MbItcglNIWx33lj8pgf3sl++Jes/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LQzzG1wAAAAoBAAAPAAAAAAAAAAEAIAAAACIAAABkcnMvZG93bnJldi54bWxQSwEC&#10;FAAUAAAACACHTuJAdiRqKrwBAABtAwAADgAAAAAAAAABACAAAAAmAQAAZHJzL2Uyb0RvYy54bWxQ&#10;SwUGAAAAAAYABgBZAQAAVAUAAAAA&#10;">
                <v:fill on="f" focussize="0,0"/>
                <v:stroke on="f"/>
                <v:imagedata o:title=""/>
                <o:lock v:ext="edit" aspectratio="f"/>
                <v:textbox>
                  <w:txbxContent>
                    <w:p w14:paraId="42E36D84">
                      <w:pPr>
                        <w:spacing w:line="20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钻孔和勘探性开挖工作的费用</w:t>
                      </w:r>
                    </w:p>
                    <w:p w14:paraId="5AD0C017">
                      <w:pPr>
                        <w:spacing w:line="200" w:lineRule="exact"/>
                        <w:rPr>
                          <w:rFonts w:cs="Times New Roman"/>
                          <w:sz w:val="18"/>
                          <w:szCs w:val="18"/>
                        </w:rPr>
                      </w:pPr>
                    </w:p>
                  </w:txbxContent>
                </v:textbox>
              </v:shape>
            </w:pict>
          </mc:Fallback>
        </mc:AlternateContent>
      </w:r>
      <w:r>
        <w:rPr>
          <w:rFonts w:hint="default" w:ascii="Times New Roman" w:hAnsi="Times New Roman" w:cs="Times New Roman"/>
          <w:b/>
          <w:bCs/>
          <w:color w:val="auto"/>
          <w:sz w:val="22"/>
          <w:szCs w:val="22"/>
          <w:highlight w:val="none"/>
        </w:rPr>
        <w:t xml:space="preserve">47.2 </w:t>
      </w:r>
      <w:r>
        <w:rPr>
          <w:rFonts w:hint="default" w:ascii="Times New Roman" w:hAnsi="Times New Roman" w:cs="Times New Roman"/>
          <w:b/>
          <w:bCs/>
          <w:color w:val="auto"/>
          <w:sz w:val="22"/>
          <w:szCs w:val="22"/>
          <w:highlight w:val="none"/>
          <w:u w:val="dotted"/>
        </w:rPr>
        <w:t xml:space="preserve">                                                                               </w:t>
      </w:r>
    </w:p>
    <w:p w14:paraId="3F400925">
      <w:pPr>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除工程量清单中已列有此类工作的支付项目和额度外，此项工作所发生的一切费用，经造价工程师核实后，由合同双方当事人按照第72条规定办理。</w:t>
      </w:r>
    </w:p>
    <w:p w14:paraId="70C309DB">
      <w:pPr>
        <w:pStyle w:val="15"/>
        <w:tabs>
          <w:tab w:val="left" w:pos="540"/>
        </w:tabs>
        <w:adjustRightInd w:val="0"/>
        <w:snapToGrid w:val="0"/>
        <w:spacing w:before="240" w:beforeLines="100"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u w:val="single"/>
        </w:rPr>
        <w:t xml:space="preserve">                                                                                                              </w:t>
      </w:r>
    </w:p>
    <w:p w14:paraId="02155B8D">
      <w:pPr>
        <w:pStyle w:val="7"/>
        <w:adjustRightInd w:val="0"/>
        <w:snapToGrid w:val="0"/>
        <w:spacing w:line="420" w:lineRule="exact"/>
        <w:ind w:firstLine="0"/>
        <w:outlineLvl w:val="2"/>
        <w:rPr>
          <w:rFonts w:hint="default" w:ascii="Times New Roman" w:hAnsi="Times New Roman" w:cs="Times New Roman"/>
          <w:b/>
          <w:bCs/>
          <w:color w:val="auto"/>
          <w:sz w:val="22"/>
          <w:szCs w:val="22"/>
          <w:highlight w:val="none"/>
        </w:rPr>
      </w:pPr>
      <w:bookmarkStart w:id="193" w:name="_Toc469384031"/>
      <w:bookmarkStart w:id="194" w:name="_Toc22512"/>
      <w:r>
        <w:rPr>
          <w:rFonts w:hint="default" w:ascii="Times New Roman" w:hAnsi="Times New Roman" w:cs="Times New Roman"/>
          <w:b/>
          <w:bCs/>
          <w:color w:val="auto"/>
          <w:sz w:val="22"/>
          <w:szCs w:val="22"/>
          <w:highlight w:val="none"/>
        </w:rPr>
        <w:t>48  发包人供应材料和工程设备</w:t>
      </w:r>
      <w:bookmarkEnd w:id="193"/>
      <w:bookmarkEnd w:id="194"/>
    </w:p>
    <w:p w14:paraId="5136A4FB">
      <w:pPr>
        <w:pStyle w:val="7"/>
        <w:adjustRightInd w:val="0"/>
        <w:snapToGrid w:val="0"/>
        <w:spacing w:line="420" w:lineRule="exact"/>
        <w:ind w:firstLine="0"/>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48704" behindDoc="0" locked="0" layoutInCell="1" allowOverlap="1">
                <wp:simplePos x="0" y="0"/>
                <wp:positionH relativeFrom="column">
                  <wp:posOffset>-114300</wp:posOffset>
                </wp:positionH>
                <wp:positionV relativeFrom="paragraph">
                  <wp:posOffset>278765</wp:posOffset>
                </wp:positionV>
                <wp:extent cx="914400" cy="514985"/>
                <wp:effectExtent l="0" t="0" r="0" b="0"/>
                <wp:wrapNone/>
                <wp:docPr id="192" name="文本框 192"/>
                <wp:cNvGraphicFramePr/>
                <a:graphic xmlns:a="http://schemas.openxmlformats.org/drawingml/2006/main">
                  <a:graphicData uri="http://schemas.microsoft.com/office/word/2010/wordprocessingShape">
                    <wps:wsp>
                      <wps:cNvSpPr txBox="1"/>
                      <wps:spPr>
                        <a:xfrm>
                          <a:off x="0" y="0"/>
                          <a:ext cx="914400" cy="514985"/>
                        </a:xfrm>
                        <a:prstGeom prst="rect">
                          <a:avLst/>
                        </a:prstGeom>
                        <a:noFill/>
                        <a:ln>
                          <a:noFill/>
                        </a:ln>
                        <a:effectLst/>
                      </wps:spPr>
                      <wps:txbx>
                        <w:txbxContent>
                          <w:p w14:paraId="55BC5BCE">
                            <w:pPr>
                              <w:spacing w:line="20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约定供应的材料和工程设备</w:t>
                            </w:r>
                          </w:p>
                        </w:txbxContent>
                      </wps:txbx>
                      <wps:bodyPr wrap="square" upright="1"/>
                    </wps:wsp>
                  </a:graphicData>
                </a:graphic>
              </wp:anchor>
            </w:drawing>
          </mc:Choice>
          <mc:Fallback>
            <w:pict>
              <v:shape id="_x0000_s1026" o:spid="_x0000_s1026" o:spt="202" type="#_x0000_t202" style="position:absolute;left:0pt;margin-left:-9pt;margin-top:21.95pt;height:40.55pt;width:72pt;z-index:251848704;mso-width-relative:page;mso-height-relative:page;" filled="f" stroked="f" coordsize="21600,21600" o:gfxdata="UEsDBAoAAAAAAIdO4kAAAAAAAAAAAAAAAAAEAAAAZHJzL1BLAwQUAAAACACHTuJAOOhIONcAAAAK&#10;AQAADwAAAGRycy9kb3ducmV2LnhtbE2PQW/CMAyF75P4D5En7QZJGSDomnJg2nUTbCDtZhrTVmuc&#10;qgm0+/dLT+xm+z09fy/bDrYRN+p87VhDMlMgiAtnai41fH2+TdcgfEA22DgmDb/kYZtPHjJMjet5&#10;T7dDKEUMYZ+ihiqENpXSFxVZ9DPXEkft4jqLIa5dKU2HfQy3jZwrtZIWa44fKmxpV1Hxc7haDcf3&#10;y/dpoT7KV7tsezcoyXYjtX56TNQLiEBDuJthxI/okEems7uy8aLRME3WsUvQsHjegBgN81U8nMdh&#10;qUDmmfxfIf8DUEsDBBQAAAAIAIdO4kBmHxgwvAEAAG0DAAAOAAAAZHJzL2Uyb0RvYy54bWytU0tu&#10;2zAQ3RfoHQjua8mGU8SC5QCBkW6KtkDaA9DU0CLAXzi0JV+gvUFX3XTfc/kcHUqKm6abLLqhhvN5&#10;nPdmtL7prWFHiKi9q/l8VnIGTvpGu33Nv3y+e3PNGSbhGmG8g5qfAPnN5vWrdRcqWPjWmwYiIxCH&#10;VRdq3qYUqqJA2YIVOPMBHAWVj1YkusZ90UTREbo1xaIs3xadj02IXgIiebdjkE+I8SWAXiktYevl&#10;wYJLI2oEIxJRwlYH5JuhW6VApo9KISRmak5M03DSI2Tv8lls1qLaRxFaLacWxEtaeMbJCu3o0QvU&#10;ViTBDlH/A2W1jB69SjPpbTESGRQhFvPymTb3rQgwcCGpMVxEx/8HKz8cP0WmG9qE1YIzJyyN/Pz9&#10;2/nHr/PPryw7SaIuYEWZ94FyU3/re0p/9CM5M/NeRZu/xIlRnAQ+XQSGPjFJztV8uSwpIil0NV+u&#10;rq8ySvGnOERM78Bblo2aR5rfIKs4vsc0pj6m5Lecv9PGDDM07i8HYY4eGJZgqs48xn6zlfpdP5Hb&#10;+eZE3DpahJrjw0FE4OwQot631MbAtcglNIWh32lj8pif3sl++pdsfg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46Eg41wAAAAoBAAAPAAAAAAAAAAEAIAAAACIAAABkcnMvZG93bnJldi54bWxQSwEC&#10;FAAUAAAACACHTuJAZh8YMLwBAABtAwAADgAAAAAAAAABACAAAAAmAQAAZHJzL2Uyb0RvYy54bWxQ&#10;SwUGAAAAAAYABgBZAQAAVAUAAAAA&#10;">
                <v:fill on="f" focussize="0,0"/>
                <v:stroke on="f"/>
                <v:imagedata o:title=""/>
                <o:lock v:ext="edit" aspectratio="f"/>
                <v:textbox>
                  <w:txbxContent>
                    <w:p w14:paraId="55BC5BCE">
                      <w:pPr>
                        <w:spacing w:line="20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约定供应的材料和工程设备</w:t>
                      </w:r>
                    </w:p>
                  </w:txbxContent>
                </v:textbox>
              </v:shape>
            </w:pict>
          </mc:Fallback>
        </mc:AlternateContent>
      </w:r>
      <w:r>
        <w:rPr>
          <w:rFonts w:hint="default" w:ascii="Times New Roman" w:hAnsi="Times New Roman" w:cs="Times New Roman"/>
          <w:b/>
          <w:bCs/>
          <w:color w:val="auto"/>
          <w:sz w:val="22"/>
          <w:szCs w:val="22"/>
          <w:highlight w:val="none"/>
        </w:rPr>
        <w:t>48.1</w:t>
      </w:r>
    </w:p>
    <w:p w14:paraId="3773E226">
      <w:pPr>
        <w:pStyle w:val="7"/>
        <w:adjustRightInd w:val="0"/>
        <w:snapToGrid w:val="0"/>
        <w:spacing w:line="420" w:lineRule="exact"/>
        <w:ind w:left="1619" w:leftChars="771"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发包人供应材料和工程设备的，应在供应材料和工程设备前，与承包人确认“发包人供应材料和工程设备一览表”，并作为本合同的附件。一览表应包括发包人供应材料和工程设备的品种、规格、型号、数量、单价、质量标准、交货计划和地点等内容。</w:t>
      </w:r>
    </w:p>
    <w:p w14:paraId="7AD7B242">
      <w:pPr>
        <w:pStyle w:val="7"/>
        <w:adjustRightInd w:val="0"/>
        <w:snapToGrid w:val="0"/>
        <w:spacing w:line="420" w:lineRule="exact"/>
        <w:ind w:firstLine="0"/>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 xml:space="preserve">48.2 </w:t>
      </w:r>
      <w:r>
        <w:rPr>
          <w:rFonts w:hint="default" w:ascii="Times New Roman" w:hAnsi="Times New Roman" w:cs="Times New Roman"/>
          <w:color w:val="auto"/>
          <w:sz w:val="22"/>
          <w:szCs w:val="22"/>
          <w:highlight w:val="none"/>
        </w:rPr>
        <w:t xml:space="preserve"> </w:t>
      </w:r>
      <w:r>
        <w:rPr>
          <w:rFonts w:hint="default" w:ascii="Times New Roman" w:hAnsi="Times New Roman" w:cs="Times New Roman"/>
          <w:color w:val="auto"/>
          <w:sz w:val="22"/>
          <w:szCs w:val="22"/>
          <w:highlight w:val="none"/>
          <w:u w:val="dotted"/>
        </w:rPr>
        <w:t xml:space="preserve">                                                                              </w:t>
      </w:r>
    </w:p>
    <w:p w14:paraId="6DE27960">
      <w:pPr>
        <w:pStyle w:val="7"/>
        <w:adjustRightInd w:val="0"/>
        <w:snapToGrid w:val="0"/>
        <w:spacing w:line="420" w:lineRule="exact"/>
        <w:ind w:left="1575" w:leftChars="750" w:firstLine="0"/>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49728" behindDoc="0" locked="0" layoutInCell="1" allowOverlap="1">
                <wp:simplePos x="0" y="0"/>
                <wp:positionH relativeFrom="column">
                  <wp:posOffset>-66675</wp:posOffset>
                </wp:positionH>
                <wp:positionV relativeFrom="paragraph">
                  <wp:posOffset>47625</wp:posOffset>
                </wp:positionV>
                <wp:extent cx="914400" cy="514985"/>
                <wp:effectExtent l="0" t="0" r="0" b="0"/>
                <wp:wrapNone/>
                <wp:docPr id="193" name="文本框 193"/>
                <wp:cNvGraphicFramePr/>
                <a:graphic xmlns:a="http://schemas.openxmlformats.org/drawingml/2006/main">
                  <a:graphicData uri="http://schemas.microsoft.com/office/word/2010/wordprocessingShape">
                    <wps:wsp>
                      <wps:cNvSpPr txBox="1"/>
                      <wps:spPr>
                        <a:xfrm>
                          <a:off x="0" y="0"/>
                          <a:ext cx="914400" cy="514985"/>
                        </a:xfrm>
                        <a:prstGeom prst="rect">
                          <a:avLst/>
                        </a:prstGeom>
                        <a:noFill/>
                        <a:ln>
                          <a:noFill/>
                        </a:ln>
                        <a:effectLst/>
                      </wps:spPr>
                      <wps:txbx>
                        <w:txbxContent>
                          <w:p w14:paraId="5BA6CE77">
                            <w:pPr>
                              <w:spacing w:line="20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发包人交货日期的要求</w:t>
                            </w:r>
                          </w:p>
                        </w:txbxContent>
                      </wps:txbx>
                      <wps:bodyPr wrap="square" upright="1"/>
                    </wps:wsp>
                  </a:graphicData>
                </a:graphic>
              </wp:anchor>
            </w:drawing>
          </mc:Choice>
          <mc:Fallback>
            <w:pict>
              <v:shape id="_x0000_s1026" o:spid="_x0000_s1026" o:spt="202" type="#_x0000_t202" style="position:absolute;left:0pt;margin-left:-5.25pt;margin-top:3.75pt;height:40.55pt;width:72pt;z-index:251849728;mso-width-relative:page;mso-height-relative:page;" filled="f" stroked="f" coordsize="21600,21600" o:gfxdata="UEsDBAoAAAAAAIdO4kAAAAAAAAAAAAAAAAAEAAAAZHJzL1BLAwQUAAAACACHTuJAdGeAvNUAAAAI&#10;AQAADwAAAGRycy9kb3ducmV2LnhtbE2PQU/DMAyF70j8h8hI3LakjI1S6u4A4gpiwKTdstZrKxqn&#10;arK1/Hu8EzvZ1nt6/l6+nlynTjSE1jNCMjegiEtftVwjfH2+zlJQIVqubOeZEH4pwLq4vsptVvmR&#10;P+i0ibWSEA6ZRWhi7DOtQ9mQs2Hue2LRDn5wNso51Loa7CjhrtN3xqy0sy3Lh8b29NxQ+bM5OoTv&#10;t8Nue2/e6xe37Ec/Gc3uUSPe3iTmCVSkKf6b4Ywv6FAI094fuQqqQ5glZilWhAcZZ32xkGWPkKYr&#10;0EWuLwsUf1BLAwQUAAAACACHTuJAlODazLwBAABtAwAADgAAAGRycy9lMm9Eb2MueG1srVNLbtsw&#10;EN0X6B0I7mvKqVPEguUAhZFuirZAmgPQ1MgiwF85tCVfoL1BV91033P5HB1KipsmmyyyoYbzeZz3&#10;ZrS67q1hB4iovav4fFZwBk75Wrtdxe++3ry54gyTdLU03kHFj4D8ev361aoLJVz41psaIiMQh2UX&#10;Kt6mFEohULVgJc58AEfBxkcrE13jTtRRdoRujbgoinei87EO0StAJO9mDPIJMT4H0DeNVrDxam/B&#10;pRE1gpGJKGGrA/L10G3TgEqfmwYhMVNxYpqGkx4he5tPsV7JchdlaLWaWpDPaeERJyu1o0fPUBuZ&#10;JNtH/QTKahU9+ibNlLdiJDIoQizmxSNtblsZYOBCUmM4i44vB6s+Hb5EpmvahOVbzpy0NPLTzx+n&#10;X39Ov7+z7CSJuoAlZd4Gyk39e99T+r0fyZmZ9020+UucGMVJ4ONZYOgTU+RczheLgiKKQpfzxfLq&#10;MqOIf8UhYvoA3rJsVDzS/AZZ5eEjpjH1PiW/5fyNNmaYoXH/OQhz9MCwBFN15jH2m63Ub/uJ3NbX&#10;R+LW0SJUHL/tZQTO9iHqXUttDFxFLqEpDP1OG5PH/PBO9sO/ZP0X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dGeAvNUAAAAIAQAADwAAAAAAAAABACAAAAAiAAAAZHJzL2Rvd25yZXYueG1sUEsBAhQA&#10;FAAAAAgAh07iQJTg2sy8AQAAbQMAAA4AAAAAAAAAAQAgAAAAJAEAAGRycy9lMm9Eb2MueG1sUEsF&#10;BgAAAAAGAAYAWQEAAFIFAAAAAA==&#10;">
                <v:fill on="f" focussize="0,0"/>
                <v:stroke on="f"/>
                <v:imagedata o:title=""/>
                <o:lock v:ext="edit" aspectratio="f"/>
                <v:textbox>
                  <w:txbxContent>
                    <w:p w14:paraId="5BA6CE77">
                      <w:pPr>
                        <w:spacing w:line="20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发包人交货日期的要求</w:t>
                      </w:r>
                    </w:p>
                  </w:txbxContent>
                </v:textbox>
              </v:shape>
            </w:pict>
          </mc:Fallback>
        </mc:AlternateContent>
      </w:r>
      <w:r>
        <w:rPr>
          <w:rFonts w:hint="default" w:ascii="Times New Roman" w:hAnsi="Times New Roman" w:cs="Times New Roman"/>
          <w:color w:val="auto"/>
          <w:sz w:val="22"/>
          <w:szCs w:val="22"/>
          <w:highlight w:val="none"/>
        </w:rPr>
        <w:t>发包人供应材料和工程设备的，承包人应根据合同工程进度计划向监理工程师提交发包人交货的日期计划。经合同双方当事人商定交货日期后，发包人应准时向承包人供应材料和工程设备；否则，发包人应承担由此增加的费用和（或）延误的工期，并向承包人支付合理利润。</w:t>
      </w:r>
    </w:p>
    <w:p w14:paraId="28377401">
      <w:pPr>
        <w:pStyle w:val="7"/>
        <w:adjustRightInd w:val="0"/>
        <w:snapToGrid w:val="0"/>
        <w:spacing w:line="420" w:lineRule="exact"/>
        <w:ind w:firstLine="0"/>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48.3  </w:t>
      </w:r>
      <w:r>
        <w:rPr>
          <w:rFonts w:hint="default" w:ascii="Times New Roman" w:hAnsi="Times New Roman" w:cs="Times New Roman"/>
          <w:b/>
          <w:bCs/>
          <w:color w:val="auto"/>
          <w:sz w:val="22"/>
          <w:szCs w:val="22"/>
          <w:highlight w:val="none"/>
          <w:u w:val="dotted"/>
        </w:rPr>
        <w:t xml:space="preserve">                                                                                                        </w:t>
      </w:r>
    </w:p>
    <w:p w14:paraId="2C8B4A04">
      <w:pPr>
        <w:pStyle w:val="7"/>
        <w:adjustRightInd w:val="0"/>
        <w:snapToGrid w:val="0"/>
        <w:spacing w:line="420" w:lineRule="exact"/>
        <w:ind w:left="1619" w:leftChars="771"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50752" behindDoc="0" locked="0" layoutInCell="1" allowOverlap="1">
                <wp:simplePos x="0" y="0"/>
                <wp:positionH relativeFrom="column">
                  <wp:posOffset>-114300</wp:posOffset>
                </wp:positionH>
                <wp:positionV relativeFrom="paragraph">
                  <wp:posOffset>2540</wp:posOffset>
                </wp:positionV>
                <wp:extent cx="967740" cy="452755"/>
                <wp:effectExtent l="0" t="0" r="0" b="0"/>
                <wp:wrapNone/>
                <wp:docPr id="416" name="文本框 416"/>
                <wp:cNvGraphicFramePr/>
                <a:graphic xmlns:a="http://schemas.openxmlformats.org/drawingml/2006/main">
                  <a:graphicData uri="http://schemas.microsoft.com/office/word/2010/wordprocessingShape">
                    <wps:wsp>
                      <wps:cNvSpPr txBox="1"/>
                      <wps:spPr>
                        <a:xfrm>
                          <a:off x="0" y="0"/>
                          <a:ext cx="967740" cy="452755"/>
                        </a:xfrm>
                        <a:prstGeom prst="rect">
                          <a:avLst/>
                        </a:prstGeom>
                        <a:noFill/>
                        <a:ln>
                          <a:noFill/>
                        </a:ln>
                        <a:effectLst/>
                      </wps:spPr>
                      <wps:txbx>
                        <w:txbxContent>
                          <w:p w14:paraId="468B9F4E">
                            <w:pPr>
                              <w:spacing w:line="20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发包人供应材料和工程设备</w:t>
                            </w:r>
                          </w:p>
                        </w:txbxContent>
                      </wps:txbx>
                      <wps:bodyPr wrap="square" upright="1"/>
                    </wps:wsp>
                  </a:graphicData>
                </a:graphic>
              </wp:anchor>
            </w:drawing>
          </mc:Choice>
          <mc:Fallback>
            <w:pict>
              <v:shape id="_x0000_s1026" o:spid="_x0000_s1026" o:spt="202" type="#_x0000_t202" style="position:absolute;left:0pt;margin-left:-9pt;margin-top:0.2pt;height:35.65pt;width:76.2pt;z-index:251850752;mso-width-relative:page;mso-height-relative:page;" filled="f" stroked="f" coordsize="21600,21600" o:gfxdata="UEsDBAoAAAAAAIdO4kAAAAAAAAAAAAAAAAAEAAAAZHJzL1BLAwQUAAAACACHTuJA4813xdUAAAAH&#10;AQAADwAAAGRycy9kb3ducmV2LnhtbE2PzU7DMBCE70i8g7VI3Fo7EGgJ2fQA4gqi/Ejc3HibRMTr&#10;KHab8PZsT3Db0Yxmvi03s+/VkcbYBUbIlgYUcR1cxw3C+9vTYg0qJsvO9oEJ4YcibKrzs9IWLkz8&#10;SsdtapSUcCwsQpvSUGgd65a8jcswEIu3D6O3SeTYaDfaScp9r6+MudXediwLrR3ooaX6e3vwCB/P&#10;+6/P3Lw0j/5mmMJsNPs7jXh5kZl7UInm9BeGE76gQyVMu3BgF1WPsMjW8ktCyEGd7Otcjh3CKluB&#10;rkr9n7/6BVBLAwQUAAAACACHTuJAYbIGT7wBAABtAwAADgAAAGRycy9lMm9Eb2MueG1srVNLjhMx&#10;EN0jcQfLe9JJlA+00hkJRcMGAdIwB3Dc5bQl/3A56c4F4Aas2LDnXDkH5e6eMAybWbBxl+vzXO9V&#10;9eams4adIKL2ruKzyZQzcNLX2h0qfv/59tVrzjAJVwvjHVT8DMhvti9fbNpQwtw33tQQGYE4LNtQ&#10;8SalUBYFygaswIkP4CiofLQi0TUeijqKltCtKebT6apofaxD9BIQybsbgnxEjM8B9EppCTsvjxZc&#10;GlAjGJGIEjY6IN/23SoFMn1UCiExU3FimvqTHiF7n89iuxHlIYrQaDm2IJ7TwhNOVmhHj16hdiIJ&#10;doz6HyirZfToVZpIb4uBSK8IsZhNn2hz14gAPReSGsNVdPx/sPLD6VNkuq74YrbizAlLI798/3b5&#10;8evy8yvLTpKoDVhS5l2g3NS99R0tzoMfyZmZdyra/CVOjOIk8PkqMHSJSXK+Wa3XC4pICi2W8/Vy&#10;mVGKP8UhYnoH3rJsVDzS/HpZxek9piH1ISW/5fytNqafoXF/OQhz8EC/BGN15jH0m63U7buR3N7X&#10;Z+LW0iJUHL8cRQTOjiHqQ0Nt9FyLXEJT6PsdNyaP+fGd7Md/yfY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4813xdUAAAAHAQAADwAAAAAAAAABACAAAAAiAAAAZHJzL2Rvd25yZXYueG1sUEsBAhQA&#10;FAAAAAgAh07iQGGyBk+8AQAAbQMAAA4AAAAAAAAAAQAgAAAAJAEAAGRycy9lMm9Eb2MueG1sUEsF&#10;BgAAAAAGAAYAWQEAAFIFAAAAAA==&#10;">
                <v:fill on="f" focussize="0,0"/>
                <v:stroke on="f"/>
                <v:imagedata o:title=""/>
                <o:lock v:ext="edit" aspectratio="f"/>
                <v:textbox>
                  <w:txbxContent>
                    <w:p w14:paraId="468B9F4E">
                      <w:pPr>
                        <w:spacing w:line="20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发包人供应材料和工程设备</w:t>
                      </w:r>
                    </w:p>
                  </w:txbxContent>
                </v:textbox>
              </v:shape>
            </w:pict>
          </mc:Fallback>
        </mc:AlternateContent>
      </w:r>
      <w:r>
        <w:rPr>
          <w:rFonts w:hint="default" w:ascii="Times New Roman" w:hAnsi="Times New Roman" w:cs="Times New Roman"/>
          <w:color w:val="auto"/>
          <w:sz w:val="22"/>
          <w:szCs w:val="22"/>
          <w:highlight w:val="none"/>
        </w:rPr>
        <w:t>发包人应按照一览表内容和第48.2款交货日期向承包人供应材料和工程设备，并提供产品质量合格证明文件，对材料和工程设备质量负责。发包人应在材料和工程设备到货前至少提前24小时，以书面形式通知承包人和监理工程师，并在监理工程师的见证下与承包人共同清点，同时在施工现场内合理堆放。</w:t>
      </w:r>
    </w:p>
    <w:p w14:paraId="50856391">
      <w:pPr>
        <w:pStyle w:val="7"/>
        <w:adjustRightInd w:val="0"/>
        <w:snapToGrid w:val="0"/>
        <w:spacing w:line="420" w:lineRule="exact"/>
        <w:ind w:firstLine="0"/>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48.4  </w:t>
      </w:r>
      <w:r>
        <w:rPr>
          <w:rFonts w:hint="default" w:ascii="Times New Roman" w:hAnsi="Times New Roman" w:cs="Times New Roman"/>
          <w:b/>
          <w:bCs/>
          <w:color w:val="auto"/>
          <w:sz w:val="22"/>
          <w:szCs w:val="22"/>
          <w:highlight w:val="none"/>
          <w:u w:val="dotted"/>
        </w:rPr>
        <w:t xml:space="preserve">                                                                                                        </w:t>
      </w:r>
    </w:p>
    <w:p w14:paraId="01DFFAFF">
      <w:pPr>
        <w:pStyle w:val="7"/>
        <w:adjustRightInd w:val="0"/>
        <w:snapToGrid w:val="0"/>
        <w:spacing w:line="420" w:lineRule="exact"/>
        <w:ind w:left="1619" w:leftChars="771"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51776" behindDoc="0" locked="0" layoutInCell="1" allowOverlap="1">
                <wp:simplePos x="0" y="0"/>
                <wp:positionH relativeFrom="column">
                  <wp:posOffset>-114300</wp:posOffset>
                </wp:positionH>
                <wp:positionV relativeFrom="paragraph">
                  <wp:posOffset>8890</wp:posOffset>
                </wp:positionV>
                <wp:extent cx="914400" cy="1019175"/>
                <wp:effectExtent l="0" t="0" r="0" b="0"/>
                <wp:wrapNone/>
                <wp:docPr id="194" name="文本框 194"/>
                <wp:cNvGraphicFramePr/>
                <a:graphic xmlns:a="http://schemas.openxmlformats.org/drawingml/2006/main">
                  <a:graphicData uri="http://schemas.microsoft.com/office/word/2010/wordprocessingShape">
                    <wps:wsp>
                      <wps:cNvSpPr txBox="1"/>
                      <wps:spPr>
                        <a:xfrm>
                          <a:off x="0" y="0"/>
                          <a:ext cx="914400" cy="1019175"/>
                        </a:xfrm>
                        <a:prstGeom prst="rect">
                          <a:avLst/>
                        </a:prstGeom>
                        <a:noFill/>
                        <a:ln>
                          <a:noFill/>
                        </a:ln>
                        <a:effectLst/>
                      </wps:spPr>
                      <wps:txbx>
                        <w:txbxContent>
                          <w:p w14:paraId="2CD9F21F">
                            <w:pPr>
                              <w:spacing w:line="20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发包人供应材料和工程设备的责任</w:t>
                            </w:r>
                          </w:p>
                        </w:txbxContent>
                      </wps:txbx>
                      <wps:bodyPr wrap="square" upright="1"/>
                    </wps:wsp>
                  </a:graphicData>
                </a:graphic>
              </wp:anchor>
            </w:drawing>
          </mc:Choice>
          <mc:Fallback>
            <w:pict>
              <v:shape id="_x0000_s1026" o:spid="_x0000_s1026" o:spt="202" type="#_x0000_t202" style="position:absolute;left:0pt;margin-left:-9pt;margin-top:0.7pt;height:80.25pt;width:72pt;z-index:251851776;mso-width-relative:page;mso-height-relative:page;" filled="f" stroked="f" coordsize="21600,21600" o:gfxdata="UEsDBAoAAAAAAIdO4kAAAAAAAAAAAAAAAAAEAAAAZHJzL1BLAwQUAAAACACHTuJA9nwNh9UAAAAJ&#10;AQAADwAAAGRycy9kb3ducmV2LnhtbE2PzU7DMBCE70i8g7VI3Fo7VYnaEKcHEFcQ5Ufito23SUS8&#10;jmK3CW/P9gS3HX2j2ZlyN/tenWmMXWAL2dKAIq6D67ix8P72tNiAignZYR+YLPxQhF11fVVi4cLE&#10;r3Tep0ZJCMcCLbQpDYXWsW7JY1yGgVjYMYwek8ix0W7EScJ9r1fG5Npjx/KhxYEeWqq/9ydv4eP5&#10;+PW5Ni/No78bpjAbzX6rrb29ycw9qERz+jPDpb5Uh0o6HcKJXVS9hUW2kS1JwBrUha9y0Qc58mwL&#10;uir1/wXVL1BLAwQUAAAACACHTuJAHA5E9rwBAABuAwAADgAAAGRycy9lMm9Eb2MueG1srVPNjtMw&#10;EL4j8Q6W7zTJqvw0aroSqpYLAqRlH8B1Jo0l/+Fxm/QF4A04ceHOc/U5GDvZsiyXPXBxxvPzeb5v&#10;Juvr0Wh2hIDK2YZXi5IzsNK1yu4bfvf55sUbzjAK2wrtLDT8BMivN8+frQdfw5XrnW4hMAKxWA++&#10;4X2Mvi4KlD0YgQvnwVKwc8GISNewL9ogBkI3urgqy1fF4ELrg5OASN7tFOQzYngKoOs6JWHr5MGA&#10;jRNqAC0iUcJeeeSb3G3XgYwfuw4hMt1wYhrzSY+QvUtnsVmLeh+E75WcWxBPaeERJyOUpUcvUFsR&#10;BTsE9Q+UUTI4dF1cSGeKiUhWhFhU5SNtbnvhIXMhqdFfRMf/Bys/HD8FplrahNWSMysMjfz8/dv5&#10;x6/zz68sOUmiwWNNmbeecuP41o2Ufu9HcibmYxdM+hInRnES+HQRGMbIJDlX1XJZUkRSqCqrVfX6&#10;ZYIp/lT7gPEdOMOS0fBAA8y6iuN7jFPqfUp6zLobpXUeorZ/OQhz8kDegrk6EZkaTlYcd+PMbufa&#10;E5EbaBMajl8OIgBnBx/Uvqc2MtkildAYcr/zyqQ5P7yT/fA32fwG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9nwNh9UAAAAJAQAADwAAAAAAAAABACAAAAAiAAAAZHJzL2Rvd25yZXYueG1sUEsBAhQA&#10;FAAAAAgAh07iQBwORPa8AQAAbgMAAA4AAAAAAAAAAQAgAAAAJAEAAGRycy9lMm9Eb2MueG1sUEsF&#10;BgAAAAAGAAYAWQEAAFIFAAAAAA==&#10;">
                <v:fill on="f" focussize="0,0"/>
                <v:stroke on="f"/>
                <v:imagedata o:title=""/>
                <o:lock v:ext="edit" aspectratio="f"/>
                <v:textbox>
                  <w:txbxContent>
                    <w:p w14:paraId="2CD9F21F">
                      <w:pPr>
                        <w:spacing w:line="20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发包人供应材料和工程设备的责任</w:t>
                      </w:r>
                    </w:p>
                  </w:txbxContent>
                </v:textbox>
              </v:shape>
            </w:pict>
          </mc:Fallback>
        </mc:AlternateContent>
      </w:r>
      <w:r>
        <w:rPr>
          <w:rFonts w:hint="default" w:ascii="Times New Roman" w:hAnsi="Times New Roman" w:cs="Times New Roman"/>
          <w:color w:val="auto"/>
          <w:sz w:val="22"/>
          <w:szCs w:val="22"/>
          <w:highlight w:val="none"/>
        </w:rPr>
        <w:t>发包人应保证供应的材料和工程设备符合标准与规范、设计要求和合同约定的要求。如不符合要求，承包人有权拒绝，并要求发包人将其运出施工现场，重新供应符合要求的产品，发包人应承担由此增加的费用和（或）延误的工期，并向承包人支付合理利润。</w:t>
      </w:r>
    </w:p>
    <w:p w14:paraId="4148DE56">
      <w:pPr>
        <w:pStyle w:val="7"/>
        <w:adjustRightInd w:val="0"/>
        <w:snapToGrid w:val="0"/>
        <w:spacing w:line="420" w:lineRule="exact"/>
        <w:ind w:firstLine="0"/>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 xml:space="preserve">48.5  </w:t>
      </w:r>
      <w:r>
        <w:rPr>
          <w:rFonts w:hint="default" w:ascii="Times New Roman" w:hAnsi="Times New Roman" w:cs="Times New Roman"/>
          <w:color w:val="auto"/>
          <w:sz w:val="22"/>
          <w:szCs w:val="22"/>
          <w:highlight w:val="none"/>
          <w:u w:val="dotted"/>
        </w:rPr>
        <w:t xml:space="preserve">                                                                                                        </w:t>
      </w:r>
    </w:p>
    <w:p w14:paraId="38596C42">
      <w:pPr>
        <w:pStyle w:val="7"/>
        <w:adjustRightInd w:val="0"/>
        <w:snapToGrid w:val="0"/>
        <w:spacing w:line="420" w:lineRule="exact"/>
        <w:ind w:left="1619" w:leftChars="771"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52800" behindDoc="0" locked="0" layoutInCell="1" allowOverlap="1">
                <wp:simplePos x="0" y="0"/>
                <wp:positionH relativeFrom="column">
                  <wp:posOffset>-114300</wp:posOffset>
                </wp:positionH>
                <wp:positionV relativeFrom="paragraph">
                  <wp:posOffset>8890</wp:posOffset>
                </wp:positionV>
                <wp:extent cx="914400" cy="594360"/>
                <wp:effectExtent l="0" t="0" r="0" b="0"/>
                <wp:wrapNone/>
                <wp:docPr id="195" name="文本框 195"/>
                <wp:cNvGraphicFramePr/>
                <a:graphic xmlns:a="http://schemas.openxmlformats.org/drawingml/2006/main">
                  <a:graphicData uri="http://schemas.microsoft.com/office/word/2010/wordprocessingShape">
                    <wps:wsp>
                      <wps:cNvSpPr txBox="1"/>
                      <wps:spPr>
                        <a:xfrm>
                          <a:off x="0" y="0"/>
                          <a:ext cx="914400" cy="594360"/>
                        </a:xfrm>
                        <a:prstGeom prst="rect">
                          <a:avLst/>
                        </a:prstGeom>
                        <a:noFill/>
                        <a:ln>
                          <a:noFill/>
                        </a:ln>
                        <a:effectLst/>
                      </wps:spPr>
                      <wps:txbx>
                        <w:txbxContent>
                          <w:p w14:paraId="529C6D3A">
                            <w:pPr>
                              <w:spacing w:line="20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承包人保管发包人供应的材料和工程设备</w:t>
                            </w:r>
                          </w:p>
                        </w:txbxContent>
                      </wps:txbx>
                      <wps:bodyPr wrap="square" upright="1"/>
                    </wps:wsp>
                  </a:graphicData>
                </a:graphic>
              </wp:anchor>
            </w:drawing>
          </mc:Choice>
          <mc:Fallback>
            <w:pict>
              <v:shape id="_x0000_s1026" o:spid="_x0000_s1026" o:spt="202" type="#_x0000_t202" style="position:absolute;left:0pt;margin-left:-9pt;margin-top:0.7pt;height:46.8pt;width:72pt;z-index:251852800;mso-width-relative:page;mso-height-relative:page;" filled="f" stroked="f" coordsize="21600,21600" o:gfxdata="UEsDBAoAAAAAAIdO4kAAAAAAAAAAAAAAAAAEAAAAZHJzL1BLAwQUAAAACACHTuJATw3QSNQAAAAI&#10;AQAADwAAAGRycy9kb3ducmV2LnhtbE2PwU7DMBBE70j8g7VI3Fo7VVu1IZseQFxBlILEzY23SUS8&#10;jmK3CX/P9gTH0VvNvil2k+/UhYbYBkbI5gYUcRVcyzXC4f15tgEVk2Vnu8CE8EMRduXtTWFzF0Z+&#10;o8s+1UpKOOYWoUmpz7WOVUPexnnoiYWdwuBtkjjU2g12lHLf6YUxa+1ty/KhsT09NlR9788e4ePl&#10;9PW5NK/1k1/1Y5iMZr/ViPd3mXkAlWhKf8dw1Rd1KMXpGM7souoQZtlGtiQBS1BXvlhLPiJsVwZ0&#10;Wej/A8pfUEsDBBQAAAAIAIdO4kAucGnIvQEAAG0DAAAOAAAAZHJzL2Uyb0RvYy54bWytU0tu2zAQ&#10;3RfoHQjua8mpE9SC5QCFkW6KtkCaA9DUyCLAXzm0JV+gvUFX3XTfc/kcHVKKmyabLLKhhvN5nPdm&#10;tLoejGYHCKicrfl8VnIGVrpG2V3N777evHnHGUZhG6GdhZofAfn1+vWrVe8ruHCd0w0ERiAWq97X&#10;vIvRV0WBsgMjcOY8WAq2LhgR6Rp2RRNET+hGFxdleVX0LjQ+OAmI5N2MQT4hhucAurZVEjZO7g3Y&#10;OKIG0CISJeyUR77O3bYtyPi5bREi0zUnpjGf9AjZ23QW65WodkH4TsmpBfGcFh5xMkJZevQMtRFR&#10;sH1QT6CMksGha+NMOlOMRLIixGJePtLmthMeMheSGv1ZdHw5WPnp8CUw1dAmLC85s8LQyE8/f5x+&#10;/Tn9/s6SkyTqPVaUeespNw7v3UDp934kZ2I+tMGkL3FiFCeBj2eBYYhMknM5XyxKikgKXS4Xb6/y&#10;AIp/xT5g/ADOsGTUPND8sqzi8BEjNUKp9ynpLetulNZ5htr+56DE0QN5CabqxGPsN1lx2A4Tua1r&#10;jsStp0WoOX7biwCc7X1Qu47ayFyLVEJTyE1MG5PG/PBO9sO/ZP0X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Tw3QSNQAAAAIAQAADwAAAAAAAAABACAAAAAiAAAAZHJzL2Rvd25yZXYueG1sUEsBAhQA&#10;FAAAAAgAh07iQC5waci9AQAAbQMAAA4AAAAAAAAAAQAgAAAAIwEAAGRycy9lMm9Eb2MueG1sUEsF&#10;BgAAAAAGAAYAWQEAAFIFAAAAAA==&#10;">
                <v:fill on="f" focussize="0,0"/>
                <v:stroke on="f"/>
                <v:imagedata o:title=""/>
                <o:lock v:ext="edit" aspectratio="f"/>
                <v:textbox>
                  <w:txbxContent>
                    <w:p w14:paraId="529C6D3A">
                      <w:pPr>
                        <w:spacing w:line="20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承包人保管发包人供应的材料和工程设备</w:t>
                      </w:r>
                    </w:p>
                  </w:txbxContent>
                </v:textbox>
              </v:shape>
            </w:pict>
          </mc:Fallback>
        </mc:AlternateContent>
      </w:r>
      <w:r>
        <w:rPr>
          <w:rFonts w:hint="default" w:ascii="Times New Roman" w:hAnsi="Times New Roman" w:cs="Times New Roman"/>
          <w:color w:val="auto"/>
          <w:sz w:val="22"/>
          <w:szCs w:val="22"/>
          <w:highlight w:val="none"/>
        </w:rPr>
        <w:t>发包人供应材料和工程设备的，经合同双方当事人共同清点后由承包人妥善保管，保管费由发包人承担；因承包人保管不善或承包人</w:t>
      </w:r>
      <w:r>
        <w:rPr>
          <w:rFonts w:hint="default" w:ascii="Times New Roman" w:hAnsi="Times New Roman" w:cs="Times New Roman"/>
          <w:color w:val="auto"/>
          <w:sz w:val="22"/>
          <w:szCs w:val="22"/>
          <w:highlight w:val="none"/>
          <w:lang w:eastAsia="zh-CN"/>
        </w:rPr>
        <w:t>其他</w:t>
      </w:r>
      <w:r>
        <w:rPr>
          <w:rFonts w:hint="default" w:ascii="Times New Roman" w:hAnsi="Times New Roman" w:cs="Times New Roman"/>
          <w:color w:val="auto"/>
          <w:sz w:val="22"/>
          <w:szCs w:val="22"/>
          <w:highlight w:val="none"/>
        </w:rPr>
        <w:t>原因导致丢失或损害的，承包人应予赔偿。除工程量清单中已列有此类工作的支付项目和额度外，造价工程师应与合同双方当事人协商确定保管费，并增加到合同价款中；协商不能达成一致的，由造价工程师暂定，通知承包人并抄报发包人。</w:t>
      </w:r>
    </w:p>
    <w:p w14:paraId="03EA4337">
      <w:pPr>
        <w:pStyle w:val="7"/>
        <w:adjustRightInd w:val="0"/>
        <w:snapToGrid w:val="0"/>
        <w:spacing w:line="420" w:lineRule="exact"/>
        <w:ind w:firstLine="0"/>
        <w:rPr>
          <w:rFonts w:hint="default" w:ascii="Times New Roman" w:hAnsi="Times New Roman" w:cs="Times New Roman"/>
          <w:b/>
          <w:bCs/>
          <w:color w:val="auto"/>
          <w:sz w:val="22"/>
          <w:szCs w:val="22"/>
          <w:highlight w:val="none"/>
          <w:u w:val="dotted"/>
        </w:rPr>
      </w:pPr>
      <w:r>
        <w:rPr>
          <w:rFonts w:hint="default" w:ascii="Times New Roman" w:hAnsi="Times New Roman" w:cs="Times New Roman"/>
          <w:b/>
          <w:bCs/>
          <w:color w:val="auto"/>
          <w:sz w:val="22"/>
          <w:szCs w:val="22"/>
          <w:highlight w:val="none"/>
        </w:rPr>
        <w:t xml:space="preserve">48.6  </w:t>
      </w:r>
      <w:r>
        <w:rPr>
          <w:rFonts w:hint="default" w:ascii="Times New Roman" w:hAnsi="Times New Roman" w:cs="Times New Roman"/>
          <w:b/>
          <w:bCs/>
          <w:color w:val="auto"/>
          <w:sz w:val="22"/>
          <w:szCs w:val="22"/>
          <w:highlight w:val="none"/>
          <w:u w:val="dotted"/>
        </w:rPr>
        <w:t xml:space="preserve">                                                                                                        </w:t>
      </w:r>
    </w:p>
    <w:p w14:paraId="49F6AA8F">
      <w:pPr>
        <w:pStyle w:val="7"/>
        <w:adjustRightInd w:val="0"/>
        <w:snapToGrid w:val="0"/>
        <w:spacing w:line="420" w:lineRule="exact"/>
        <w:ind w:left="1619" w:leftChars="771"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53824" behindDoc="0" locked="0" layoutInCell="1" allowOverlap="1">
                <wp:simplePos x="0" y="0"/>
                <wp:positionH relativeFrom="column">
                  <wp:posOffset>-114300</wp:posOffset>
                </wp:positionH>
                <wp:positionV relativeFrom="paragraph">
                  <wp:posOffset>18415</wp:posOffset>
                </wp:positionV>
                <wp:extent cx="914400" cy="908685"/>
                <wp:effectExtent l="0" t="0" r="0" b="0"/>
                <wp:wrapNone/>
                <wp:docPr id="196" name="文本框 196"/>
                <wp:cNvGraphicFramePr/>
                <a:graphic xmlns:a="http://schemas.openxmlformats.org/drawingml/2006/main">
                  <a:graphicData uri="http://schemas.microsoft.com/office/word/2010/wordprocessingShape">
                    <wps:wsp>
                      <wps:cNvSpPr txBox="1"/>
                      <wps:spPr>
                        <a:xfrm>
                          <a:off x="0" y="0"/>
                          <a:ext cx="914400" cy="908685"/>
                        </a:xfrm>
                        <a:prstGeom prst="rect">
                          <a:avLst/>
                        </a:prstGeom>
                        <a:noFill/>
                        <a:ln>
                          <a:noFill/>
                        </a:ln>
                        <a:effectLst/>
                      </wps:spPr>
                      <wps:txbx>
                        <w:txbxContent>
                          <w:p w14:paraId="1954A42D">
                            <w:pPr>
                              <w:spacing w:line="20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供应材料和工程设备与约定不符时发包人的责任</w:t>
                            </w:r>
                          </w:p>
                        </w:txbxContent>
                      </wps:txbx>
                      <wps:bodyPr wrap="square" upright="1"/>
                    </wps:wsp>
                  </a:graphicData>
                </a:graphic>
              </wp:anchor>
            </w:drawing>
          </mc:Choice>
          <mc:Fallback>
            <w:pict>
              <v:shape id="_x0000_s1026" o:spid="_x0000_s1026" o:spt="202" type="#_x0000_t202" style="position:absolute;left:0pt;margin-left:-9pt;margin-top:1.45pt;height:71.55pt;width:72pt;z-index:251853824;mso-width-relative:page;mso-height-relative:page;" filled="f" stroked="f" coordsize="21600,21600" o:gfxdata="UEsDBAoAAAAAAIdO4kAAAAAAAAAAAAAAAAAEAAAAZHJzL1BLAwQUAAAACACHTuJAfKojI9UAAAAJ&#10;AQAADwAAAGRycy9kb3ducmV2LnhtbE2PzU7DMBCE70i8g7VI3Fo7UanakE0PIK4gyo/EzY23SUS8&#10;jmK3CW/P9gS3Gc1q9ptyN/tenWmMXWCEbGlAEdfBddwgvL89LTagYrLsbB+YEH4owq66vipt4cLE&#10;r3Tep0ZJCcfCIrQpDYXWsW7J27gMA7FkxzB6m8SOjXajnaTc9zo3Zq297Vg+tHagh5bq7/3JI3w8&#10;H78+V+alefR3wxRmo9lvNeLtTWbuQSWa098xXPAFHSphOoQTu6h6hEW2kS0JId+CuuT5WvxBxEqE&#10;rkr9f0H1C1BLAwQUAAAACACHTuJAGPDCwrwBAABtAwAADgAAAGRycy9lMm9Eb2MueG1srVNLbtsw&#10;EN0X6B0I7mvJQWrYguUAgZFuirZA2gPQ1NAiwF84tCVfoL1BV91033P5HB1Kipummyy6oYbzeZz3&#10;ZrS+6a1hR4iovav5fFZyBk76Rrt9zb98vnuz5AyTcI0w3kHNT4D8ZvP61boLFVz51psGIiMQh1UX&#10;at6mFKqiQNmCFTjzARwFlY9WJLrGfdFE0RG6NcVVWS6KzscmRC8BkbzbMcgnxPgSQK+UlrD18mDB&#10;pRE1ghGJKGGrA/LN0K1SINNHpRASMzUnpmk46RGyd/ksNmtR7aMIrZZTC+IlLTzjZIV29OgFaiuS&#10;YIeo/4GyWkaPXqWZ9LYYiQyKEIt5+Uyb+1YEGLiQ1BguouP/g5Ufjp8i0w1twmrBmROWRn7+/u38&#10;49f551eWnSRRF7CizPtAuam/9T2lP/qRnJl5r6LNX+LEKE4Cny4CQ5+YJOdqfn1dUkRSaFUuF8u3&#10;GaX4UxwipnfgLctGzSPNb5BVHN9jGlMfU/Jbzt9pY4YZGveXgzBHDwxLMFVnHmO/2Ur9rp/I7Xxz&#10;Im4dLULN8eEgInB2CFHvW2pj4FrkEprC0O+0MXnMT+9kP/1LN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fKojI9UAAAAJAQAADwAAAAAAAAABACAAAAAiAAAAZHJzL2Rvd25yZXYueG1sUEsBAhQA&#10;FAAAAAgAh07iQBjwwsK8AQAAbQMAAA4AAAAAAAAAAQAgAAAAJAEAAGRycy9lMm9Eb2MueG1sUEsF&#10;BgAAAAAGAAYAWQEAAFIFAAAAAA==&#10;">
                <v:fill on="f" focussize="0,0"/>
                <v:stroke on="f"/>
                <v:imagedata o:title=""/>
                <o:lock v:ext="edit" aspectratio="f"/>
                <v:textbox>
                  <w:txbxContent>
                    <w:p w14:paraId="1954A42D">
                      <w:pPr>
                        <w:spacing w:line="20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供应材料和工程设备与约定不符时发包人的责任</w:t>
                      </w:r>
                    </w:p>
                  </w:txbxContent>
                </v:textbox>
              </v:shape>
            </w:pict>
          </mc:Fallback>
        </mc:AlternateContent>
      </w:r>
      <w:r>
        <w:rPr>
          <w:rFonts w:hint="default" w:ascii="Times New Roman" w:hAnsi="Times New Roman" w:cs="Times New Roman"/>
          <w:color w:val="auto"/>
          <w:sz w:val="22"/>
          <w:szCs w:val="22"/>
          <w:highlight w:val="none"/>
        </w:rPr>
        <w:t>发包人供应的材料和工程设备与一览表不符时，发包人应按照下列规定承担相应责任：</w:t>
      </w:r>
    </w:p>
    <w:p w14:paraId="000A6940">
      <w:pPr>
        <w:pStyle w:val="7"/>
        <w:numPr>
          <w:ilvl w:val="0"/>
          <w:numId w:val="20"/>
        </w:numPr>
        <w:tabs>
          <w:tab w:val="left" w:pos="1080"/>
          <w:tab w:val="left" w:pos="2160"/>
        </w:tabs>
        <w:adjustRightInd w:val="0"/>
        <w:snapToGrid w:val="0"/>
        <w:spacing w:line="420" w:lineRule="exact"/>
        <w:ind w:left="1619" w:leftChars="771"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材料和工程设备的单价与一览表不符，由发包人承担所有价差；</w:t>
      </w:r>
    </w:p>
    <w:p w14:paraId="689CCBB1">
      <w:pPr>
        <w:pStyle w:val="7"/>
        <w:numPr>
          <w:ilvl w:val="0"/>
          <w:numId w:val="20"/>
        </w:numPr>
        <w:tabs>
          <w:tab w:val="left" w:pos="1080"/>
          <w:tab w:val="left" w:pos="1620"/>
        </w:tabs>
        <w:adjustRightInd w:val="0"/>
        <w:snapToGrid w:val="0"/>
        <w:spacing w:line="420" w:lineRule="exact"/>
        <w:ind w:left="1617" w:leftChars="769" w:hanging="2" w:hangingChars="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材料和工程设备的品种、规格、型号、质量标准与一览表不符，承包人可以拒绝接受保管，由发包人运出施工场地并重新采购；</w:t>
      </w:r>
    </w:p>
    <w:p w14:paraId="38ED18BA">
      <w:pPr>
        <w:pStyle w:val="7"/>
        <w:numPr>
          <w:ilvl w:val="0"/>
          <w:numId w:val="20"/>
        </w:numPr>
        <w:tabs>
          <w:tab w:val="left" w:pos="1080"/>
          <w:tab w:val="left" w:pos="1620"/>
        </w:tabs>
        <w:adjustRightInd w:val="0"/>
        <w:snapToGrid w:val="0"/>
        <w:spacing w:line="420" w:lineRule="exact"/>
        <w:ind w:left="1617" w:leftChars="769" w:hanging="2" w:hangingChars="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材料和工程设备的品种、规格、型号、质量标准与一览表不符，经发包人同意，承包人可代为调剂替换，由发包人承担相应费用；</w:t>
      </w:r>
    </w:p>
    <w:p w14:paraId="2D80F4E1">
      <w:pPr>
        <w:pStyle w:val="7"/>
        <w:numPr>
          <w:ilvl w:val="0"/>
          <w:numId w:val="20"/>
        </w:numPr>
        <w:tabs>
          <w:tab w:val="left" w:pos="1620"/>
        </w:tabs>
        <w:adjustRightInd w:val="0"/>
        <w:snapToGrid w:val="0"/>
        <w:spacing w:line="420" w:lineRule="exact"/>
        <w:ind w:left="1618" w:leftChars="770" w:hanging="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交货地点与一览表不符，除合同双方当事人协商确定外，由发包人重新运至一览表指定地点，并承担由此增加的费用和（或）延误的工期；</w:t>
      </w:r>
    </w:p>
    <w:p w14:paraId="25D1E388">
      <w:pPr>
        <w:pStyle w:val="7"/>
        <w:tabs>
          <w:tab w:val="left" w:pos="1620"/>
        </w:tabs>
        <w:adjustRightInd w:val="0"/>
        <w:snapToGrid w:val="0"/>
        <w:spacing w:line="420" w:lineRule="exact"/>
        <w:ind w:left="1618"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(5)供应数量少于一览表约定的数量时，由发包人补齐；多于一览表约定的数量时，发包人应将多出的部分运出施工场地；</w:t>
      </w:r>
    </w:p>
    <w:p w14:paraId="0A6B2303">
      <w:pPr>
        <w:pStyle w:val="7"/>
        <w:tabs>
          <w:tab w:val="left" w:pos="1620"/>
        </w:tabs>
        <w:adjustRightInd w:val="0"/>
        <w:snapToGrid w:val="0"/>
        <w:spacing w:line="420" w:lineRule="exact"/>
        <w:ind w:left="1618"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(6)交货时间早于一览表约定计划和第48.2款交货日期，由发包人承担由此发生的保管费；交货时间迟于一览表约定计划和第48.2款交货日期，由发包人承担由此增加的费用和（或）延误的工期。</w:t>
      </w:r>
    </w:p>
    <w:p w14:paraId="2EBA3EA3">
      <w:pPr>
        <w:pStyle w:val="7"/>
        <w:tabs>
          <w:tab w:val="left" w:pos="2160"/>
        </w:tabs>
        <w:adjustRightInd w:val="0"/>
        <w:snapToGrid w:val="0"/>
        <w:spacing w:line="420" w:lineRule="exact"/>
        <w:ind w:firstLine="0"/>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48.7 </w:t>
      </w:r>
      <w:r>
        <w:rPr>
          <w:rFonts w:hint="default" w:ascii="Times New Roman" w:hAnsi="Times New Roman" w:cs="Times New Roman"/>
          <w:b/>
          <w:bCs/>
          <w:color w:val="auto"/>
          <w:sz w:val="22"/>
          <w:szCs w:val="22"/>
          <w:highlight w:val="none"/>
          <w:u w:val="dotted"/>
        </w:rPr>
        <w:t xml:space="preserve">                                                                                 </w:t>
      </w:r>
    </w:p>
    <w:p w14:paraId="70A70B96">
      <w:pPr>
        <w:pStyle w:val="7"/>
        <w:adjustRightInd w:val="0"/>
        <w:snapToGrid w:val="0"/>
        <w:spacing w:line="420" w:lineRule="exact"/>
        <w:ind w:left="1619" w:leftChars="771"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54848" behindDoc="0" locked="0" layoutInCell="1" allowOverlap="1">
                <wp:simplePos x="0" y="0"/>
                <wp:positionH relativeFrom="column">
                  <wp:posOffset>-114300</wp:posOffset>
                </wp:positionH>
                <wp:positionV relativeFrom="paragraph">
                  <wp:posOffset>17145</wp:posOffset>
                </wp:positionV>
                <wp:extent cx="914400" cy="611505"/>
                <wp:effectExtent l="0" t="0" r="0" b="0"/>
                <wp:wrapNone/>
                <wp:docPr id="197" name="文本框 197"/>
                <wp:cNvGraphicFramePr/>
                <a:graphic xmlns:a="http://schemas.openxmlformats.org/drawingml/2006/main">
                  <a:graphicData uri="http://schemas.microsoft.com/office/word/2010/wordprocessingShape">
                    <wps:wsp>
                      <wps:cNvSpPr txBox="1"/>
                      <wps:spPr>
                        <a:xfrm>
                          <a:off x="0" y="0"/>
                          <a:ext cx="914400" cy="611505"/>
                        </a:xfrm>
                        <a:prstGeom prst="rect">
                          <a:avLst/>
                        </a:prstGeom>
                        <a:noFill/>
                        <a:ln>
                          <a:noFill/>
                        </a:ln>
                        <a:effectLst/>
                      </wps:spPr>
                      <wps:txbx>
                        <w:txbxContent>
                          <w:p w14:paraId="12483A4C">
                            <w:pPr>
                              <w:spacing w:line="20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供应材料和工程设备使用前的检验</w:t>
                            </w:r>
                          </w:p>
                        </w:txbxContent>
                      </wps:txbx>
                      <wps:bodyPr wrap="square" upright="1"/>
                    </wps:wsp>
                  </a:graphicData>
                </a:graphic>
              </wp:anchor>
            </w:drawing>
          </mc:Choice>
          <mc:Fallback>
            <w:pict>
              <v:shape id="_x0000_s1026" o:spid="_x0000_s1026" o:spt="202" type="#_x0000_t202" style="position:absolute;left:0pt;margin-left:-9pt;margin-top:1.35pt;height:48.15pt;width:72pt;z-index:251854848;mso-width-relative:page;mso-height-relative:page;" filled="f" stroked="f" coordsize="21600,21600" o:gfxdata="UEsDBAoAAAAAAIdO4kAAAAAAAAAAAAAAAAAEAAAAZHJzL1BLAwQUAAAACACHTuJAOnRnpdUAAAAI&#10;AQAADwAAAGRycy9kb3ducmV2LnhtbE2PzW7CMBCE70h9B2srcQM7UUtJmg2HVr2CSn+k3ky8JFHj&#10;dRQbEt6+5lSOoxnNfFNsJtuJMw2+dYyQLBUI4sqZlmuEz4+3xRqED5qN7hwTwoU8bMq7WaFz40Z+&#10;p/M+1CKWsM81QhNCn0vpq4as9kvXE0fv6AarQ5RDLc2gx1huO5kqtZJWtxwXGt3TS0PV7/5kEb62&#10;x5/vB7WrX+1jP7pJSbaZRJzfJ+oZRKAp/Ifhih/RoYxMB3di40WHsEjW8UtASJ9AXP10FfUBIcsU&#10;yLKQtwfKP1BLAwQUAAAACACHTuJAGJtE6bwBAABtAwAADgAAAGRycy9lMm9Eb2MueG1srVNLbtsw&#10;EN0X6B0I7mtKQZI2guUAhZFuirZAmgPQ1MgiIH7KoS35Au0Nuuqm+57L5+iQUtw02WSRDTWcz+O8&#10;N6Pl9Wh6toeA2tmal4uCM7DKNdpua3739ebNO84wStvI3lmo+QGQX69ev1oOvoIz17m+gcAIxGI1&#10;+Jp3MfpKCFQdGIkL58FSsHXByEjXsBVNkAOhm16cFcWlGFxofHAKEMm7noJ8RgzPAXRtqxWsndoZ&#10;sHFCDdDLSJSw0x75KnfbtqDi57ZFiKyvOTGN+aRHyN6kU6yWstoG6Tut5hbkc1p4xMlIbenRE9Ra&#10;Rsl2QT+BMloFh66NC+WMmIhkRYhFWTzS5raTHjIXkhr9SXR8OVj1af8lMN3QJly95cxKQyM//vxx&#10;/PXn+Ps7S06SaPBYUeatp9w4vncjpd/7kZyJ+dgGk77EiVGcBD6cBIYxMkXOq/L8vKCIotBlWV4U&#10;FwlF/Cv2AeMHcIYlo+aB5pdllfuPGKfU+5T0lnU3uu/zDHv7n4MwJw/kJZirE4+p32TFcTPO5Dau&#10;ORC3gRah5vhtJwNwtvNBbztqI3MVqYSmkPudNyaN+eGd7Id/yeo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OnRnpdUAAAAIAQAADwAAAAAAAAABACAAAAAiAAAAZHJzL2Rvd25yZXYueG1sUEsBAhQA&#10;FAAAAAgAh07iQBibROm8AQAAbQMAAA4AAAAAAAAAAQAgAAAAJAEAAGRycy9lMm9Eb2MueG1sUEsF&#10;BgAAAAAGAAYAWQEAAFIFAAAAAA==&#10;">
                <v:fill on="f" focussize="0,0"/>
                <v:stroke on="f"/>
                <v:imagedata o:title=""/>
                <o:lock v:ext="edit" aspectratio="f"/>
                <v:textbox>
                  <w:txbxContent>
                    <w:p w14:paraId="12483A4C">
                      <w:pPr>
                        <w:spacing w:line="20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供应材料和工程设备使用前的检验</w:t>
                      </w:r>
                    </w:p>
                  </w:txbxContent>
                </v:textbox>
              </v:shape>
            </w:pict>
          </mc:Fallback>
        </mc:AlternateContent>
      </w:r>
      <w:r>
        <w:rPr>
          <w:rFonts w:hint="default" w:ascii="Times New Roman" w:hAnsi="Times New Roman" w:cs="Times New Roman"/>
          <w:color w:val="auto"/>
          <w:sz w:val="22"/>
          <w:szCs w:val="22"/>
          <w:highlight w:val="none"/>
        </w:rPr>
        <w:t>发包人供应的材料和工程设备使用前，由监理工程师会同承包人进行检验试验，查验材料合格证明和产品合格证书。合同双方当事人应做好检验书面记录，并要求指定人选及时办理签认手续。不合格的，禁止在合同工程中使用。</w:t>
      </w:r>
    </w:p>
    <w:p w14:paraId="0E09569D">
      <w:pPr>
        <w:pStyle w:val="7"/>
        <w:adjustRightInd w:val="0"/>
        <w:snapToGrid w:val="0"/>
        <w:spacing w:before="120" w:beforeLines="50" w:line="420" w:lineRule="exact"/>
        <w:ind w:firstLine="0"/>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48.8  </w:t>
      </w:r>
      <w:r>
        <w:rPr>
          <w:rFonts w:hint="default" w:ascii="Times New Roman" w:hAnsi="Times New Roman" w:cs="Times New Roman"/>
          <w:b/>
          <w:bCs/>
          <w:color w:val="auto"/>
          <w:sz w:val="22"/>
          <w:szCs w:val="22"/>
          <w:highlight w:val="none"/>
          <w:u w:val="dotted"/>
        </w:rPr>
        <w:t xml:space="preserve">                                                                                                        </w:t>
      </w:r>
    </w:p>
    <w:p w14:paraId="68E38A02">
      <w:pPr>
        <w:pStyle w:val="7"/>
        <w:adjustRightInd w:val="0"/>
        <w:snapToGrid w:val="0"/>
        <w:spacing w:line="420" w:lineRule="exact"/>
        <w:ind w:left="1619" w:leftChars="771"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55872" behindDoc="0" locked="0" layoutInCell="1" allowOverlap="1">
                <wp:simplePos x="0" y="0"/>
                <wp:positionH relativeFrom="column">
                  <wp:posOffset>-114300</wp:posOffset>
                </wp:positionH>
                <wp:positionV relativeFrom="paragraph">
                  <wp:posOffset>7620</wp:posOffset>
                </wp:positionV>
                <wp:extent cx="1028700" cy="297180"/>
                <wp:effectExtent l="0" t="0" r="0" b="0"/>
                <wp:wrapNone/>
                <wp:docPr id="198" name="文本框 198"/>
                <wp:cNvGraphicFramePr/>
                <a:graphic xmlns:a="http://schemas.openxmlformats.org/drawingml/2006/main">
                  <a:graphicData uri="http://schemas.microsoft.com/office/word/2010/wordprocessingShape">
                    <wps:wsp>
                      <wps:cNvSpPr txBox="1"/>
                      <wps:spPr>
                        <a:xfrm>
                          <a:off x="0" y="0"/>
                          <a:ext cx="1028700" cy="297180"/>
                        </a:xfrm>
                        <a:prstGeom prst="rect">
                          <a:avLst/>
                        </a:prstGeom>
                        <a:noFill/>
                        <a:ln>
                          <a:noFill/>
                        </a:ln>
                        <a:effectLst/>
                      </wps:spPr>
                      <wps:txbx>
                        <w:txbxContent>
                          <w:p w14:paraId="26FA8294">
                            <w:pPr>
                              <w:spacing w:line="20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约定结算方式</w:t>
                            </w:r>
                          </w:p>
                        </w:txbxContent>
                      </wps:txbx>
                      <wps:bodyPr wrap="square" upright="1"/>
                    </wps:wsp>
                  </a:graphicData>
                </a:graphic>
              </wp:anchor>
            </w:drawing>
          </mc:Choice>
          <mc:Fallback>
            <w:pict>
              <v:shape id="_x0000_s1026" o:spid="_x0000_s1026" o:spt="202" type="#_x0000_t202" style="position:absolute;left:0pt;margin-left:-9pt;margin-top:0.6pt;height:23.4pt;width:81pt;z-index:251855872;mso-width-relative:page;mso-height-relative:page;" filled="f" stroked="f" coordsize="21600,21600" o:gfxdata="UEsDBAoAAAAAAIdO4kAAAAAAAAAAAAAAAAAEAAAAZHJzL1BLAwQUAAAACACHTuJA7liaDdQAAAAI&#10;AQAADwAAAGRycy9kb3ducmV2LnhtbE2PzU7DMBCE70i8g7VI3Fo7VUBtmk0PIK4gyo/EzY23SUS8&#10;jmK3CW/P9gTH2W80O1PuZt+rM42xC4yQLQ0o4jq4jhuE97enxRpUTJad7QMTwg9F2FXXV6UtXJj4&#10;lc771CgJ4VhYhDalodA61i15G5dhIBZ2DKO3SeTYaDfaScJ9r1fG3GtvO5YPrR3ooaX6e3/yCB/P&#10;x6/P3Lw0j/5umMJsNPuNRry9ycwWVKI5/ZnhUl+qQyWdDuHELqoeYZGtZUsSsAJ14Xku+oCQy11X&#10;pf4/oPoFUEsDBBQAAAAIAIdO4kCylt4DvAEAAG4DAAAOAAAAZHJzL2Uyb0RvYy54bWytU0tu2zAQ&#10;3RfoHQjua8peNI5gOUBgpJuiLZD0ADQ1sgiIn3BoS75Ae4Ossum+5/I5MqQUN003WXRDDefzOO/N&#10;aHU1mI4dIKB2tuLzWcEZWOVqbXcV/35382HJGUZpa9k5CxU/AvKr9ft3q96XsHCt62oIjEAslr2v&#10;eBujL4VA1YKROHMeLAUbF4yMdA07UQfZE7rpxKIoPorehdoHpwCRvJsxyCfE8BZA1zRawcapvQEb&#10;R9QAnYxECVvtka9zt00DKn5tGoTIuooT05hPeoTsbTrFeiXLXZC+1WpqQb6lhVecjNSWHj1DbWSU&#10;bB/0P1BGq+DQNXGmnBEjkawIsZgXr7S5baWHzIWkRn8WHf8frPpy+BaYrmkTLmnwVhoa+enh5+nx&#10;9+nXD5acJFHvsaTMW0+5cbh2A6U/+5GcifnQBJO+xIlRnAQ+ngWGITKViorF8qKgkKLY4vJivswT&#10;EH+qfcD4CZxhyah4oAFmXeXhM0bqhFKfU9Jj1t3orstD7OxfDkocPZC3YKpORMaGkxWH7TCx27r6&#10;SOR62oSK4/1eBuBs74PetdRGJitSCY0hNzGtTJrzyzvZL3+T9R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uWJoN1AAAAAgBAAAPAAAAAAAAAAEAIAAAACIAAABkcnMvZG93bnJldi54bWxQSwECFAAU&#10;AAAACACHTuJAspbeA7wBAABuAwAADgAAAAAAAAABACAAAAAjAQAAZHJzL2Uyb0RvYy54bWxQSwUG&#10;AAAAAAYABgBZAQAAUQUAAAAA&#10;">
                <v:fill on="f" focussize="0,0"/>
                <v:stroke on="f"/>
                <v:imagedata o:title=""/>
                <o:lock v:ext="edit" aspectratio="f"/>
                <v:textbox>
                  <w:txbxContent>
                    <w:p w14:paraId="26FA8294">
                      <w:pPr>
                        <w:spacing w:line="20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约定结算方式</w:t>
                      </w:r>
                    </w:p>
                  </w:txbxContent>
                </v:textbox>
              </v:shape>
            </w:pict>
          </mc:Fallback>
        </mc:AlternateContent>
      </w:r>
      <w:r>
        <w:rPr>
          <w:rFonts w:hint="default" w:ascii="Times New Roman" w:hAnsi="Times New Roman" w:cs="Times New Roman"/>
          <w:color w:val="auto"/>
          <w:sz w:val="22"/>
          <w:szCs w:val="22"/>
          <w:highlight w:val="none"/>
        </w:rPr>
        <w:t>发包人供应材料和工程设备的结算方式，由合同双方当事人在专用条款中约定。除工程量清单中已列有规费、税金项目的计算方法和额度，可由承包人代收代缴外，该结算方式发包人应按照政府有关部门和税务部门规定缴纳合同工程的规费、税金。</w:t>
      </w:r>
    </w:p>
    <w:p w14:paraId="75B31572">
      <w:pPr>
        <w:pStyle w:val="7"/>
        <w:adjustRightInd w:val="0"/>
        <w:snapToGrid w:val="0"/>
        <w:spacing w:line="420" w:lineRule="exact"/>
        <w:ind w:firstLine="0"/>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445B98B9">
      <w:pPr>
        <w:pStyle w:val="7"/>
        <w:adjustRightInd w:val="0"/>
        <w:snapToGrid w:val="0"/>
        <w:spacing w:line="420" w:lineRule="exact"/>
        <w:ind w:firstLine="0"/>
        <w:outlineLvl w:val="2"/>
        <w:rPr>
          <w:rFonts w:hint="default" w:ascii="Times New Roman" w:hAnsi="Times New Roman" w:cs="Times New Roman"/>
          <w:b/>
          <w:bCs/>
          <w:color w:val="auto"/>
          <w:sz w:val="22"/>
          <w:szCs w:val="22"/>
          <w:highlight w:val="none"/>
        </w:rPr>
      </w:pPr>
      <w:bookmarkStart w:id="195" w:name="_Toc469384032"/>
      <w:bookmarkStart w:id="196" w:name="_Toc13477"/>
      <w:r>
        <w:rPr>
          <w:rFonts w:hint="default" w:ascii="Times New Roman" w:hAnsi="Times New Roman" w:cs="Times New Roman"/>
          <w:b/>
          <w:bCs/>
          <w:color w:val="auto"/>
          <w:sz w:val="22"/>
          <w:szCs w:val="22"/>
          <w:highlight w:val="none"/>
        </w:rPr>
        <w:t>49  承包人采购材料和工程设备</w:t>
      </w:r>
      <w:bookmarkEnd w:id="195"/>
      <w:bookmarkEnd w:id="196"/>
    </w:p>
    <w:p w14:paraId="424A3DE2">
      <w:pPr>
        <w:pStyle w:val="7"/>
        <w:adjustRightInd w:val="0"/>
        <w:snapToGrid w:val="0"/>
        <w:spacing w:line="420" w:lineRule="exact"/>
        <w:ind w:firstLine="0"/>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49.1 </w:t>
      </w:r>
    </w:p>
    <w:p w14:paraId="150BA88E">
      <w:pPr>
        <w:pStyle w:val="7"/>
        <w:adjustRightInd w:val="0"/>
        <w:snapToGrid w:val="0"/>
        <w:spacing w:line="420" w:lineRule="exact"/>
        <w:ind w:left="1619" w:leftChars="771"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56896" behindDoc="0" locked="0" layoutInCell="1" allowOverlap="1">
                <wp:simplePos x="0" y="0"/>
                <wp:positionH relativeFrom="column">
                  <wp:posOffset>-114300</wp:posOffset>
                </wp:positionH>
                <wp:positionV relativeFrom="paragraph">
                  <wp:posOffset>17145</wp:posOffset>
                </wp:positionV>
                <wp:extent cx="914400" cy="486410"/>
                <wp:effectExtent l="0" t="0" r="0" b="0"/>
                <wp:wrapNone/>
                <wp:docPr id="199" name="文本框 199"/>
                <wp:cNvGraphicFramePr/>
                <a:graphic xmlns:a="http://schemas.openxmlformats.org/drawingml/2006/main">
                  <a:graphicData uri="http://schemas.microsoft.com/office/word/2010/wordprocessingShape">
                    <wps:wsp>
                      <wps:cNvSpPr txBox="1"/>
                      <wps:spPr>
                        <a:xfrm>
                          <a:off x="0" y="0"/>
                          <a:ext cx="914400" cy="486410"/>
                        </a:xfrm>
                        <a:prstGeom prst="rect">
                          <a:avLst/>
                        </a:prstGeom>
                        <a:noFill/>
                        <a:ln>
                          <a:noFill/>
                        </a:ln>
                        <a:effectLst/>
                      </wps:spPr>
                      <wps:txbx>
                        <w:txbxContent>
                          <w:p w14:paraId="1E35AEFE">
                            <w:pPr>
                              <w:spacing w:line="20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承包人采购材料和工程设备</w:t>
                            </w:r>
                          </w:p>
                        </w:txbxContent>
                      </wps:txbx>
                      <wps:bodyPr wrap="square" upright="1"/>
                    </wps:wsp>
                  </a:graphicData>
                </a:graphic>
              </wp:anchor>
            </w:drawing>
          </mc:Choice>
          <mc:Fallback>
            <w:pict>
              <v:shape id="_x0000_s1026" o:spid="_x0000_s1026" o:spt="202" type="#_x0000_t202" style="position:absolute;left:0pt;margin-left:-9pt;margin-top:1.35pt;height:38.3pt;width:72pt;z-index:251856896;mso-width-relative:page;mso-height-relative:page;" filled="f" stroked="f" coordsize="21600,21600" o:gfxdata="UEsDBAoAAAAAAIdO4kAAAAAAAAAAAAAAAAAEAAAAZHJzL1BLAwQUAAAACACHTuJAI/7+1dYAAAAI&#10;AQAADwAAAGRycy9kb3ducmV2LnhtbE2PzU7DMBCE70i8g7VIvbV2UuhPyKaHVlxBFKjUmxtvk4h4&#10;HcVuE94e9wTH0Yxmvsk3o23FlXrfOEZIZgoEcelMwxXC58fLdAXCB81Gt44J4Yc8bIr7u1xnxg38&#10;Ttd9qEQsYZ9phDqELpPSlzVZ7WeuI47e2fVWhyj7SppeD7HctjJVaiGtbjgu1LqjbU3l9/5iEb5e&#10;z8fDo3qrdvapG9yoJNu1RJw8JOoZRKAx/IXhhh/RoYhMJ3dh40WLME1W8UtASJcgbn66iPqEsFzP&#10;QRa5/H+g+AVQSwMEFAAAAAgAh07iQIgUz4y8AQAAbQMAAA4AAABkcnMvZTJvRG9jLnhtbK1TS27b&#10;MBDdF8gdCO5jyoERxILlAIWRboq2QNoD0NTIIiB+yqEt+QLtDbrqpvuey+fokFKc3yaLbqjhfB7n&#10;vRmtbgfTsQME1M5WfD4rOAOrXK3truLfvt5d3nCGUdpads5CxY+A/HZ98W7V+xKuXOu6GgIjEItl&#10;7yvexuhLIVC1YCTOnAdLwcYFIyNdw07UQfaEbjpxVRTXoneh9sEpQCTvZgzyCTG8BdA1jVawcWpv&#10;wMYRNUAnI1HCVnvk69xt04CKn5sGIbKu4sQ05pMeIXubTrFeyXIXpG+1mlqQb2nhBScjtaVHz1Ab&#10;GSXbB/0KymgVHLomzpQzYiSSFSEW8+KFNvet9JC5kNToz6Lj/4NVnw5fAtM1bcJyyZmVhkZ++vXz&#10;9Pvv6c8PlpwkUe+xpMx7T7lxeO8GSn/wIzkT86EJJn2JE6M4CXw8CwxDZIqcy/liUVBEUWhxc72Y&#10;5wGIx2IfMH4AZ1gyKh5ofllWefiIkRqh1IeU9JZ1d7rr8gw7+8xBiaMH8hJM1YnH2G+y4rAdJnJb&#10;Vx+JW0+LUHH8vpcBONv7oHcttZG5ilRCU8hNTBuTxvz0TvbTv2T9D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CP+/tXWAAAACAEAAA8AAAAAAAAAAQAgAAAAIgAAAGRycy9kb3ducmV2LnhtbFBLAQIU&#10;ABQAAAAIAIdO4kCIFM+MvAEAAG0DAAAOAAAAAAAAAAEAIAAAACUBAABkcnMvZTJvRG9jLnhtbFBL&#10;BQYAAAAABgAGAFkBAABTBQAAAAA=&#10;">
                <v:fill on="f" focussize="0,0"/>
                <v:stroke on="f"/>
                <v:imagedata o:title=""/>
                <o:lock v:ext="edit" aspectratio="f"/>
                <v:textbox>
                  <w:txbxContent>
                    <w:p w14:paraId="1E35AEFE">
                      <w:pPr>
                        <w:spacing w:line="20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承包人采购材料和工程设备</w:t>
                      </w:r>
                    </w:p>
                  </w:txbxContent>
                </v:textbox>
              </v:shape>
            </w:pict>
          </mc:Fallback>
        </mc:AlternateContent>
      </w:r>
      <w:r>
        <w:rPr>
          <w:rFonts w:hint="default" w:ascii="Times New Roman" w:hAnsi="Times New Roman" w:cs="Times New Roman"/>
          <w:color w:val="auto"/>
          <w:sz w:val="22"/>
          <w:szCs w:val="22"/>
          <w:highlight w:val="none"/>
        </w:rPr>
        <w:t>承包人负责采购材料和工程设备的，应按照标准与规范、设计要求和合同约定的要求采购，并提供产品质量合格证明文件，对材料和工程设备质量负责。承包人采购招标工程的材料和工程设备，应与其提交的投标文件相应内容一致。除专用条款另有约定外，上述材料和工程设备均由承包人负责运输和保管。</w:t>
      </w:r>
    </w:p>
    <w:p w14:paraId="383E8702">
      <w:pPr>
        <w:pStyle w:val="7"/>
        <w:adjustRightInd w:val="0"/>
        <w:snapToGrid w:val="0"/>
        <w:spacing w:line="420" w:lineRule="exact"/>
        <w:ind w:firstLine="0"/>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49.2 </w:t>
      </w:r>
      <w:r>
        <w:rPr>
          <w:rFonts w:hint="default" w:ascii="Times New Roman" w:hAnsi="Times New Roman" w:cs="Times New Roman"/>
          <w:b/>
          <w:bCs/>
          <w:color w:val="auto"/>
          <w:sz w:val="22"/>
          <w:szCs w:val="22"/>
          <w:highlight w:val="none"/>
          <w:u w:val="dotted"/>
        </w:rPr>
        <w:t xml:space="preserve">                                                                               </w:t>
      </w:r>
    </w:p>
    <w:p w14:paraId="390BDE95">
      <w:pPr>
        <w:pStyle w:val="7"/>
        <w:adjustRightInd w:val="0"/>
        <w:snapToGrid w:val="0"/>
        <w:spacing w:line="420" w:lineRule="exact"/>
        <w:ind w:left="1619" w:leftChars="771"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57920" behindDoc="0" locked="0" layoutInCell="1" allowOverlap="1">
                <wp:simplePos x="0" y="0"/>
                <wp:positionH relativeFrom="column">
                  <wp:posOffset>-114300</wp:posOffset>
                </wp:positionH>
                <wp:positionV relativeFrom="paragraph">
                  <wp:posOffset>17145</wp:posOffset>
                </wp:positionV>
                <wp:extent cx="914400" cy="486410"/>
                <wp:effectExtent l="0" t="0" r="0" b="0"/>
                <wp:wrapNone/>
                <wp:docPr id="200" name="文本框 200"/>
                <wp:cNvGraphicFramePr/>
                <a:graphic xmlns:a="http://schemas.openxmlformats.org/drawingml/2006/main">
                  <a:graphicData uri="http://schemas.microsoft.com/office/word/2010/wordprocessingShape">
                    <wps:wsp>
                      <wps:cNvSpPr txBox="1"/>
                      <wps:spPr>
                        <a:xfrm>
                          <a:off x="0" y="0"/>
                          <a:ext cx="914400" cy="486410"/>
                        </a:xfrm>
                        <a:prstGeom prst="rect">
                          <a:avLst/>
                        </a:prstGeom>
                        <a:noFill/>
                        <a:ln>
                          <a:noFill/>
                        </a:ln>
                        <a:effectLst/>
                      </wps:spPr>
                      <wps:txbx>
                        <w:txbxContent>
                          <w:p w14:paraId="3F938BC6">
                            <w:pPr>
                              <w:spacing w:line="20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承包人供货与清点要求</w:t>
                            </w:r>
                          </w:p>
                        </w:txbxContent>
                      </wps:txbx>
                      <wps:bodyPr wrap="square" upright="1"/>
                    </wps:wsp>
                  </a:graphicData>
                </a:graphic>
              </wp:anchor>
            </w:drawing>
          </mc:Choice>
          <mc:Fallback>
            <w:pict>
              <v:shape id="_x0000_s1026" o:spid="_x0000_s1026" o:spt="202" type="#_x0000_t202" style="position:absolute;left:0pt;margin-left:-9pt;margin-top:1.35pt;height:38.3pt;width:72pt;z-index:251857920;mso-width-relative:page;mso-height-relative:page;" filled="f" stroked="f" coordsize="21600,21600" o:gfxdata="UEsDBAoAAAAAAIdO4kAAAAAAAAAAAAAAAAAEAAAAZHJzL1BLAwQUAAAACACHTuJAI/7+1dYAAAAI&#10;AQAADwAAAGRycy9kb3ducmV2LnhtbE2PzU7DMBCE70i8g7VIvbV2UuhPyKaHVlxBFKjUmxtvk4h4&#10;HcVuE94e9wTH0Yxmvsk3o23FlXrfOEZIZgoEcelMwxXC58fLdAXCB81Gt44J4Yc8bIr7u1xnxg38&#10;Ttd9qEQsYZ9phDqELpPSlzVZ7WeuI47e2fVWhyj7SppeD7HctjJVaiGtbjgu1LqjbU3l9/5iEb5e&#10;z8fDo3qrdvapG9yoJNu1RJw8JOoZRKAx/IXhhh/RoYhMJ3dh40WLME1W8UtASJcgbn66iPqEsFzP&#10;QRa5/H+g+AVQSwMEFAAAAAgAh07iQApo4UO8AQAAbQMAAA4AAABkcnMvZTJvRG9jLnhtbK1TzW7b&#10;MAy+D+g7CLo3Soqg6Iw4BYagvRTbgG4PoMh0LEB/E5XYeYHtDXbaZfc9V55jlOxmXXfpYReZIqmP&#10;30fSq9vBGnaAiNq7mi9mc87AKd9ot6v55093lzecYZKukcY7qPkRkN+uL96s+lDBle+8aSAyAnFY&#10;9aHmXUqhEgJVB1bizAdwFGx9tDLRNe5EE2VP6NaIq/n8WvQ+NiF6BYjk3YxBPiHG1wD6ttUKNl7t&#10;Lbg0okYwMpEk7HRAvi5s2xZU+tC2CImZmpPSVE4qQvY2n2K9ktUuytBpNVGQr6HwQpOV2lHRM9RG&#10;Jsn2Uf8DZbWKHn2bZspbMQopHSEVi/mL3jx2MkDRQq3GcG46/j9Y9f7wMTLd1Jxmw5mTlkZ++v7t&#10;9OPX6edXlp3Uoj5gRZmPgXLT8M4PtDhPfiRnVj600eYvaWIUJ7DjucEwJKbI+XaxXOYyikLLm+vl&#10;oqCLP49DxHQP3rJs1DzS/Epb5eEBExGh1KeUXMv5O21MmaFxfzkocfRAWYLpddYx8s1WGrbDJG7r&#10;myNp62kRao5f9jICZ/sQ9a4jGkWryE9oCoXEtDF5zM/vZD//S9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CP+/tXWAAAACAEAAA8AAAAAAAAAAQAgAAAAIgAAAGRycy9kb3ducmV2LnhtbFBLAQIU&#10;ABQAAAAIAIdO4kAKaOFDvAEAAG0DAAAOAAAAAAAAAAEAIAAAACUBAABkcnMvZTJvRG9jLnhtbFBL&#10;BQYAAAAABgAGAFkBAABTBQAAAAA=&#10;">
                <v:fill on="f" focussize="0,0"/>
                <v:stroke on="f"/>
                <v:imagedata o:title=""/>
                <o:lock v:ext="edit" aspectratio="f"/>
                <v:textbox>
                  <w:txbxContent>
                    <w:p w14:paraId="3F938BC6">
                      <w:pPr>
                        <w:spacing w:line="20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承包人供货与清点要求</w:t>
                      </w:r>
                    </w:p>
                  </w:txbxContent>
                </v:textbox>
              </v:shape>
            </w:pict>
          </mc:Fallback>
        </mc:AlternateContent>
      </w:r>
      <w:r>
        <w:rPr>
          <w:rFonts w:hint="default" w:ascii="Times New Roman" w:hAnsi="Times New Roman" w:cs="Times New Roman"/>
          <w:color w:val="auto"/>
          <w:sz w:val="22"/>
          <w:szCs w:val="22"/>
          <w:highlight w:val="none"/>
        </w:rPr>
        <w:t>承包人应按照专用条款的约定，将各项材料和工程设备的供货人及品种、规格、数量和供货时间等情况以书面形式提交监理工程师确认，并由其报发包人批准后实施供货。承包人应在材料和工程设备到货前至少提前24小时，以书面形式通知发包人和监理工程师，并在监理工程师的见证下与发包人共同清点。</w:t>
      </w:r>
    </w:p>
    <w:p w14:paraId="130C52EA">
      <w:pPr>
        <w:pStyle w:val="7"/>
        <w:adjustRightInd w:val="0"/>
        <w:snapToGrid w:val="0"/>
        <w:spacing w:line="420" w:lineRule="exact"/>
        <w:ind w:firstLine="0"/>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49.3  </w:t>
      </w:r>
      <w:r>
        <w:rPr>
          <w:rFonts w:hint="default" w:ascii="Times New Roman" w:hAnsi="Times New Roman" w:cs="Times New Roman"/>
          <w:b/>
          <w:bCs/>
          <w:color w:val="auto"/>
          <w:sz w:val="22"/>
          <w:szCs w:val="22"/>
          <w:highlight w:val="none"/>
          <w:u w:val="dotted"/>
        </w:rPr>
        <w:t xml:space="preserve">                                                                                                        </w:t>
      </w:r>
    </w:p>
    <w:p w14:paraId="6992F784">
      <w:pPr>
        <w:pStyle w:val="7"/>
        <w:adjustRightInd w:val="0"/>
        <w:snapToGrid w:val="0"/>
        <w:spacing w:line="420" w:lineRule="exact"/>
        <w:ind w:left="1619" w:leftChars="771"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58944" behindDoc="0" locked="0" layoutInCell="1" allowOverlap="1">
                <wp:simplePos x="0" y="0"/>
                <wp:positionH relativeFrom="column">
                  <wp:posOffset>-114300</wp:posOffset>
                </wp:positionH>
                <wp:positionV relativeFrom="paragraph">
                  <wp:posOffset>1270</wp:posOffset>
                </wp:positionV>
                <wp:extent cx="914400" cy="792480"/>
                <wp:effectExtent l="0" t="0" r="0" b="0"/>
                <wp:wrapNone/>
                <wp:docPr id="201" name="文本框 201"/>
                <wp:cNvGraphicFramePr/>
                <a:graphic xmlns:a="http://schemas.openxmlformats.org/drawingml/2006/main">
                  <a:graphicData uri="http://schemas.microsoft.com/office/word/2010/wordprocessingShape">
                    <wps:wsp>
                      <wps:cNvSpPr txBox="1"/>
                      <wps:spPr>
                        <a:xfrm>
                          <a:off x="0" y="0"/>
                          <a:ext cx="914400" cy="792480"/>
                        </a:xfrm>
                        <a:prstGeom prst="rect">
                          <a:avLst/>
                        </a:prstGeom>
                        <a:noFill/>
                        <a:ln>
                          <a:noFill/>
                        </a:ln>
                        <a:effectLst/>
                      </wps:spPr>
                      <wps:txbx>
                        <w:txbxContent>
                          <w:p w14:paraId="3F6CFBFA">
                            <w:pPr>
                              <w:spacing w:line="20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承包人采购材料和工程设备的责任</w:t>
                            </w:r>
                          </w:p>
                        </w:txbxContent>
                      </wps:txbx>
                      <wps:bodyPr wrap="square" upright="1"/>
                    </wps:wsp>
                  </a:graphicData>
                </a:graphic>
              </wp:anchor>
            </w:drawing>
          </mc:Choice>
          <mc:Fallback>
            <w:pict>
              <v:shape id="_x0000_s1026" o:spid="_x0000_s1026" o:spt="202" type="#_x0000_t202" style="position:absolute;left:0pt;margin-left:-9pt;margin-top:0.1pt;height:62.4pt;width:72pt;z-index:251858944;mso-width-relative:page;mso-height-relative:page;" filled="f" stroked="f" coordsize="21600,21600" o:gfxdata="UEsDBAoAAAAAAIdO4kAAAAAAAAAAAAAAAAAEAAAAZHJzL1BLAwQUAAAACACHTuJAlkPCqtQAAAAI&#10;AQAADwAAAGRycy9kb3ducmV2LnhtbE2PwW7CMBBE75X6D9ZW6g3WiQqiIQ4HUK+tSgGpNxMvSUS8&#10;jmJD0r+vc2pvO5rR7Jt8M9pW3Kn3jWMFyVyCIC6dabhScPh6m61A+KDZ6NYxKfghD5vi8SHXmXED&#10;f9J9HyoRS9hnWkEdQpch+rImq/3cdcTRu7je6hBlX6Hp9RDLbYuplEu0uuH4odYdbWsqr/ubVXB8&#10;v3yfXuRHtbOLbnCjRLavqNTzUyLXIAKN4S8ME35EhyIynd2NjRetglmyiluCghTEZKfLKM/TsZCA&#10;RY7/BxS/UEsDBBQAAAAIAIdO4kAcQ1n0vQEAAG0DAAAOAAAAZHJzL2Uyb0RvYy54bWytU0uO2zAM&#10;3ReYOwjaN3KCoJ0x4gxQBDOboi0w7QEUmY4FWJ+KSuxcoL1BV91033PlHKVkT+a3mUU3MkVSj3yP&#10;9Op6MB07QEDtbMXns4IzsMrV2u4q/u3rzdtLzjBKW8vOWaj4EZBfry/erHpfwsK1rqshMAKxWPa+&#10;4m2MvhQCVQtG4sx5sBRsXDAy0jXsRB1kT+imE4uieCd6F2ofnAJE8m7GIJ8Qw2sAXdNoBRun9gZs&#10;HFEDdDISJWy1R77O3TYNqPi5aRAi6ypOTGM+qQjZ23SK9UqWuyB9q9XUgnxNC884GaktFT1DbWSU&#10;bB/0CyijVXDomjhTzoiRSFaEWMyLZ9rctdJD5kJSoz+Ljv8PVn06fAlM1xWn+pxZaWjkp18/T7//&#10;nv78YMlJEvUeS8q885Qbhw9uoMW59yM5E/OhCSZ9iROjOAl8PAsMQ2SKnFfz5bKgiKLQ+6vF8jIP&#10;QDw89gHjLTjDklHxQPPLssrDR4zUCKXep6Ra1t3orssz7OwTByWOHshLML1OPMZ+kxWH7TCR27r6&#10;SNx6WoSK4/e9DMDZ3ge9a6mNzFWkJzSF3MS0MWnMj+9kP/5L1v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lkPCqtQAAAAIAQAADwAAAAAAAAABACAAAAAiAAAAZHJzL2Rvd25yZXYueG1sUEsBAhQA&#10;FAAAAAgAh07iQBxDWfS9AQAAbQMAAA4AAAAAAAAAAQAgAAAAIwEAAGRycy9lMm9Eb2MueG1sUEsF&#10;BgAAAAAGAAYAWQEAAFIFAAAAAA==&#10;">
                <v:fill on="f" focussize="0,0"/>
                <v:stroke on="f"/>
                <v:imagedata o:title=""/>
                <o:lock v:ext="edit" aspectratio="f"/>
                <v:textbox>
                  <w:txbxContent>
                    <w:p w14:paraId="3F6CFBFA">
                      <w:pPr>
                        <w:spacing w:line="20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承包人采购材料和工程设备的责任</w:t>
                      </w:r>
                    </w:p>
                  </w:txbxContent>
                </v:textbox>
              </v:shape>
            </w:pict>
          </mc:Fallback>
        </mc:AlternateContent>
      </w:r>
      <w:r>
        <w:rPr>
          <w:rFonts w:hint="default" w:ascii="Times New Roman" w:hAnsi="Times New Roman" w:cs="Times New Roman"/>
          <w:color w:val="auto"/>
          <w:sz w:val="22"/>
          <w:szCs w:val="22"/>
          <w:highlight w:val="none"/>
        </w:rPr>
        <w:t>承包人采购的材料和工程设备不符合标准与规范、设计要求和合同约定的要求时，应按照监理工程师的指令将其运出施工场地，重新采购符合要求的产品，由此增加的费用和（或）延误的工期由承包人承担。</w:t>
      </w:r>
    </w:p>
    <w:p w14:paraId="0074CEE8">
      <w:pPr>
        <w:pStyle w:val="7"/>
        <w:adjustRightInd w:val="0"/>
        <w:snapToGrid w:val="0"/>
        <w:spacing w:line="420" w:lineRule="exact"/>
        <w:ind w:firstLine="0"/>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49.4  </w:t>
      </w:r>
      <w:r>
        <w:rPr>
          <w:rFonts w:hint="default" w:ascii="Times New Roman" w:hAnsi="Times New Roman" w:cs="Times New Roman"/>
          <w:b/>
          <w:bCs/>
          <w:color w:val="auto"/>
          <w:sz w:val="22"/>
          <w:szCs w:val="22"/>
          <w:highlight w:val="none"/>
          <w:u w:val="dotted"/>
        </w:rPr>
        <w:t xml:space="preserve">                                                                                                        </w:t>
      </w:r>
    </w:p>
    <w:p w14:paraId="04BCC873">
      <w:pPr>
        <w:pStyle w:val="7"/>
        <w:adjustRightInd w:val="0"/>
        <w:snapToGrid w:val="0"/>
        <w:spacing w:line="420" w:lineRule="exact"/>
        <w:ind w:left="1619" w:leftChars="771"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59968" behindDoc="0" locked="0" layoutInCell="1" allowOverlap="1">
                <wp:simplePos x="0" y="0"/>
                <wp:positionH relativeFrom="column">
                  <wp:posOffset>-114300</wp:posOffset>
                </wp:positionH>
                <wp:positionV relativeFrom="paragraph">
                  <wp:posOffset>-5080</wp:posOffset>
                </wp:positionV>
                <wp:extent cx="914400" cy="792480"/>
                <wp:effectExtent l="0" t="0" r="0" b="0"/>
                <wp:wrapNone/>
                <wp:docPr id="202" name="文本框 202"/>
                <wp:cNvGraphicFramePr/>
                <a:graphic xmlns:a="http://schemas.openxmlformats.org/drawingml/2006/main">
                  <a:graphicData uri="http://schemas.microsoft.com/office/word/2010/wordprocessingShape">
                    <wps:wsp>
                      <wps:cNvSpPr txBox="1"/>
                      <wps:spPr>
                        <a:xfrm>
                          <a:off x="0" y="0"/>
                          <a:ext cx="914400" cy="792480"/>
                        </a:xfrm>
                        <a:prstGeom prst="rect">
                          <a:avLst/>
                        </a:prstGeom>
                        <a:noFill/>
                        <a:ln>
                          <a:noFill/>
                        </a:ln>
                        <a:effectLst/>
                      </wps:spPr>
                      <wps:txbx>
                        <w:txbxContent>
                          <w:p w14:paraId="6A1B98DB">
                            <w:pPr>
                              <w:spacing w:line="20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承包人使用采购的材料和工程设备的责任</w:t>
                            </w:r>
                          </w:p>
                        </w:txbxContent>
                      </wps:txbx>
                      <wps:bodyPr wrap="square" upright="1"/>
                    </wps:wsp>
                  </a:graphicData>
                </a:graphic>
              </wp:anchor>
            </w:drawing>
          </mc:Choice>
          <mc:Fallback>
            <w:pict>
              <v:shape id="_x0000_s1026" o:spid="_x0000_s1026" o:spt="202" type="#_x0000_t202" style="position:absolute;left:0pt;margin-left:-9pt;margin-top:-0.4pt;height:62.4pt;width:72pt;z-index:251859968;mso-width-relative:page;mso-height-relative:page;" filled="f" stroked="f" coordsize="21600,21600" o:gfxdata="UEsDBAoAAAAAAIdO4kAAAAAAAAAAAAAAAAAEAAAAZHJzL1BLAwQUAAAACACHTuJA/jqri9QAAAAJ&#10;AQAADwAAAGRycy9kb3ducmV2LnhtbE2PwU7DMBBE70j8g7VI3Np1qlKVEKcHEFcQpSBxc+NtEhGv&#10;o9htwt+zOcFtRrOafVPsJt+pCw2xDWwgW2pQxFVwLdcGDu/Piy2omCw72wUmAz8UYVdeXxU2d2Hk&#10;N7rsU62khGNuDTQp9TlirBryNi5DTyzZKQzeJrFDjW6wo5T7Dldab9DbluVDY3t6bKj63p+9gY+X&#10;09fnWr/WT/6uH8Okkf09GnN7k+kHUImm9HcMM76gQylMx3BmF1VnYJFtZUsSIQvmfLURf5zFWgOW&#10;Bf5fUP4CUEsDBBQAAAAIAIdO4kBLRW8qvQEAAG0DAAAOAAAAZHJzL2Uyb0RvYy54bWytU82O0zAQ&#10;viPxDpbv1GlUwW7UdCVULRcESAsP4DqTxlL8g8dt0heAN+DEhTvP1edg7GS7y3LZAxdnPD+f5/tm&#10;sr4ZTc+OEFA7W/PlouAMrHKNtvuaf/l8++qKM4zSNrJ3Fmp+AuQ3m5cv1oOvoHSd6xsIjEAsVoOv&#10;eRejr4RA1YGRuHAeLAVbF4yMdA170QQ5ELrpRVkUr8XgQuODU4BI3u0U5DNieA6ga1utYOvUwYCN&#10;E2qAXkaihJ32yDe527YFFT+2LUJkfc2JacwnPUL2Lp1is5bVPkjfaTW3IJ/TwhNORmpLj16gtjJK&#10;dgj6HyijVXDo2rhQzoiJSFaEWCyLJ9rcddJD5kJSo7+Ijv8PVn04fgpMNzUvi5IzKw2N/Pzj+/nn&#10;7/Ovbyw5SaLBY0WZd55y4/jWjbQ4934kZ2I+tsGkL3FiFCeBTxeBYYxMkfN6uVoVFFEUenNdrq7y&#10;AMRDsQ8Y34EzLBk1DzS/LKs8vsdIjVDqfUp6y7pb3fd5hr39y0GJkwfyEszVicfUb7LiuBtncjvX&#10;nIjbQItQc/x6kAE4O/ig9x21kbmKVEJTyE3MG5PG/PhO9uO/ZPMH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jqri9QAAAAJAQAADwAAAAAAAAABACAAAAAiAAAAZHJzL2Rvd25yZXYueG1sUEsBAhQA&#10;FAAAAAgAh07iQEtFbyq9AQAAbQMAAA4AAAAAAAAAAQAgAAAAIwEAAGRycy9lMm9Eb2MueG1sUEsF&#10;BgAAAAAGAAYAWQEAAFIFAAAAAA==&#10;">
                <v:fill on="f" focussize="0,0"/>
                <v:stroke on="f"/>
                <v:imagedata o:title=""/>
                <o:lock v:ext="edit" aspectratio="f"/>
                <v:textbox>
                  <w:txbxContent>
                    <w:p w14:paraId="6A1B98DB">
                      <w:pPr>
                        <w:spacing w:line="20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承包人使用采购的材料和工程设备的责任</w:t>
                      </w:r>
                    </w:p>
                  </w:txbxContent>
                </v:textbox>
              </v:shape>
            </w:pict>
          </mc:Fallback>
        </mc:AlternateContent>
      </w:r>
      <w:r>
        <w:rPr>
          <w:rFonts w:hint="default" w:ascii="Times New Roman" w:hAnsi="Times New Roman" w:cs="Times New Roman"/>
          <w:color w:val="auto"/>
          <w:sz w:val="22"/>
          <w:szCs w:val="22"/>
          <w:highlight w:val="none"/>
        </w:rPr>
        <w:t>监理工程师发现承包人使用不符合标准与规范、设计要求和合同约定要求的材料和工程设备时，应迅速发出指令要求承包人立即停止使用，并拆除、修复或重新采购，由此增加的费用和（或）延误的工期由承包人承担。</w:t>
      </w:r>
    </w:p>
    <w:p w14:paraId="31EB9B9D">
      <w:pPr>
        <w:pStyle w:val="7"/>
        <w:adjustRightInd w:val="0"/>
        <w:snapToGrid w:val="0"/>
        <w:spacing w:line="420" w:lineRule="exact"/>
        <w:ind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60992" behindDoc="0" locked="0" layoutInCell="1" allowOverlap="1">
                <wp:simplePos x="0" y="0"/>
                <wp:positionH relativeFrom="column">
                  <wp:posOffset>-114300</wp:posOffset>
                </wp:positionH>
                <wp:positionV relativeFrom="paragraph">
                  <wp:posOffset>242570</wp:posOffset>
                </wp:positionV>
                <wp:extent cx="914400" cy="441960"/>
                <wp:effectExtent l="0" t="0" r="0" b="0"/>
                <wp:wrapNone/>
                <wp:docPr id="203" name="文本框 203"/>
                <wp:cNvGraphicFramePr/>
                <a:graphic xmlns:a="http://schemas.openxmlformats.org/drawingml/2006/main">
                  <a:graphicData uri="http://schemas.microsoft.com/office/word/2010/wordprocessingShape">
                    <wps:wsp>
                      <wps:cNvSpPr txBox="1"/>
                      <wps:spPr>
                        <a:xfrm>
                          <a:off x="0" y="0"/>
                          <a:ext cx="914400" cy="441960"/>
                        </a:xfrm>
                        <a:prstGeom prst="rect">
                          <a:avLst/>
                        </a:prstGeom>
                        <a:noFill/>
                        <a:ln>
                          <a:noFill/>
                        </a:ln>
                        <a:effectLst/>
                      </wps:spPr>
                      <wps:txbx>
                        <w:txbxContent>
                          <w:p w14:paraId="39124BB4">
                            <w:pPr>
                              <w:spacing w:line="20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承包人不执行指令的责任</w:t>
                            </w:r>
                          </w:p>
                        </w:txbxContent>
                      </wps:txbx>
                      <wps:bodyPr wrap="square" upright="1"/>
                    </wps:wsp>
                  </a:graphicData>
                </a:graphic>
              </wp:anchor>
            </w:drawing>
          </mc:Choice>
          <mc:Fallback>
            <w:pict>
              <v:shape id="_x0000_s1026" o:spid="_x0000_s1026" o:spt="202" type="#_x0000_t202" style="position:absolute;left:0pt;margin-left:-9pt;margin-top:19.1pt;height:34.8pt;width:72pt;z-index:251860992;mso-width-relative:page;mso-height-relative:page;" filled="f" stroked="f" coordsize="21600,21600" o:gfxdata="UEsDBAoAAAAAAIdO4kAAAAAAAAAAAAAAAAAEAAAAZHJzL1BLAwQUAAAACACHTuJAvd5jUdcAAAAK&#10;AQAADwAAAGRycy9kb3ducmV2LnhtbE2PQU/DMAyF70j8h8hI3LakBbbSNd0BxBXE2CZxyxqvrdY4&#10;VZOt5d/jneBm+z09f69YT64TFxxC60lDMlcgkCpvW6o1bL/eZhmIEA1Z03lCDT8YYF3e3hQmt36k&#10;T7xsYi04hEJuNDQx9rmUoWrQmTD3PRJrRz84E3kdamkHM3K462Sq1EI60xJ/aEyPLw1Wp83Zadi9&#10;H7/3j+qjfnVP/egnJck9S63v7xK1AhFxin9muOIzOpTMdPBnskF0GmZJxl2ihocsBXE1pAs+HHhQ&#10;ywxkWcj/FcpfUEsDBBQAAAAIAIdO4kDs67R8vQEAAG0DAAAOAAAAZHJzL2Uyb0RvYy54bWytU0tu&#10;2zAQ3RfIHQjuY8muETSC5QCFkW6KtkDaA9DU0CIgfsqhLfkC7Q266qb7nsvn6JBSnN8mi26o4Xwe&#10;570ZrW4G07EDBNTO1nw+KzkDK12j7a7m377eXr7jDKOwjeichZofAfnN+uLNqvcVLFzrugYCIxCL&#10;Ve9r3sboq6JA2YIROHMeLAWVC0ZEuoZd0QTRE7rpikVZXhW9C40PTgIieTdjkE+I4TWATiktYePk&#10;3oCNI2qATkSihK32yNe5W6VAxs9KIUTW1ZyYxnzSI2Rv01msV6LaBeFbLacWxGtaeMbJCG3p0TPU&#10;RkTB9kG/gDJaBodOxZl0phiJZEWIxbx8ps1dKzxkLiQ1+rPo+P9g5afDl8B0U/NF+ZYzKwyN/PTr&#10;5+n339OfHyw5SaLeY0WZd55y4/DeDbQ4934kZ2I+qGDSlzgxipPAx7PAMEQmyXk9Xy5LikgKLZfz&#10;66s8gOKh2AeMH8AZloyaB5pfllUcPmKkRij1PiW9Zd2t7ro8w84+cVDi6IG8BFN14jH2m6w4bIeJ&#10;3NY1R+LW0yLUHL/vRQDO9j7oXUttZK5FKqEp5CamjUljfnwn+/Ffsv4H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vd5jUdcAAAAKAQAADwAAAAAAAAABACAAAAAiAAAAZHJzL2Rvd25yZXYueG1sUEsB&#10;AhQAFAAAAAgAh07iQOzrtHy9AQAAbQMAAA4AAAAAAAAAAQAgAAAAJgEAAGRycy9lMm9Eb2MueG1s&#10;UEsFBgAAAAAGAAYAWQEAAFUFAAAAAA==&#10;">
                <v:fill on="f" focussize="0,0"/>
                <v:stroke on="f"/>
                <v:imagedata o:title=""/>
                <o:lock v:ext="edit" aspectratio="f"/>
                <v:textbox>
                  <w:txbxContent>
                    <w:p w14:paraId="39124BB4">
                      <w:pPr>
                        <w:spacing w:line="20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承包人不执行指令的责任</w:t>
                      </w:r>
                    </w:p>
                  </w:txbxContent>
                </v:textbox>
              </v:shape>
            </w:pict>
          </mc:Fallback>
        </mc:AlternateContent>
      </w:r>
      <w:r>
        <w:rPr>
          <w:rFonts w:hint="default" w:ascii="Times New Roman" w:hAnsi="Times New Roman" w:cs="Times New Roman"/>
          <w:b/>
          <w:bCs/>
          <w:color w:val="auto"/>
          <w:sz w:val="22"/>
          <w:szCs w:val="22"/>
          <w:highlight w:val="none"/>
        </w:rPr>
        <w:t xml:space="preserve">49.5 </w:t>
      </w:r>
      <w:r>
        <w:rPr>
          <w:rFonts w:hint="default" w:ascii="Times New Roman" w:hAnsi="Times New Roman" w:cs="Times New Roman"/>
          <w:color w:val="auto"/>
          <w:sz w:val="22"/>
          <w:szCs w:val="22"/>
          <w:highlight w:val="none"/>
        </w:rPr>
        <w:t xml:space="preserve"> </w:t>
      </w:r>
      <w:r>
        <w:rPr>
          <w:rFonts w:hint="default" w:ascii="Times New Roman" w:hAnsi="Times New Roman" w:cs="Times New Roman"/>
          <w:color w:val="auto"/>
          <w:sz w:val="22"/>
          <w:szCs w:val="22"/>
          <w:highlight w:val="none"/>
          <w:u w:val="dotted"/>
        </w:rPr>
        <w:t xml:space="preserve">                                                                                                        </w:t>
      </w:r>
    </w:p>
    <w:p w14:paraId="3D6BA70A">
      <w:pPr>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如果承包人不执行监理工程师依据第49.3款和第49.4款规定发出的指令</w:t>
      </w:r>
      <w:r>
        <w:rPr>
          <w:rFonts w:hint="default" w:ascii="Times New Roman" w:hAnsi="Times New Roman" w:cs="Times New Roman"/>
          <w:color w:val="auto"/>
          <w:sz w:val="22"/>
          <w:szCs w:val="22"/>
          <w:highlight w:val="none"/>
          <w:lang w:eastAsia="zh-CN"/>
        </w:rPr>
        <w:t>，</w:t>
      </w:r>
      <w:r>
        <w:rPr>
          <w:rFonts w:hint="default" w:ascii="Times New Roman" w:hAnsi="Times New Roman" w:cs="Times New Roman"/>
          <w:color w:val="auto"/>
          <w:sz w:val="22"/>
          <w:szCs w:val="22"/>
          <w:highlight w:val="none"/>
        </w:rPr>
        <w:t>则发包人可自行或委托第三方执行该指令，由此发生的费用由承包人承担。该笔款项经造价工程师核实后，由发包人从应付或将付给或将付给承包人的工程款中扣除。</w:t>
      </w:r>
    </w:p>
    <w:p w14:paraId="13E297C0">
      <w:pPr>
        <w:pStyle w:val="7"/>
        <w:adjustRightInd w:val="0"/>
        <w:snapToGrid w:val="0"/>
        <w:spacing w:line="420" w:lineRule="exact"/>
        <w:ind w:firstLine="0"/>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49.6  </w:t>
      </w:r>
      <w:r>
        <w:rPr>
          <w:rFonts w:hint="default" w:ascii="Times New Roman" w:hAnsi="Times New Roman" w:cs="Times New Roman"/>
          <w:b/>
          <w:bCs/>
          <w:color w:val="auto"/>
          <w:sz w:val="22"/>
          <w:szCs w:val="22"/>
          <w:highlight w:val="none"/>
          <w:u w:val="dotted"/>
        </w:rPr>
        <w:t xml:space="preserve">                                                                                                       </w:t>
      </w:r>
      <w:r>
        <w:rPr>
          <w:rFonts w:hint="default" w:ascii="Times New Roman" w:hAnsi="Times New Roman" w:cs="Times New Roman"/>
          <w:b/>
          <w:bCs/>
          <w:color w:val="auto"/>
          <w:sz w:val="22"/>
          <w:szCs w:val="22"/>
          <w:highlight w:val="none"/>
        </w:rPr>
        <w:t xml:space="preserve"> </w:t>
      </w:r>
    </w:p>
    <w:p w14:paraId="08710C08">
      <w:pPr>
        <w:pStyle w:val="7"/>
        <w:tabs>
          <w:tab w:val="left" w:pos="1260"/>
        </w:tabs>
        <w:adjustRightInd w:val="0"/>
        <w:snapToGrid w:val="0"/>
        <w:spacing w:line="420" w:lineRule="exact"/>
        <w:ind w:left="1619" w:leftChars="771"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62016" behindDoc="0" locked="0" layoutInCell="1" allowOverlap="1">
                <wp:simplePos x="0" y="0"/>
                <wp:positionH relativeFrom="column">
                  <wp:posOffset>-114300</wp:posOffset>
                </wp:positionH>
                <wp:positionV relativeFrom="paragraph">
                  <wp:posOffset>45720</wp:posOffset>
                </wp:positionV>
                <wp:extent cx="914400" cy="410845"/>
                <wp:effectExtent l="0" t="0" r="0" b="0"/>
                <wp:wrapNone/>
                <wp:docPr id="204" name="文本框 204"/>
                <wp:cNvGraphicFramePr/>
                <a:graphic xmlns:a="http://schemas.openxmlformats.org/drawingml/2006/main">
                  <a:graphicData uri="http://schemas.microsoft.com/office/word/2010/wordprocessingShape">
                    <wps:wsp>
                      <wps:cNvSpPr txBox="1"/>
                      <wps:spPr>
                        <a:xfrm>
                          <a:off x="0" y="0"/>
                          <a:ext cx="914400" cy="410845"/>
                        </a:xfrm>
                        <a:prstGeom prst="rect">
                          <a:avLst/>
                        </a:prstGeom>
                        <a:noFill/>
                        <a:ln>
                          <a:noFill/>
                        </a:ln>
                        <a:effectLst/>
                      </wps:spPr>
                      <wps:txbx>
                        <w:txbxContent>
                          <w:p w14:paraId="6AC651AD">
                            <w:pPr>
                              <w:spacing w:line="20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使用替换材料的申请与批准</w:t>
                            </w:r>
                          </w:p>
                        </w:txbxContent>
                      </wps:txbx>
                      <wps:bodyPr wrap="square" upright="1"/>
                    </wps:wsp>
                  </a:graphicData>
                </a:graphic>
              </wp:anchor>
            </w:drawing>
          </mc:Choice>
          <mc:Fallback>
            <w:pict>
              <v:shape id="_x0000_s1026" o:spid="_x0000_s1026" o:spt="202" type="#_x0000_t202" style="position:absolute;left:0pt;margin-left:-9pt;margin-top:3.6pt;height:32.35pt;width:72pt;z-index:251862016;mso-width-relative:page;mso-height-relative:page;" filled="f" stroked="f" coordsize="21600,21600" o:gfxdata="UEsDBAoAAAAAAIdO4kAAAAAAAAAAAAAAAAAEAAAAZHJzL1BLAwQUAAAACACHTuJAR/6zdtQAAAAI&#10;AQAADwAAAGRycy9kb3ducmV2LnhtbE2Py07DMBBF90j8gzVI7NpxIihtiNMFiC2I8pDYufE0iYjH&#10;Uew24e+ZrmB5dEd3zi23s+/VicbYBTaQLTUo4jq4jhsD729PizWomCw72wcmAz8UYVtdXpS2cGHi&#10;VzrtUqOkhGNhDbQpDQVirFvyNi7DQCzZIYzeJsGxQTfaScp9j7nWK/S2Y/nQ2oEeWqq/d0dv4OP5&#10;8PV5o1+aR387TGHWyH6DxlxfZfoeVKI5/R3DWV/UoRKnfTiyi6o3sMjWsiUZuMtBnfN8JbwXzjaA&#10;VYn/B1S/UEsDBBQAAAAIAIdO4kDlprAhvAEAAG0DAAAOAAAAZHJzL2Uyb0RvYy54bWytU82O0zAQ&#10;viPxDpbv1GkV0BI1XWlVLRcESAsP4DrjxlL8sx63SV8A3oATF+48V5+DcZIty3LZAxdnPD+f5/tm&#10;sr4ebMeOENF4V/PlouAMnPKNcfuaf/l8++qKM0zSNbLzDmp+AuTXm5cv1n2oYOVb3zUQGYE4rPpQ&#10;8zalUAmBqgUrceEDOApqH61MdI170UTZE7rtxKoo3ojexyZErwCRvNspyGfE+BxAr7VRsPXqYMGl&#10;CTVCJxNRwtYE5JuxW61BpY9aIyTW1ZyYpvGkR8je5VNs1rLaRxlao+YW5HNaeMLJSuPo0QvUVibJ&#10;DtH8A2WNih69TgvlrZiIjIoQi2XxRJu7VgYYuZDUGC6i4/+DVR+OnyIzTc1XRcmZk5ZGfv7+7fzj&#10;1/nnV5adJFEfsKLMu0C5abjxAy3Ogx/JmZkPOtr8JU6M4iTw6SIwDIkpcr5dlmVBEUWhcllcla8z&#10;ivhTHCKmd+Aty0bNI81vlFUe32OaUh9S8lvO35quG2fYub8chDl5YFyCuTrzmPrNVhp2w0xu55sT&#10;cetpEWqO9wcZgbNDiGbfUhsjV5FLaApjv/PG5DE/vpP9+C/Z/A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BH/rN21AAAAAgBAAAPAAAAAAAAAAEAIAAAACIAAABkcnMvZG93bnJldi54bWxQSwECFAAU&#10;AAAACACHTuJA5aawIbwBAABtAwAADgAAAAAAAAABACAAAAAjAQAAZHJzL2Uyb0RvYy54bWxQSwUG&#10;AAAAAAYABgBZAQAAUQUAAAAA&#10;">
                <v:fill on="f" focussize="0,0"/>
                <v:stroke on="f"/>
                <v:imagedata o:title=""/>
                <o:lock v:ext="edit" aspectratio="f"/>
                <v:textbox>
                  <w:txbxContent>
                    <w:p w14:paraId="6AC651AD">
                      <w:pPr>
                        <w:spacing w:line="20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使用替换材料的申请与批准</w:t>
                      </w:r>
                    </w:p>
                  </w:txbxContent>
                </v:textbox>
              </v:shape>
            </w:pict>
          </mc:Fallback>
        </mc:AlternateContent>
      </w:r>
      <w:r>
        <w:rPr>
          <w:rFonts w:hint="default" w:ascii="Times New Roman" w:hAnsi="Times New Roman" w:cs="Times New Roman"/>
          <w:color w:val="auto"/>
          <w:sz w:val="22"/>
          <w:szCs w:val="22"/>
          <w:highlight w:val="none"/>
        </w:rPr>
        <w:t>承包人需要使用替换材料的，应经监理工程师同意并由其报发包人批准后方可实施，由此引起合同价款的增减由造价工程师与合同双方当事人协商确定；协商不能达成一致的，由造价工程师暂定，通知承包人并抄报发包人。</w:t>
      </w:r>
    </w:p>
    <w:p w14:paraId="5840C747">
      <w:pPr>
        <w:pStyle w:val="7"/>
        <w:adjustRightInd w:val="0"/>
        <w:snapToGrid w:val="0"/>
        <w:spacing w:line="420" w:lineRule="exact"/>
        <w:ind w:firstLine="0"/>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49.7  </w:t>
      </w:r>
      <w:r>
        <w:rPr>
          <w:rFonts w:hint="default" w:ascii="Times New Roman" w:hAnsi="Times New Roman" w:cs="Times New Roman"/>
          <w:b/>
          <w:bCs/>
          <w:color w:val="auto"/>
          <w:sz w:val="22"/>
          <w:szCs w:val="22"/>
          <w:highlight w:val="none"/>
          <w:u w:val="dotted"/>
        </w:rPr>
        <w:t xml:space="preserve">                                                                                                       </w:t>
      </w:r>
    </w:p>
    <w:p w14:paraId="2B3B4807">
      <w:pPr>
        <w:pStyle w:val="7"/>
        <w:tabs>
          <w:tab w:val="left" w:pos="1800"/>
        </w:tabs>
        <w:adjustRightInd w:val="0"/>
        <w:snapToGrid w:val="0"/>
        <w:spacing w:before="120" w:beforeLines="50" w:line="420" w:lineRule="exact"/>
        <w:ind w:left="1619" w:leftChars="771"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63040" behindDoc="0" locked="0" layoutInCell="1" allowOverlap="1">
                <wp:simplePos x="0" y="0"/>
                <wp:positionH relativeFrom="column">
                  <wp:posOffset>-114300</wp:posOffset>
                </wp:positionH>
                <wp:positionV relativeFrom="paragraph">
                  <wp:posOffset>30480</wp:posOffset>
                </wp:positionV>
                <wp:extent cx="914400" cy="819150"/>
                <wp:effectExtent l="0" t="0" r="0" b="0"/>
                <wp:wrapNone/>
                <wp:docPr id="205" name="文本框 205"/>
                <wp:cNvGraphicFramePr/>
                <a:graphic xmlns:a="http://schemas.openxmlformats.org/drawingml/2006/main">
                  <a:graphicData uri="http://schemas.microsoft.com/office/word/2010/wordprocessingShape">
                    <wps:wsp>
                      <wps:cNvSpPr txBox="1"/>
                      <wps:spPr>
                        <a:xfrm>
                          <a:off x="0" y="0"/>
                          <a:ext cx="914400" cy="819150"/>
                        </a:xfrm>
                        <a:prstGeom prst="rect">
                          <a:avLst/>
                        </a:prstGeom>
                        <a:noFill/>
                        <a:ln>
                          <a:noFill/>
                        </a:ln>
                        <a:effectLst/>
                      </wps:spPr>
                      <wps:txbx>
                        <w:txbxContent>
                          <w:p w14:paraId="410E444B">
                            <w:pPr>
                              <w:spacing w:line="20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采购材料和工程设备使用前的检验</w:t>
                            </w:r>
                          </w:p>
                        </w:txbxContent>
                      </wps:txbx>
                      <wps:bodyPr wrap="square" upright="1"/>
                    </wps:wsp>
                  </a:graphicData>
                </a:graphic>
              </wp:anchor>
            </w:drawing>
          </mc:Choice>
          <mc:Fallback>
            <w:pict>
              <v:shape id="_x0000_s1026" o:spid="_x0000_s1026" o:spt="202" type="#_x0000_t202" style="position:absolute;left:0pt;margin-left:-9pt;margin-top:2.4pt;height:64.5pt;width:72pt;z-index:251863040;mso-width-relative:page;mso-height-relative:page;" filled="f" stroked="f" coordsize="21600,21600" o:gfxdata="UEsDBAoAAAAAAIdO4kAAAAAAAAAAAAAAAAAEAAAAZHJzL1BLAwQUAAAACACHTuJAb/bPc9YAAAAJ&#10;AQAADwAAAGRycy9kb3ducmV2LnhtbE2PzW7CMBCE75V4B2sr9QZ2gKIQ4nCg6rVV+anUm4mXJGq8&#10;jmJD0rfvcmpvO5rR7Hz5dnStuGEfGk8akpkCgVR621Cl4Xh4naYgQjRkTesJNfxggG0xechNZv1A&#10;H3jbx0pwCYXMaKhj7DIpQ1mjM2HmOyT2Lr53JrLsK2l7M3C5a+VcqZV0piH+UJsOdzWW3/ur03B6&#10;u3x9LtV79eKeu8GPSpJbS62fHhO1ARFxjH9huM/n6VDwprO/kg2i1TBNUmaJGpZMcPfnK9ZnPhaL&#10;FGSRy/8ExS9QSwMEFAAAAAgAh07iQJnVx6i+AQAAbQMAAA4AAABkcnMvZTJvRG9jLnhtbK1TS27b&#10;MBDdF+gdCO5rSUZSJILlAIGRboq2QNoD0NTQIiB+wqEt+QLtDbrqpvuey+fokFLcNN1k0Q01nM/j&#10;vDej1c1oenaAgNrZhleLkjOw0rXa7hr+5fPdmyvOMArbit5ZaPgRkN+sX79aDb6Gpetc30JgBGKx&#10;HnzDuxh9XRQoOzACF86DpaBywYhI17Ar2iAGQjd9sSzLt8XgQuuDk4BI3s0U5DNieAmgU0pL2Di5&#10;N2DjhBqgF5EoYac98nXuVimQ8aNSCJH1DSemMZ/0CNnbdBbrlah3QfhOy7kF8ZIWnnEyQlt69Ay1&#10;EVGwfdD/QBktg0On4kI6U0xEsiLEoiqfaXPfCQ+ZC0mN/iw6/j9Y+eHwKTDdNnxZXnJmhaGRn75/&#10;O/34dfr5lSUnSTR4rCnz3lNuHG/dSIvz6EdyJuajCiZ9iROjOAl8PAsMY2SSnNfVxUVJEUmhq+q6&#10;uswDKP4U+4DxHTjDktHwQPPLsorDe4zUCKU+pqS3rLvTfZ9n2Nu/HJQ4eSAvwVydeEz9JiuO23Em&#10;t3XtkbgNtAgNx4e9CMDZ3ge966iNzLVIJTSF3MS8MWnMT+9kP/1L1r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b/bPc9YAAAAJAQAADwAAAAAAAAABACAAAAAiAAAAZHJzL2Rvd25yZXYueG1sUEsB&#10;AhQAFAAAAAgAh07iQJnVx6i+AQAAbQMAAA4AAAAAAAAAAQAgAAAAJQEAAGRycy9lMm9Eb2MueG1s&#10;UEsFBgAAAAAGAAYAWQEAAFUFAAAAAA==&#10;">
                <v:fill on="f" focussize="0,0"/>
                <v:stroke on="f"/>
                <v:imagedata o:title=""/>
                <o:lock v:ext="edit" aspectratio="f"/>
                <v:textbox>
                  <w:txbxContent>
                    <w:p w14:paraId="410E444B">
                      <w:pPr>
                        <w:spacing w:line="20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采购材料和工程设备使用前的检验</w:t>
                      </w:r>
                    </w:p>
                  </w:txbxContent>
                </v:textbox>
              </v:shape>
            </w:pict>
          </mc:Fallback>
        </mc:AlternateContent>
      </w:r>
      <w:r>
        <w:rPr>
          <w:rFonts w:hint="default" w:ascii="Times New Roman" w:hAnsi="Times New Roman" w:cs="Times New Roman"/>
          <w:color w:val="auto"/>
          <w:sz w:val="22"/>
          <w:szCs w:val="22"/>
          <w:highlight w:val="none"/>
        </w:rPr>
        <w:t>承包人采购的材料和工程设备在使用前，应会同监理工程师进行检验试验，查验材料合格证明和产品合格证书。合同双方当事人应做好检验书面记录，并要求指定人选及时办理签认手续。不合格的，禁止在合同工程中使用。</w:t>
      </w:r>
    </w:p>
    <w:p w14:paraId="04875718">
      <w:pPr>
        <w:pStyle w:val="7"/>
        <w:adjustRightInd w:val="0"/>
        <w:snapToGrid w:val="0"/>
        <w:spacing w:line="420" w:lineRule="exact"/>
        <w:ind w:firstLine="0"/>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64064" behindDoc="0" locked="0" layoutInCell="1" allowOverlap="1">
                <wp:simplePos x="0" y="0"/>
                <wp:positionH relativeFrom="column">
                  <wp:posOffset>-114300</wp:posOffset>
                </wp:positionH>
                <wp:positionV relativeFrom="paragraph">
                  <wp:posOffset>207010</wp:posOffset>
                </wp:positionV>
                <wp:extent cx="914400" cy="711835"/>
                <wp:effectExtent l="0" t="0" r="0" b="0"/>
                <wp:wrapNone/>
                <wp:docPr id="206" name="文本框 206"/>
                <wp:cNvGraphicFramePr/>
                <a:graphic xmlns:a="http://schemas.openxmlformats.org/drawingml/2006/main">
                  <a:graphicData uri="http://schemas.microsoft.com/office/word/2010/wordprocessingShape">
                    <wps:wsp>
                      <wps:cNvSpPr txBox="1"/>
                      <wps:spPr>
                        <a:xfrm>
                          <a:off x="0" y="0"/>
                          <a:ext cx="914400" cy="711835"/>
                        </a:xfrm>
                        <a:prstGeom prst="rect">
                          <a:avLst/>
                        </a:prstGeom>
                        <a:noFill/>
                        <a:ln>
                          <a:noFill/>
                        </a:ln>
                        <a:effectLst/>
                      </wps:spPr>
                      <wps:txbx>
                        <w:txbxContent>
                          <w:p w14:paraId="632818EA">
                            <w:pPr>
                              <w:spacing w:line="20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禁止指定采购材料和工程设备</w:t>
                            </w:r>
                          </w:p>
                        </w:txbxContent>
                      </wps:txbx>
                      <wps:bodyPr wrap="square" upright="1"/>
                    </wps:wsp>
                  </a:graphicData>
                </a:graphic>
              </wp:anchor>
            </w:drawing>
          </mc:Choice>
          <mc:Fallback>
            <w:pict>
              <v:shape id="_x0000_s1026" o:spid="_x0000_s1026" o:spt="202" type="#_x0000_t202" style="position:absolute;left:0pt;margin-left:-9pt;margin-top:16.3pt;height:56.05pt;width:72pt;z-index:251864064;mso-width-relative:page;mso-height-relative:page;" filled="f" stroked="f" coordsize="21600,21600" o:gfxdata="UEsDBAoAAAAAAIdO4kAAAAAAAAAAAAAAAAAEAAAAZHJzL1BLAwQUAAAACACHTuJArlD+ttcAAAAK&#10;AQAADwAAAGRycy9kb3ducmV2LnhtbE2PQU/DMAyF70j8h8hI3LakpZRRmu4A4gpiwKTdssZrKxqn&#10;arK1/Hu8E7vZfk/P3yvXs+vFCcfQedKQLBUIpNrbjhoNX5+vixWIEA1Z03tCDb8YYF1dX5WmsH6i&#10;DzxtYiM4hEJhNLQxDoWUoW7RmbD0AxJrBz86E3kdG2lHM3G462WqVC6d6Yg/tGbA5xbrn83Rafh+&#10;O+y2mXpvXtz9MPlZSXKPUuvbm0Q9gYg4x38znPEZHSpm2vsj2SB6DYtkxV2ihrs0B3E2pDkf9jxk&#10;2QPIqpSXFao/UEsDBBQAAAAIAIdO4kCKUY8KvQEAAG0DAAAOAAAAZHJzL2Uyb0RvYy54bWytU82O&#10;0zAQviPxDpbv1ElZliVquhKqlgsCpIUHcJ1xYyn+weM26QvAG3Diwp3n6nPsOMmWZbnsgYsznp/P&#10;830zWV0PtmMHiGi8q3m5KDgDp3xj3K7mXz7fvLjiDJN0jey8g5ofAfn1+vmzVR8qWPrWdw1ERiAO&#10;qz7UvE0pVEKgasFKXPgAjoLaRysTXeNONFH2hG47sSyKS9H72IToFSCSdzMF+YwYnwLotTYKNl7t&#10;Lbg0oUboZCJK2JqAfD12qzWo9FFrhMS6mhPTNJ70CNnbfIr1Sla7KENr1NyCfEoLjzhZaRw9eoba&#10;yCTZPpp/oKxR0aPXaaG8FRORURFiURaPtLltZYCRC0mN4Sw6/j9Y9eHwKTLT1HxZXHLmpKWRn358&#10;P/38ffr1jWUnSdQHrCjzNlBuGt76gRbn3o/kzMwHHW3+EidGcRL4eBYYhsQUOd+UFxcFRRSFXpfl&#10;1ctXGUX8KQ4R0zvwlmWj5pHmN8oqD+8xTan3Kfkt529M140z7NxfDsKcPDAuwVydeUz9ZisN22Em&#10;t/XNkbj1tAg1x697GYGzfYhm11IbI1eRS2gKY7/zxuQxP7yT/fAvWd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rlD+ttcAAAAKAQAADwAAAAAAAAABACAAAAAiAAAAZHJzL2Rvd25yZXYueG1sUEsB&#10;AhQAFAAAAAgAh07iQIpRjwq9AQAAbQMAAA4AAAAAAAAAAQAgAAAAJgEAAGRycy9lMm9Eb2MueG1s&#10;UEsFBgAAAAAGAAYAWQEAAFUFAAAAAA==&#10;">
                <v:fill on="f" focussize="0,0"/>
                <v:stroke on="f"/>
                <v:imagedata o:title=""/>
                <o:lock v:ext="edit" aspectratio="f"/>
                <v:textbox>
                  <w:txbxContent>
                    <w:p w14:paraId="632818EA">
                      <w:pPr>
                        <w:spacing w:line="20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禁止指定采购材料和工程设备</w:t>
                      </w:r>
                    </w:p>
                  </w:txbxContent>
                </v:textbox>
              </v:shape>
            </w:pict>
          </mc:Fallback>
        </mc:AlternateContent>
      </w:r>
      <w:r>
        <w:rPr>
          <w:rFonts w:hint="default" w:ascii="Times New Roman" w:hAnsi="Times New Roman" w:cs="Times New Roman"/>
          <w:b/>
          <w:bCs/>
          <w:color w:val="auto"/>
          <w:sz w:val="22"/>
          <w:szCs w:val="22"/>
          <w:highlight w:val="none"/>
        </w:rPr>
        <w:t xml:space="preserve">49.8  </w:t>
      </w:r>
      <w:r>
        <w:rPr>
          <w:rFonts w:hint="default" w:ascii="Times New Roman" w:hAnsi="Times New Roman" w:cs="Times New Roman"/>
          <w:b/>
          <w:bCs/>
          <w:color w:val="auto"/>
          <w:sz w:val="22"/>
          <w:szCs w:val="22"/>
          <w:highlight w:val="none"/>
          <w:u w:val="dotted"/>
        </w:rPr>
        <w:t xml:space="preserve">                                                                                                        </w:t>
      </w:r>
    </w:p>
    <w:p w14:paraId="6CC5E37E">
      <w:pPr>
        <w:pStyle w:val="7"/>
        <w:adjustRightInd w:val="0"/>
        <w:snapToGrid w:val="0"/>
        <w:spacing w:line="420" w:lineRule="exact"/>
        <w:ind w:left="1619" w:leftChars="771"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承包人采购材料和工程设备的，除专用条款另有约定外，发包人不得指定生产厂家或供应商。</w:t>
      </w:r>
    </w:p>
    <w:p w14:paraId="53D3DA64">
      <w:pPr>
        <w:pStyle w:val="7"/>
        <w:adjustRightInd w:val="0"/>
        <w:snapToGrid w:val="0"/>
        <w:spacing w:line="420" w:lineRule="exact"/>
        <w:ind w:firstLine="0"/>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5CB8F6EB">
      <w:pPr>
        <w:pStyle w:val="15"/>
        <w:tabs>
          <w:tab w:val="left" w:pos="540"/>
        </w:tabs>
        <w:adjustRightInd w:val="0"/>
        <w:snapToGrid w:val="0"/>
        <w:spacing w:before="240" w:beforeLines="100" w:line="420" w:lineRule="exact"/>
        <w:outlineLvl w:val="2"/>
        <w:rPr>
          <w:rFonts w:hint="default" w:ascii="Times New Roman" w:hAnsi="Times New Roman" w:cs="Times New Roman"/>
          <w:b/>
          <w:bCs/>
          <w:color w:val="auto"/>
          <w:sz w:val="22"/>
          <w:szCs w:val="22"/>
          <w:highlight w:val="none"/>
        </w:rPr>
      </w:pPr>
      <w:bookmarkStart w:id="197" w:name="_Toc5689"/>
      <w:bookmarkStart w:id="198" w:name="_Toc469384033"/>
      <w:r>
        <w:rPr>
          <w:rFonts w:hint="default" w:ascii="Times New Roman" w:hAnsi="Times New Roman" w:cs="Times New Roman"/>
          <w:b/>
          <w:bCs/>
          <w:color w:val="auto"/>
          <w:sz w:val="22"/>
          <w:szCs w:val="22"/>
          <w:highlight w:val="none"/>
        </w:rPr>
        <w:t>50  材料和工程设备的检验试验</w:t>
      </w:r>
      <w:bookmarkEnd w:id="197"/>
      <w:bookmarkEnd w:id="198"/>
    </w:p>
    <w:p w14:paraId="74DC86B2">
      <w:pPr>
        <w:pStyle w:val="7"/>
        <w:adjustRightInd w:val="0"/>
        <w:snapToGrid w:val="0"/>
        <w:spacing w:line="420" w:lineRule="exact"/>
        <w:ind w:firstLine="0"/>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50.1</w:t>
      </w:r>
    </w:p>
    <w:p w14:paraId="726B4878">
      <w:pPr>
        <w:pStyle w:val="7"/>
        <w:adjustRightInd w:val="0"/>
        <w:snapToGrid w:val="0"/>
        <w:spacing w:line="420" w:lineRule="exact"/>
        <w:ind w:left="1619" w:leftChars="771"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65088" behindDoc="0" locked="0" layoutInCell="1" allowOverlap="1">
                <wp:simplePos x="0" y="0"/>
                <wp:positionH relativeFrom="column">
                  <wp:posOffset>-114300</wp:posOffset>
                </wp:positionH>
                <wp:positionV relativeFrom="paragraph">
                  <wp:posOffset>635</wp:posOffset>
                </wp:positionV>
                <wp:extent cx="914400" cy="506095"/>
                <wp:effectExtent l="0" t="0" r="0" b="0"/>
                <wp:wrapNone/>
                <wp:docPr id="207" name="文本框 207"/>
                <wp:cNvGraphicFramePr/>
                <a:graphic xmlns:a="http://schemas.openxmlformats.org/drawingml/2006/main">
                  <a:graphicData uri="http://schemas.microsoft.com/office/word/2010/wordprocessingShape">
                    <wps:wsp>
                      <wps:cNvSpPr txBox="1"/>
                      <wps:spPr>
                        <a:xfrm>
                          <a:off x="0" y="0"/>
                          <a:ext cx="914400" cy="506095"/>
                        </a:xfrm>
                        <a:prstGeom prst="rect">
                          <a:avLst/>
                        </a:prstGeom>
                        <a:noFill/>
                        <a:ln>
                          <a:noFill/>
                        </a:ln>
                        <a:effectLst/>
                      </wps:spPr>
                      <wps:txbx>
                        <w:txbxContent>
                          <w:p w14:paraId="64114F88">
                            <w:pPr>
                              <w:spacing w:line="20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进入现场检验试验</w:t>
                            </w:r>
                          </w:p>
                        </w:txbxContent>
                      </wps:txbx>
                      <wps:bodyPr wrap="square" upright="1"/>
                    </wps:wsp>
                  </a:graphicData>
                </a:graphic>
              </wp:anchor>
            </w:drawing>
          </mc:Choice>
          <mc:Fallback>
            <w:pict>
              <v:shape id="_x0000_s1026" o:spid="_x0000_s1026" o:spt="202" type="#_x0000_t202" style="position:absolute;left:0pt;margin-left:-9pt;margin-top:0.05pt;height:39.85pt;width:72pt;z-index:251865088;mso-width-relative:page;mso-height-relative:page;" filled="f" stroked="f" coordsize="21600,21600" o:gfxdata="UEsDBAoAAAAAAIdO4kAAAAAAAAAAAAAAAAAEAAAAZHJzL1BLAwQUAAAACACHTuJAxkk+t9QAAAAH&#10;AQAADwAAAGRycy9kb3ducmV2LnhtbE2Py27CMBBF90j9B2sqdQd2UEtDmgkLULdFpQ+pOxMPSdR4&#10;HMWGhL+vsyrLqzO690y+GW0rLtT7xjFCslAgiEtnGq4QPj9e5ykIHzQb3TomhCt52BR3s1xnxg38&#10;TpdDqEQsYZ9phDqELpPSlzVZ7ReuI47s5HqrQ4x9JU2vh1huW7lUaiWtbjgu1LqjbU3l7+FsEb7e&#10;Tj/fj2pf7exTN7hRSbZrifhwn6gXEIHG8H8Mk35UhyI6Hd2ZjRctwjxJ4y9hAmLCy1WMR4TndQqy&#10;yOWtf/EHUEsDBBQAAAAIAIdO4kAwVo1OvAEAAG0DAAAOAAAAZHJzL2Uyb0RvYy54bWytU0tu2zAQ&#10;3RfoHQjua8lGkjaC5QCFkWyCtkCaA9DUyCLAXzm0JV+gvUFX3XTfc/kcHVKK8+kmi26o4Xwe570Z&#10;La8Go9keAipnaz6flZyBla5Rdlvz+6/X7z5whlHYRmhnoeYHQH61evtm2fsKFq5zuoHACMRi1fua&#10;dzH6qihQdmAEzpwHS8HWBSMiXcO2aILoCd3oYlGWF0XvQuODk4BI3vUY5BNieA2ga1slYe3kzoCN&#10;I2oALSJRwk555KvcbduCjJ/bFiEyXXNiGvNJj5C9SWexWopqG4TvlJxaEK9p4QUnI5SlR09QaxEF&#10;2wX1D5RRMjh0bZxJZ4qRSFaEWMzLF9rcdcJD5kJSoz+Jjv8PVn7afwlMNTVflO85s8LQyI8/fxx/&#10;/Tn+/s6SkyTqPVaUeecpNw4f3UCL8+BHcibmQxtM+hInRnES+HASGIbIJDkv52dnJUUkhc7Li/Ly&#10;PKEUj8U+YLwBZ1gyah5ofllWsb/FOKY+pKS3rLtWWucZavvMQZijB/ISTNWJx9hvsuKwGSZyG9cc&#10;iFtPi1Bz/LYTATjb+aC2HbWRuRaphKaQ+502Jo356Z3sp3/J6i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GST631AAAAAcBAAAPAAAAAAAAAAEAIAAAACIAAABkcnMvZG93bnJldi54bWxQSwECFAAU&#10;AAAACACHTuJAMFaNTrwBAABtAwAADgAAAAAAAAABACAAAAAjAQAAZHJzL2Uyb0RvYy54bWxQSwUG&#10;AAAAAAYABgBZAQAAUQUAAAAA&#10;">
                <v:fill on="f" focussize="0,0"/>
                <v:stroke on="f"/>
                <v:imagedata o:title=""/>
                <o:lock v:ext="edit" aspectratio="f"/>
                <v:textbox>
                  <w:txbxContent>
                    <w:p w14:paraId="64114F88">
                      <w:pPr>
                        <w:spacing w:line="20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进入现场检验试验</w:t>
                      </w:r>
                    </w:p>
                  </w:txbxContent>
                </v:textbox>
              </v:shape>
            </w:pict>
          </mc:Fallback>
        </mc:AlternateContent>
      </w:r>
      <w:r>
        <w:rPr>
          <w:rFonts w:hint="default" w:ascii="Times New Roman" w:hAnsi="Times New Roman" w:cs="Times New Roman"/>
          <w:color w:val="auto"/>
          <w:sz w:val="22"/>
          <w:szCs w:val="22"/>
          <w:highlight w:val="none"/>
        </w:rPr>
        <w:t>监理工程师及其委派的代表可进入施工场地、材料和工程设备的制造、加工或制配车间等场所参加材料和工程设备等产品的检验试验。承包人应为他们进入上述场所及开展相关工作提供便利和协助。</w:t>
      </w:r>
    </w:p>
    <w:p w14:paraId="5159269A">
      <w:pPr>
        <w:pStyle w:val="7"/>
        <w:tabs>
          <w:tab w:val="left" w:pos="360"/>
          <w:tab w:val="left" w:pos="720"/>
        </w:tabs>
        <w:adjustRightInd w:val="0"/>
        <w:snapToGrid w:val="0"/>
        <w:spacing w:line="420" w:lineRule="exact"/>
        <w:ind w:firstLine="0"/>
        <w:rPr>
          <w:rFonts w:hint="default" w:ascii="Times New Roman" w:hAnsi="Times New Roman" w:cs="Times New Roman"/>
          <w:b/>
          <w:bCs/>
          <w:color w:val="auto"/>
          <w:sz w:val="22"/>
          <w:szCs w:val="22"/>
          <w:highlight w:val="none"/>
          <w:u w:val="dotted"/>
        </w:rPr>
      </w:pPr>
      <w:r>
        <w:rPr>
          <w:rFonts w:hint="default" w:ascii="Times New Roman" w:hAnsi="Times New Roman" w:cs="Times New Roman"/>
          <w:b/>
          <w:bCs/>
          <w:color w:val="auto"/>
          <w:sz w:val="22"/>
          <w:szCs w:val="22"/>
          <w:highlight w:val="none"/>
        </w:rPr>
        <w:t xml:space="preserve">50.2  </w:t>
      </w:r>
      <w:r>
        <w:rPr>
          <w:rFonts w:hint="default" w:ascii="Times New Roman" w:hAnsi="Times New Roman" w:cs="Times New Roman"/>
          <w:b/>
          <w:bCs/>
          <w:color w:val="auto"/>
          <w:sz w:val="22"/>
          <w:szCs w:val="22"/>
          <w:highlight w:val="none"/>
          <w:u w:val="dotted"/>
        </w:rPr>
        <w:t xml:space="preserve">                                                                              </w:t>
      </w:r>
    </w:p>
    <w:p w14:paraId="5A564B03">
      <w:pPr>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66112" behindDoc="0" locked="0" layoutInCell="1" allowOverlap="1">
                <wp:simplePos x="0" y="0"/>
                <wp:positionH relativeFrom="column">
                  <wp:posOffset>-114300</wp:posOffset>
                </wp:positionH>
                <wp:positionV relativeFrom="paragraph">
                  <wp:posOffset>154305</wp:posOffset>
                </wp:positionV>
                <wp:extent cx="914400" cy="572770"/>
                <wp:effectExtent l="0" t="0" r="0" b="0"/>
                <wp:wrapNone/>
                <wp:docPr id="208" name="文本框 208"/>
                <wp:cNvGraphicFramePr/>
                <a:graphic xmlns:a="http://schemas.openxmlformats.org/drawingml/2006/main">
                  <a:graphicData uri="http://schemas.microsoft.com/office/word/2010/wordprocessingShape">
                    <wps:wsp>
                      <wps:cNvSpPr txBox="1"/>
                      <wps:spPr>
                        <a:xfrm>
                          <a:off x="0" y="0"/>
                          <a:ext cx="914400" cy="572770"/>
                        </a:xfrm>
                        <a:prstGeom prst="rect">
                          <a:avLst/>
                        </a:prstGeom>
                        <a:noFill/>
                        <a:ln>
                          <a:noFill/>
                        </a:ln>
                        <a:effectLst/>
                      </wps:spPr>
                      <wps:txbx>
                        <w:txbxContent>
                          <w:p w14:paraId="7D4AD1EC">
                            <w:pPr>
                              <w:spacing w:line="20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材料和工程设备的见证取样与不见证取样检验试验</w:t>
                            </w:r>
                          </w:p>
                        </w:txbxContent>
                      </wps:txbx>
                      <wps:bodyPr wrap="square" upright="1"/>
                    </wps:wsp>
                  </a:graphicData>
                </a:graphic>
              </wp:anchor>
            </w:drawing>
          </mc:Choice>
          <mc:Fallback>
            <w:pict>
              <v:shape id="_x0000_s1026" o:spid="_x0000_s1026" o:spt="202" type="#_x0000_t202" style="position:absolute;left:0pt;margin-left:-9pt;margin-top:12.15pt;height:45.1pt;width:72pt;z-index:251866112;mso-width-relative:page;mso-height-relative:page;" filled="f" stroked="f" coordsize="21600,21600" o:gfxdata="UEsDBAoAAAAAAIdO4kAAAAAAAAAAAAAAAAAEAAAAZHJzL1BLAwQUAAAACACHTuJAvZuTdNgAAAAK&#10;AQAADwAAAGRycy9kb3ducmV2LnhtbE2PzU7DMBCE70h9B2uRuLV2QlqVEKeHIq4g+oPEzY23SUS8&#10;jmK3CW/P9gS33Z3R7DfFZnKduOIQWk8akoUCgVR521Kt4bB/na9BhGjIms4TavjBAJtydleY3PqR&#10;PvC6i7XgEAq50dDE2OdShqpBZ8LC90isnf3gTOR1qKUdzMjhrpOpUivpTEv8oTE9bhusvncXp+H4&#10;dv76zNR7/eKW/egnJck9Sa0f7hP1DCLiFP/McMNndCiZ6eQvZIPoNMyTNXeJGtLsEcTNkK74cOIh&#10;yZYgy0L+r1D+AlBLAwQUAAAACACHTuJA0BhteL4BAABtAwAADgAAAGRycy9lMm9Eb2MueG1srVNL&#10;btswEN0XyB0I7mvKRhq3guUAhZFsirRAmgPQ1MgiIH7KoS35Au0Nuuqm+57L5+iQUtw03WTRDTWc&#10;z+O8N6PV9WA6doCA2tmKz2cFZ2CVq7XdVfzh883rt5xhlLaWnbNQ8SMgv15fvFr1voSFa11XQ2AE&#10;YrHsfcXbGH0pBKoWjMSZ82Ap2LhgZKRr2Ik6yJ7QTScWRXElehdqH5wCRPJuxiCfEMNLAF3TaAUb&#10;p/YGbBxRA3QyEiVstUe+zt02Daj4sWkQIusqTkxjPukRsrfpFOuVLHdB+larqQX5khaecTJSW3r0&#10;DLWRUbJ90P9AGa2CQ9fEmXJGjESyIsRiXjzT5r6VHjIXkhr9WXT8f7Dq7vApMF1XfFHQ4K00NPLT&#10;92+nH79OP7+y5CSJeo8lZd57yo3DezfQ4jz6kZyJ+dAEk77EiVGcBD6eBYYhMkXOd/PLy4IiikJv&#10;lovlMg9A/Cn2AeMtOMOSUfFA88uyysMHjNQIpT6mpLesu9Fdl2fY2b8clDh6IC/BVJ14jP0mKw7b&#10;YSK3dfWRuPW0CBXHL3sZgLO9D3rXUhuZq0glNIXcxLQxacxP72Q//Uv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C9m5N02AAAAAoBAAAPAAAAAAAAAAEAIAAAACIAAABkcnMvZG93bnJldi54bWxQ&#10;SwECFAAUAAAACACHTuJA0BhteL4BAABtAwAADgAAAAAAAAABACAAAAAnAQAAZHJzL2Uyb0RvYy54&#10;bWxQSwUGAAAAAAYABgBZAQAAVwUAAAAA&#10;">
                <v:fill on="f" focussize="0,0"/>
                <v:stroke on="f"/>
                <v:imagedata o:title=""/>
                <o:lock v:ext="edit" aspectratio="f"/>
                <v:textbox>
                  <w:txbxContent>
                    <w:p w14:paraId="7D4AD1EC">
                      <w:pPr>
                        <w:spacing w:line="20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材料和工程设备的见证取样与不见证取样检验试验</w:t>
                      </w:r>
                    </w:p>
                  </w:txbxContent>
                </v:textbox>
              </v:shape>
            </w:pict>
          </mc:Fallback>
        </mc:AlternateContent>
      </w:r>
    </w:p>
    <w:p w14:paraId="15F46F11">
      <w:pPr>
        <w:pStyle w:val="7"/>
        <w:adjustRightInd w:val="0"/>
        <w:snapToGrid w:val="0"/>
        <w:spacing w:line="420" w:lineRule="exact"/>
        <w:ind w:left="1619" w:leftChars="771"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材料和工程设备等产品的检验试验，包括见证取样和不见证取样两种情形：</w:t>
      </w:r>
    </w:p>
    <w:p w14:paraId="19C062BA">
      <w:pPr>
        <w:pStyle w:val="7"/>
        <w:adjustRightInd w:val="0"/>
        <w:snapToGrid w:val="0"/>
        <w:spacing w:line="420" w:lineRule="exact"/>
        <w:ind w:left="1619" w:leftChars="771"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(1)标准与规范、涉及结构安全有要求或合同有约定进行见证取样检验试验的材料和工程设备等产品，承包人应在取样前至少提前24小时通知监理工程师参加，并在监理工程师的见证下现场取样，同时送至具有相应资质等级的质量检测机构进行检验试验。</w:t>
      </w:r>
    </w:p>
    <w:p w14:paraId="3E8A191B">
      <w:pPr>
        <w:pStyle w:val="7"/>
        <w:adjustRightInd w:val="0"/>
        <w:snapToGrid w:val="0"/>
        <w:spacing w:line="420" w:lineRule="exact"/>
        <w:ind w:left="1619" w:leftChars="771"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(2)标准与规范没要求或合同没约定进行见证取样检验试验的材料和工程设备等产品，承包人和监理工程师应按照合同约定进行材料和工程设备等产品的检验试验。承包人和监理工程师应事先协商确定检验试验的时间和地点，并按时到场参加检验试验。如果监理工程师或其委派的代表不能按时到场参加的，监理工程师应至少提前24小时发出延期检验试验指令并书面说明理由，延期不得超过48小时。如果监理工程师或其委派的代表未发出延期指令也未能按时到场检验试验，承包人可自行检验试验，并认为该检验试验是经监理工程师同意下完成的；检验试验完成后，承包人应立即向监理工程师提交检验试验结果的有效证据，监理工程师应予认可。</w:t>
      </w:r>
    </w:p>
    <w:p w14:paraId="43E9414A">
      <w:pPr>
        <w:pStyle w:val="7"/>
        <w:adjustRightInd w:val="0"/>
        <w:snapToGrid w:val="0"/>
        <w:spacing w:line="420" w:lineRule="exact"/>
        <w:ind w:left="1484" w:leftChars="1" w:hanging="1482" w:hangingChars="671"/>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 xml:space="preserve">50.3 </w:t>
      </w:r>
      <w:r>
        <w:rPr>
          <w:rFonts w:hint="default" w:ascii="Times New Roman" w:hAnsi="Times New Roman" w:cs="Times New Roman"/>
          <w:b/>
          <w:bCs/>
          <w:color w:val="auto"/>
          <w:sz w:val="22"/>
          <w:szCs w:val="22"/>
          <w:highlight w:val="none"/>
          <w:u w:val="dotted"/>
        </w:rPr>
        <w:t xml:space="preserve">                                                                               </w:t>
      </w:r>
    </w:p>
    <w:p w14:paraId="08CC8BE8">
      <w:pPr>
        <w:pStyle w:val="7"/>
        <w:adjustRightInd w:val="0"/>
        <w:snapToGrid w:val="0"/>
        <w:spacing w:line="420" w:lineRule="exact"/>
        <w:ind w:left="1575" w:leftChars="750"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67136" behindDoc="0" locked="0" layoutInCell="1" allowOverlap="1">
                <wp:simplePos x="0" y="0"/>
                <wp:positionH relativeFrom="column">
                  <wp:posOffset>-66675</wp:posOffset>
                </wp:positionH>
                <wp:positionV relativeFrom="paragraph">
                  <wp:posOffset>11430</wp:posOffset>
                </wp:positionV>
                <wp:extent cx="914400" cy="557530"/>
                <wp:effectExtent l="0" t="0" r="0" b="0"/>
                <wp:wrapNone/>
                <wp:docPr id="209" name="文本框 209"/>
                <wp:cNvGraphicFramePr/>
                <a:graphic xmlns:a="http://schemas.openxmlformats.org/drawingml/2006/main">
                  <a:graphicData uri="http://schemas.microsoft.com/office/word/2010/wordprocessingShape">
                    <wps:wsp>
                      <wps:cNvSpPr txBox="1"/>
                      <wps:spPr>
                        <a:xfrm>
                          <a:off x="0" y="0"/>
                          <a:ext cx="914400" cy="557530"/>
                        </a:xfrm>
                        <a:prstGeom prst="rect">
                          <a:avLst/>
                        </a:prstGeom>
                        <a:noFill/>
                        <a:ln>
                          <a:noFill/>
                        </a:ln>
                        <a:effectLst/>
                      </wps:spPr>
                      <wps:txbx>
                        <w:txbxContent>
                          <w:p w14:paraId="74F2B4F5">
                            <w:pPr>
                              <w:spacing w:line="20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材料和工程设备的使用</w:t>
                            </w:r>
                          </w:p>
                        </w:txbxContent>
                      </wps:txbx>
                      <wps:bodyPr wrap="square" upright="1"/>
                    </wps:wsp>
                  </a:graphicData>
                </a:graphic>
              </wp:anchor>
            </w:drawing>
          </mc:Choice>
          <mc:Fallback>
            <w:pict>
              <v:shape id="_x0000_s1026" o:spid="_x0000_s1026" o:spt="202" type="#_x0000_t202" style="position:absolute;left:0pt;margin-left:-5.25pt;margin-top:0.9pt;height:43.9pt;width:72pt;z-index:251867136;mso-width-relative:page;mso-height-relative:page;" filled="f" stroked="f" coordsize="21600,21600" o:gfxdata="UEsDBAoAAAAAAIdO4kAAAAAAAAAAAAAAAAAEAAAAZHJzL1BLAwQUAAAACACHTuJA3h+lsNQAAAAI&#10;AQAADwAAAGRycy9kb3ducmV2LnhtbE2PzU7DMBCE70i8g7VI3Np1KK3aEKcHEFcQLSBxc+NtEhGv&#10;o9htwtuzPcFx9I3mp9hOvlNnGmIb2EA216CIq+Barg28759na1AxWXa2C0wGfijCtry+Kmzuwshv&#10;dN6lWkkIx9waaFLqc8RYNeRtnIeeWNgxDN4mkUONbrCjhPsO77ReobctS0Nje3psqPrenbyBj5fj&#10;1+e9fq2f/LIfw6SR/QaNub3J9AOoRFP6M8NlvkyHUjYdwoldVJ2BWaaXYhUgDy58sRB9MLDerADL&#10;Av8fKH8BUEsDBBQAAAAIAIdO4kBaDNBQvgEAAG0DAAAOAAAAZHJzL2Uyb0RvYy54bWytU82O0zAQ&#10;viPxDpbvNGnZAhs1XQlVywUB0sIDuM64sRT/4HGb9AXgDThx4c5z9Tl27GTL/lz2wMUZz8/n+b6Z&#10;rK4G07EDBNTO1nw+KzkDK12j7a7m375ev3rHGUZhG9E5CzU/AvKr9csXq95XsHCt6xoIjEAsVr2v&#10;eRujr4oCZQtG4Mx5sBRULhgR6Rp2RRNET+imKxZl+aboXWh8cBIQybsZg3xCDM8BdEppCRsn9wZs&#10;HFEDdCISJWy1R77O3SoFMn5WCiGyrubENOaTHiF7m85ivRLVLgjfajm1IJ7TwiNORmhLj56hNiIK&#10;tg/6CZTRMjh0Ks6kM8VIJCtCLOblI21uWuEhcyGp0Z9Fx/8HKz8dvgSmm5ovykvOrDA08tOvn6ff&#10;f09/frDkJIl6jxVl3njKjcN7N9Di3PmRnIn5oIJJX+LEKE4CH88CwxCZJOfl/OKipIik0HL5dvk6&#10;D6D4V+wDxg/gDEtGzQPNL8sqDh8xUiOUepeS3rLuWnddnmFnHzgocfRAXoKpOvEY+01WHLbDRG7r&#10;miNx62kRao7f9yIAZ3sf9K6lNjLXIpXQFHIT08akMd+/k33/L1nf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N4fpbDUAAAACAEAAA8AAAAAAAAAAQAgAAAAIgAAAGRycy9kb3ducmV2LnhtbFBLAQIU&#10;ABQAAAAIAIdO4kBaDNBQvgEAAG0DAAAOAAAAAAAAAAEAIAAAACMBAABkcnMvZTJvRG9jLnhtbFBL&#10;BQYAAAAABgAGAFkBAABTBQAAAAA=&#10;">
                <v:fill on="f" focussize="0,0"/>
                <v:stroke on="f"/>
                <v:imagedata o:title=""/>
                <o:lock v:ext="edit" aspectratio="f"/>
                <v:textbox>
                  <w:txbxContent>
                    <w:p w14:paraId="74F2B4F5">
                      <w:pPr>
                        <w:spacing w:line="20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材料和工程设备的使用</w:t>
                      </w:r>
                    </w:p>
                  </w:txbxContent>
                </v:textbox>
              </v:shape>
            </w:pict>
          </mc:Fallback>
        </mc:AlternateContent>
      </w:r>
      <w:r>
        <w:rPr>
          <w:rFonts w:hint="default" w:ascii="Times New Roman" w:hAnsi="Times New Roman" w:cs="Times New Roman"/>
          <w:color w:val="auto"/>
          <w:sz w:val="22"/>
          <w:szCs w:val="22"/>
          <w:highlight w:val="none"/>
        </w:rPr>
        <w:t>材料和工程设备等产品检验试验合格的，可在合同工程中使用。材料和工程设备等产品检验试验不合格的，禁止在合同工程中使用，并及时清出施工场地。</w:t>
      </w:r>
    </w:p>
    <w:p w14:paraId="74F6D633">
      <w:pPr>
        <w:pStyle w:val="7"/>
        <w:tabs>
          <w:tab w:val="left" w:pos="540"/>
        </w:tabs>
        <w:adjustRightInd w:val="0"/>
        <w:snapToGrid w:val="0"/>
        <w:spacing w:line="420" w:lineRule="exact"/>
        <w:ind w:firstLine="0"/>
        <w:rPr>
          <w:rFonts w:hint="default" w:ascii="Times New Roman" w:hAnsi="Times New Roman" w:cs="Times New Roman"/>
          <w:color w:val="auto"/>
          <w:sz w:val="22"/>
          <w:szCs w:val="22"/>
          <w:highlight w:val="none"/>
          <w:u w:val="dotted"/>
        </w:rPr>
      </w:pPr>
      <w:r>
        <w:rPr>
          <w:rFonts w:hint="default" w:ascii="Times New Roman" w:hAnsi="Times New Roman" w:cs="Times New Roman"/>
          <w:b/>
          <w:bCs/>
          <w:color w:val="auto"/>
          <w:sz w:val="22"/>
          <w:szCs w:val="22"/>
          <w:highlight w:val="none"/>
        </w:rPr>
        <w:t xml:space="preserve">50.4  </w:t>
      </w:r>
      <w:r>
        <w:rPr>
          <w:rFonts w:hint="default" w:ascii="Times New Roman" w:hAnsi="Times New Roman" w:cs="Times New Roman"/>
          <w:b/>
          <w:bCs/>
          <w:color w:val="auto"/>
          <w:sz w:val="22"/>
          <w:szCs w:val="22"/>
          <w:highlight w:val="none"/>
          <w:u w:val="dotted"/>
        </w:rPr>
        <w:t xml:space="preserve">                                                                              </w:t>
      </w:r>
    </w:p>
    <w:p w14:paraId="7DEF6E06">
      <w:pPr>
        <w:pStyle w:val="7"/>
        <w:adjustRightInd w:val="0"/>
        <w:snapToGrid w:val="0"/>
        <w:spacing w:line="420" w:lineRule="exact"/>
        <w:ind w:left="1619" w:leftChars="771"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68160" behindDoc="0" locked="0" layoutInCell="1" allowOverlap="1">
                <wp:simplePos x="0" y="0"/>
                <wp:positionH relativeFrom="column">
                  <wp:posOffset>-114300</wp:posOffset>
                </wp:positionH>
                <wp:positionV relativeFrom="paragraph">
                  <wp:posOffset>15240</wp:posOffset>
                </wp:positionV>
                <wp:extent cx="914400" cy="555625"/>
                <wp:effectExtent l="0" t="0" r="0" b="0"/>
                <wp:wrapNone/>
                <wp:docPr id="210" name="文本框 210"/>
                <wp:cNvGraphicFramePr/>
                <a:graphic xmlns:a="http://schemas.openxmlformats.org/drawingml/2006/main">
                  <a:graphicData uri="http://schemas.microsoft.com/office/word/2010/wordprocessingShape">
                    <wps:wsp>
                      <wps:cNvSpPr txBox="1"/>
                      <wps:spPr>
                        <a:xfrm>
                          <a:off x="0" y="0"/>
                          <a:ext cx="914400" cy="555625"/>
                        </a:xfrm>
                        <a:prstGeom prst="rect">
                          <a:avLst/>
                        </a:prstGeom>
                        <a:noFill/>
                        <a:ln>
                          <a:noFill/>
                        </a:ln>
                        <a:effectLst/>
                      </wps:spPr>
                      <wps:txbx>
                        <w:txbxContent>
                          <w:p w14:paraId="70B492F0">
                            <w:pPr>
                              <w:spacing w:line="20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材料和工程设备的检验试验费用</w:t>
                            </w:r>
                          </w:p>
                        </w:txbxContent>
                      </wps:txbx>
                      <wps:bodyPr wrap="square" upright="1"/>
                    </wps:wsp>
                  </a:graphicData>
                </a:graphic>
              </wp:anchor>
            </w:drawing>
          </mc:Choice>
          <mc:Fallback>
            <w:pict>
              <v:shape id="_x0000_s1026" o:spid="_x0000_s1026" o:spt="202" type="#_x0000_t202" style="position:absolute;left:0pt;margin-left:-9pt;margin-top:1.2pt;height:43.75pt;width:72pt;z-index:251868160;mso-width-relative:page;mso-height-relative:page;" filled="f" stroked="f" coordsize="21600,21600" o:gfxdata="UEsDBAoAAAAAAIdO4kAAAAAAAAAAAAAAAAAEAAAAZHJzL1BLAwQUAAAACACHTuJAhxEegNUAAAAI&#10;AQAADwAAAGRycy9kb3ducmV2LnhtbE2PwU7DMBBE70j8g7VI3Fo7UamSkE0PrbiCKFCpNzfeJhHx&#10;OordJvw97gmOoxnNvCk3s+3FlUbfOUZIlgoEce1Mxw3C58fLIgPhg2aje8eE8EMeNtX9XakL4yZ+&#10;p+s+NCKWsC80QhvCUEjp65as9ks3EEfv7EarQ5RjI82op1hue5kqtZZWdxwXWj3QtqX6e3+xCF+v&#10;5+Nhpd6anX0aJjcryTaXiI8PiXoGEWgOf2G44Ud0qCLTyV3YeNEjLJIsfgkI6QrEzU/XUZ8QsjwH&#10;WZXy/4HqF1BLAwQUAAAACACHTuJAgILllbsBAABtAwAADgAAAGRycy9lMm9Eb2MueG1srVNLbtsw&#10;EN0XyB0I7mvKRhy0guUAhZFsirZA2gPQ1MgiwF85tCVfoL1BV91033P5HB1KivPbZNENNZzP47w3&#10;o9V1bw07QETtXcXns4IzcMrX2u0q/u3rzdt3nGGSrpbGO6j4EZBfry/erLpQwsK33tQQGYE4LLtQ&#10;8TalUAqBqgUrceYDOAo2PlqZ6Bp3oo6yI3RrxKIorkTnYx2iV4BI3s0Y5BNifA2gbxqtYOPV3oJL&#10;I2oEIxNRwlYH5Ouh26YBlT43DUJipuLENA0nPUL2Np9ivZLlLsrQajW1IF/TwjNOVmpHj56hNjJJ&#10;to/6BZTVKnr0TZopb8VIZFCEWMyLZ9rctTLAwIWkxnAWHf8frPp0+BKZriu+mJMmTloa+enXz9Pv&#10;v6c/P1h2kkRdwJIy7wLlpv6D72lx7v1Izsy8b6LNX+LEKE5gx7PA0CemyPl+fnlZUERRaLlcXi2W&#10;GUU8FIeI6Ra8ZdmoeKT5DbLKw0dMY+p9Sn7L+RttzDBD4544CHP0wLAEU3XmMfabrdRv+4nc1tdH&#10;4tbRIlQcv+9lBM72IepdS20MXEUuoSkM/U4bk8f8+E72479k/Q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CHER6A1QAAAAgBAAAPAAAAAAAAAAEAIAAAACIAAABkcnMvZG93bnJldi54bWxQSwECFAAU&#10;AAAACACHTuJAgILllbsBAABtAwAADgAAAAAAAAABACAAAAAkAQAAZHJzL2Uyb0RvYy54bWxQSwUG&#10;AAAAAAYABgBZAQAAUQUAAAAA&#10;">
                <v:fill on="f" focussize="0,0"/>
                <v:stroke on="f"/>
                <v:imagedata o:title=""/>
                <o:lock v:ext="edit" aspectratio="f"/>
                <v:textbox>
                  <w:txbxContent>
                    <w:p w14:paraId="70B492F0">
                      <w:pPr>
                        <w:spacing w:line="20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材料和工程设备的检验试验费用</w:t>
                      </w:r>
                    </w:p>
                  </w:txbxContent>
                </v:textbox>
              </v:shape>
            </w:pict>
          </mc:Fallback>
        </mc:AlternateContent>
      </w:r>
      <w:r>
        <w:rPr>
          <w:rFonts w:hint="default" w:ascii="Times New Roman" w:hAnsi="Times New Roman" w:cs="Times New Roman"/>
          <w:color w:val="auto"/>
          <w:sz w:val="22"/>
          <w:szCs w:val="22"/>
          <w:highlight w:val="none"/>
        </w:rPr>
        <w:t>除合同价款已包括外，材料和工程设备等产品的检验试验费，按照实际发生的费用计算。</w:t>
      </w:r>
    </w:p>
    <w:p w14:paraId="029564C7">
      <w:pPr>
        <w:pStyle w:val="7"/>
        <w:tabs>
          <w:tab w:val="left" w:pos="1620"/>
          <w:tab w:val="left" w:pos="1980"/>
          <w:tab w:val="left" w:pos="2160"/>
        </w:tabs>
        <w:adjustRightInd w:val="0"/>
        <w:snapToGrid w:val="0"/>
        <w:spacing w:line="420" w:lineRule="exact"/>
        <w:ind w:left="1617"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（1）现场使用前材料和工程设备等产品的检验试验，发包人供应的，检验试验费由发包人承担；承包人采购的，检验试验费由承包人承担。</w:t>
      </w:r>
    </w:p>
    <w:p w14:paraId="4D04BB5B">
      <w:pPr>
        <w:pStyle w:val="7"/>
        <w:tabs>
          <w:tab w:val="left" w:pos="1620"/>
          <w:tab w:val="left" w:pos="2160"/>
          <w:tab w:val="left" w:pos="2520"/>
        </w:tabs>
        <w:adjustRightInd w:val="0"/>
        <w:snapToGrid w:val="0"/>
        <w:spacing w:line="420" w:lineRule="exact"/>
        <w:ind w:left="1619" w:firstLine="0"/>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w:t>（2）施工过程中材料和工程设备等产品的检验试验，合格的，检验试验费由发包人承担。不合格的，发包人供应的，检验试验费由发包人承担；承包人采购的，检验试验费由承包人承担。</w:t>
      </w:r>
    </w:p>
    <w:p w14:paraId="2223E72D">
      <w:pPr>
        <w:pStyle w:val="7"/>
        <w:tabs>
          <w:tab w:val="left" w:pos="1620"/>
          <w:tab w:val="left" w:pos="1980"/>
          <w:tab w:val="left" w:pos="2520"/>
          <w:tab w:val="left" w:pos="2700"/>
        </w:tabs>
        <w:adjustRightInd w:val="0"/>
        <w:snapToGrid w:val="0"/>
        <w:spacing w:line="420" w:lineRule="exact"/>
        <w:ind w:firstLine="0"/>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50.5 </w:t>
      </w:r>
      <w:r>
        <w:rPr>
          <w:rFonts w:hint="default" w:ascii="Times New Roman" w:hAnsi="Times New Roman" w:cs="Times New Roman"/>
          <w:b/>
          <w:bCs/>
          <w:color w:val="auto"/>
          <w:sz w:val="22"/>
          <w:szCs w:val="22"/>
          <w:highlight w:val="none"/>
          <w:u w:val="dotted"/>
        </w:rPr>
        <w:t xml:space="preserve">                                                                                                        </w:t>
      </w:r>
    </w:p>
    <w:p w14:paraId="438E92C9">
      <w:pPr>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69184" behindDoc="0" locked="0" layoutInCell="1" allowOverlap="1">
                <wp:simplePos x="0" y="0"/>
                <wp:positionH relativeFrom="column">
                  <wp:posOffset>-114300</wp:posOffset>
                </wp:positionH>
                <wp:positionV relativeFrom="paragraph">
                  <wp:posOffset>8255</wp:posOffset>
                </wp:positionV>
                <wp:extent cx="914400" cy="396240"/>
                <wp:effectExtent l="0" t="0" r="0" b="0"/>
                <wp:wrapNone/>
                <wp:docPr id="211" name="文本框 211"/>
                <wp:cNvGraphicFramePr/>
                <a:graphic xmlns:a="http://schemas.openxmlformats.org/drawingml/2006/main">
                  <a:graphicData uri="http://schemas.microsoft.com/office/word/2010/wordprocessingShape">
                    <wps:wsp>
                      <wps:cNvSpPr txBox="1"/>
                      <wps:spPr>
                        <a:xfrm>
                          <a:off x="0" y="0"/>
                          <a:ext cx="914400" cy="396240"/>
                        </a:xfrm>
                        <a:prstGeom prst="rect">
                          <a:avLst/>
                        </a:prstGeom>
                        <a:noFill/>
                        <a:ln>
                          <a:noFill/>
                        </a:ln>
                        <a:effectLst/>
                      </wps:spPr>
                      <wps:txbx>
                        <w:txbxContent>
                          <w:p w14:paraId="3109ADF6">
                            <w:pPr>
                              <w:spacing w:line="20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再次检验试验及其费用承担</w:t>
                            </w:r>
                          </w:p>
                        </w:txbxContent>
                      </wps:txbx>
                      <wps:bodyPr wrap="square" upright="1"/>
                    </wps:wsp>
                  </a:graphicData>
                </a:graphic>
              </wp:anchor>
            </w:drawing>
          </mc:Choice>
          <mc:Fallback>
            <w:pict>
              <v:shape id="_x0000_s1026" o:spid="_x0000_s1026" o:spt="202" type="#_x0000_t202" style="position:absolute;left:0pt;margin-left:-9pt;margin-top:0.65pt;height:31.2pt;width:72pt;z-index:251869184;mso-width-relative:page;mso-height-relative:page;" filled="f" stroked="f" coordsize="21600,21600" o:gfxdata="UEsDBAoAAAAAAIdO4kAAAAAAAAAAAAAAAAAEAAAAZHJzL1BLAwQUAAAACACHTuJAlrdoltUAAAAI&#10;AQAADwAAAGRycy9kb3ducmV2LnhtbE2PQU/CQBCF7yb+h82QeIPdglas3XLQeJWISsJt6Q5tQ3e2&#10;6S60/nuGkxxfvsmb7+Wr0bXijH1oPGlIZgoEUultQ5WGn++P6RJEiIasaT2hhj8MsCru73KTWT/Q&#10;F543sRJcQiEzGuoYu0zKUNboTJj5DonZwffORI59JW1vBi53rZwrlUpnGuIPtenwrcbyuDk5Db+f&#10;h932Ua2rd/fUDX5UktyL1PphkqhXEBHH+H8MV31Wh4Kd9v5ENohWwzRZ8pbIYAHiyucp572GdPEM&#10;ssjl7YDiAlBLAwQUAAAACACHTuJA2oH8Vb0BAABtAwAADgAAAGRycy9lMm9Eb2MueG1srVPNjtMw&#10;EL4j8Q6W7zRJqVZs1HQlVC0XBEgLD+A648ZS/IPHbdIXgDfgxIU7z9XnYOxku8ty2QMXZzw/n+f7&#10;ZrK+GU3PjhBQO9vwalFyBla6Vtt9w798vn31hjOMwraidxYafgLkN5uXL9aDr2HpOte3EBiBWKwH&#10;3/AuRl8XBcoOjMCF82ApqFwwItI17Is2iIHQTV8sy/KqGFxofXASEMm7nYJ8RgzPAXRKaQlbJw8G&#10;bJxQA/QiEiXstEe+yd0qBTJ+VAohsr7hxDTmkx4he5fOYrMW9T4I32k5tyCe08ITTkZoS49eoLYi&#10;CnYI+h8oo2Vw6FRcSGeKiUhWhFhU5RNt7jrhIXMhqdFfRMf/Bys/HD8FptuGL6uKMysMjfz84/v5&#10;5+/zr28sOUmiwWNNmXeecuP41o20OPd+JGdiPqpg0pc4MYqTwKeLwDBGJsl5Xa1WJUUkhV5fXy1X&#10;eQDFQ7EPGN+BMywZDQ80vyyrOL7HSI1Q6n1Kesu6W933eYa9/ctBiZMH8hLM1YnH1G+y4rgbZ3I7&#10;156I20CL0HD8ehABODv4oPcdtZG5FqmEppCbmDcmjfnxnezHf8nmD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a3aJbVAAAACAEAAA8AAAAAAAAAAQAgAAAAIgAAAGRycy9kb3ducmV2LnhtbFBLAQIU&#10;ABQAAAAIAIdO4kDagfxVvQEAAG0DAAAOAAAAAAAAAAEAIAAAACQBAABkcnMvZTJvRG9jLnhtbFBL&#10;BQYAAAAABgAGAFkBAABTBQAAAAA=&#10;">
                <v:fill on="f" focussize="0,0"/>
                <v:stroke on="f"/>
                <v:imagedata o:title=""/>
                <o:lock v:ext="edit" aspectratio="f"/>
                <v:textbox>
                  <w:txbxContent>
                    <w:p w14:paraId="3109ADF6">
                      <w:pPr>
                        <w:spacing w:line="20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再次检验试验及其费用承担</w:t>
                      </w:r>
                    </w:p>
                  </w:txbxContent>
                </v:textbox>
              </v:shape>
            </w:pict>
          </mc:Fallback>
        </mc:AlternateContent>
      </w:r>
      <w:r>
        <w:rPr>
          <w:rFonts w:hint="default" w:ascii="Times New Roman" w:hAnsi="Times New Roman" w:cs="Times New Roman"/>
          <w:color w:val="auto"/>
          <w:sz w:val="22"/>
          <w:szCs w:val="22"/>
          <w:highlight w:val="none"/>
        </w:rPr>
        <w:t>监理工程师对承包人自行检验试验结果有疑问的，或重新查验检验试验结果的，可要求承包人共同对材料和工程设备等产品再次检验试验。</w:t>
      </w:r>
    </w:p>
    <w:p w14:paraId="6EBEA704">
      <w:pPr>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（1）合格的，再次检验试验费和（或）延误的工期由发包人承担，并向承包人支付合理利润。</w:t>
      </w:r>
    </w:p>
    <w:p w14:paraId="77345250">
      <w:pPr>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（2）不合格的，发包人供应的，再次检验试验费和（或）延误的工期由发包人承担，并向承包人支付合理利润；承包人采购的，再次检验试验费和（或）延误的工期由承包人承担。</w:t>
      </w:r>
    </w:p>
    <w:p w14:paraId="192466A3">
      <w:pPr>
        <w:pStyle w:val="7"/>
        <w:tabs>
          <w:tab w:val="left" w:pos="540"/>
        </w:tabs>
        <w:adjustRightInd w:val="0"/>
        <w:snapToGrid w:val="0"/>
        <w:spacing w:line="420" w:lineRule="exact"/>
        <w:ind w:firstLine="0"/>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 xml:space="preserve">50.6 </w:t>
      </w:r>
      <w:r>
        <w:rPr>
          <w:rFonts w:hint="default" w:ascii="Times New Roman" w:hAnsi="Times New Roman" w:cs="Times New Roman"/>
          <w:b/>
          <w:bCs/>
          <w:color w:val="auto"/>
          <w:sz w:val="22"/>
          <w:szCs w:val="22"/>
          <w:highlight w:val="none"/>
          <w:u w:val="dotted"/>
        </w:rPr>
        <w:t xml:space="preserve">                                                                           </w:t>
      </w: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70208" behindDoc="0" locked="0" layoutInCell="1" allowOverlap="1">
                <wp:simplePos x="0" y="0"/>
                <wp:positionH relativeFrom="column">
                  <wp:posOffset>-114300</wp:posOffset>
                </wp:positionH>
                <wp:positionV relativeFrom="paragraph">
                  <wp:posOffset>245110</wp:posOffset>
                </wp:positionV>
                <wp:extent cx="914400" cy="690245"/>
                <wp:effectExtent l="0" t="0" r="0" b="0"/>
                <wp:wrapNone/>
                <wp:docPr id="212" name="文本框 212"/>
                <wp:cNvGraphicFramePr/>
                <a:graphic xmlns:a="http://schemas.openxmlformats.org/drawingml/2006/main">
                  <a:graphicData uri="http://schemas.microsoft.com/office/word/2010/wordprocessingShape">
                    <wps:wsp>
                      <wps:cNvSpPr txBox="1"/>
                      <wps:spPr>
                        <a:xfrm>
                          <a:off x="0" y="0"/>
                          <a:ext cx="914400" cy="690245"/>
                        </a:xfrm>
                        <a:prstGeom prst="rect">
                          <a:avLst/>
                        </a:prstGeom>
                        <a:noFill/>
                        <a:ln>
                          <a:noFill/>
                        </a:ln>
                        <a:effectLst/>
                      </wps:spPr>
                      <wps:txbx>
                        <w:txbxContent>
                          <w:p w14:paraId="79858449">
                            <w:pPr>
                              <w:spacing w:line="20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材料和工程设备质量有争议的处理</w:t>
                            </w:r>
                          </w:p>
                        </w:txbxContent>
                      </wps:txbx>
                      <wps:bodyPr wrap="square" upright="1"/>
                    </wps:wsp>
                  </a:graphicData>
                </a:graphic>
              </wp:anchor>
            </w:drawing>
          </mc:Choice>
          <mc:Fallback>
            <w:pict>
              <v:shape id="_x0000_s1026" o:spid="_x0000_s1026" o:spt="202" type="#_x0000_t202" style="position:absolute;left:0pt;margin-left:-9pt;margin-top:19.3pt;height:54.35pt;width:72pt;z-index:251870208;mso-width-relative:page;mso-height-relative:page;" filled="f" stroked="f" coordsize="21600,21600" o:gfxdata="UEsDBAoAAAAAAIdO4kAAAAAAAAAAAAAAAAAEAAAAZHJzL1BLAwQUAAAACACHTuJAlRc+h9gAAAAK&#10;AQAADwAAAGRycy9kb3ducmV2LnhtbE2PQU/DMAyF70j7D5EncduSbqOU0nQHEFcQY0PiljVeW9E4&#10;VZOt5d/jneBm+z09f6/YTq4TFxxC60lDslQgkCpvW6o17D9eFhmIEA1Z03lCDT8YYFvObgqTWz/S&#10;O152sRYcQiE3GpoY+1zKUDXoTFj6Hom1kx+cibwOtbSDGTncdXKlVCqdaYk/NKbHpwar793ZaTi8&#10;nr4+N+qtfnZ3/egnJck9SK1v54l6BBFxin9muOIzOpTMdPRnskF0GhZJxl2ihnWWgrgaVikfjjxs&#10;7tcgy0L+r1D+AlBLAwQUAAAACACHTuJA3zYUdbwBAABtAwAADgAAAGRycy9lMm9Eb2MueG1srVPN&#10;jtMwEL4j8Q6W79RpVFZs1HQlVC0XBEgLD+A648ZS/IPHbdIXgDfgxIU7z9XnYJxku8ty2QMXZzw/&#10;n+f7ZrK+GWzHjhDReFfz5aLgDJzyjXH7mn/5fPvqDWeYpGtk5x3U/ATIbzYvX6z7UEHpW981EBmB&#10;OKz6UPM2pVAJgaoFK3HhAzgKah+tTHSNe9FE2RO67URZFFei97EJ0StAJO92CvIZMT4H0GttFGy9&#10;OlhwaUKN0MlElLA1Aflm7FZrUOmj1giJdTUnpmk86RGyd/kUm7Ws9lGG1qi5BfmcFp5wstI4evQC&#10;tZVJskM0/0BZo6JHr9NCeSsmIqMixGJZPNHmrpUBRi4kNYaL6Pj/YNWH46fITFPzclly5qSlkZ9/&#10;fD///H3+9Y1lJ0nUB6wo8y5Qbhre+oEW596P5MzMBx1t/hInRnES+HQRGIbEFDmvl6tVQRFFoavr&#10;oly9zijioThETO/AW5aNmkea3yirPL7HNKXep+S3nL81XTfOsHN/OQhz8sC4BHN15jH1m6007IaZ&#10;3M43J+LW0yLUHL8eZATODiGafUttjFxFLqEpjP3OG5PH/PhO9uO/ZPMH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lRc+h9gAAAAKAQAADwAAAAAAAAABACAAAAAiAAAAZHJzL2Rvd25yZXYueG1sUEsB&#10;AhQAFAAAAAgAh07iQN82FHW8AQAAbQMAAA4AAAAAAAAAAQAgAAAAJwEAAGRycy9lMm9Eb2MueG1s&#10;UEsFBgAAAAAGAAYAWQEAAFUFAAAAAA==&#10;">
                <v:fill on="f" focussize="0,0"/>
                <v:stroke on="f"/>
                <v:imagedata o:title=""/>
                <o:lock v:ext="edit" aspectratio="f"/>
                <v:textbox>
                  <w:txbxContent>
                    <w:p w14:paraId="79858449">
                      <w:pPr>
                        <w:spacing w:line="20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材料和工程设备质量有争议的处理</w:t>
                      </w:r>
                    </w:p>
                  </w:txbxContent>
                </v:textbox>
              </v:shape>
            </w:pict>
          </mc:Fallback>
        </mc:AlternateContent>
      </w:r>
      <w:r>
        <w:rPr>
          <w:rFonts w:hint="default" w:ascii="Times New Roman" w:hAnsi="Times New Roman" w:cs="Times New Roman"/>
          <w:b/>
          <w:bCs/>
          <w:color w:val="auto"/>
          <w:sz w:val="22"/>
          <w:szCs w:val="22"/>
          <w:highlight w:val="none"/>
          <w:u w:val="dotted"/>
        </w:rPr>
        <w:t xml:space="preserve">    </w:t>
      </w:r>
    </w:p>
    <w:p w14:paraId="2554D6A8">
      <w:pPr>
        <w:pStyle w:val="7"/>
        <w:adjustRightInd w:val="0"/>
        <w:snapToGrid w:val="0"/>
        <w:spacing w:line="420" w:lineRule="exact"/>
        <w:ind w:left="1619" w:leftChars="771"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合同双方当事人对材料和工程设备等产品质量有争议的，所需的检验试验费由责任方承担。双方均有责任的，由双方根据其责任划分分别承担。</w:t>
      </w:r>
    </w:p>
    <w:p w14:paraId="74E84F39">
      <w:pPr>
        <w:pStyle w:val="7"/>
        <w:adjustRightInd w:val="0"/>
        <w:snapToGrid w:val="0"/>
        <w:spacing w:line="420" w:lineRule="exact"/>
        <w:ind w:firstLine="0"/>
        <w:rPr>
          <w:rFonts w:hint="default" w:ascii="Times New Roman" w:hAnsi="Times New Roman" w:cs="Times New Roman"/>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r>
        <w:rPr>
          <w:rFonts w:hint="default" w:ascii="Times New Roman" w:hAnsi="Times New Roman" w:cs="Times New Roman"/>
          <w:color w:val="auto"/>
          <w:sz w:val="22"/>
          <w:szCs w:val="22"/>
          <w:highlight w:val="none"/>
          <w:u w:val="single"/>
        </w:rPr>
        <w:t xml:space="preserve">                            </w:t>
      </w:r>
    </w:p>
    <w:p w14:paraId="0C238983">
      <w:pPr>
        <w:pStyle w:val="7"/>
        <w:adjustRightInd w:val="0"/>
        <w:snapToGrid w:val="0"/>
        <w:spacing w:line="420" w:lineRule="exact"/>
        <w:ind w:firstLine="0"/>
        <w:outlineLvl w:val="2"/>
        <w:rPr>
          <w:rFonts w:hint="default" w:ascii="Times New Roman" w:hAnsi="Times New Roman" w:cs="Times New Roman"/>
          <w:b/>
          <w:bCs/>
          <w:color w:val="auto"/>
          <w:sz w:val="22"/>
          <w:szCs w:val="22"/>
          <w:highlight w:val="none"/>
        </w:rPr>
      </w:pPr>
      <w:bookmarkStart w:id="199" w:name="_Toc469384034"/>
      <w:bookmarkStart w:id="200" w:name="_Toc19094"/>
      <w:r>
        <w:rPr>
          <w:rFonts w:hint="default" w:ascii="Times New Roman" w:hAnsi="Times New Roman" w:cs="Times New Roman"/>
          <w:b/>
          <w:bCs/>
          <w:color w:val="auto"/>
          <w:sz w:val="22"/>
          <w:szCs w:val="22"/>
          <w:highlight w:val="none"/>
        </w:rPr>
        <w:t>51  施工设备和临时设施</w:t>
      </w:r>
      <w:bookmarkEnd w:id="199"/>
      <w:bookmarkEnd w:id="200"/>
    </w:p>
    <w:p w14:paraId="211A2BAF">
      <w:pPr>
        <w:pStyle w:val="7"/>
        <w:adjustRightInd w:val="0"/>
        <w:snapToGrid w:val="0"/>
        <w:spacing w:line="420" w:lineRule="exact"/>
        <w:ind w:firstLine="0"/>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51.1 </w:t>
      </w:r>
    </w:p>
    <w:p w14:paraId="73217942">
      <w:pPr>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71232" behindDoc="0" locked="0" layoutInCell="1" allowOverlap="1">
                <wp:simplePos x="0" y="0"/>
                <wp:positionH relativeFrom="column">
                  <wp:posOffset>-73660</wp:posOffset>
                </wp:positionH>
                <wp:positionV relativeFrom="paragraph">
                  <wp:posOffset>5715</wp:posOffset>
                </wp:positionV>
                <wp:extent cx="988060" cy="753110"/>
                <wp:effectExtent l="0" t="0" r="0" b="0"/>
                <wp:wrapNone/>
                <wp:docPr id="213" name="文本框 213"/>
                <wp:cNvGraphicFramePr/>
                <a:graphic xmlns:a="http://schemas.openxmlformats.org/drawingml/2006/main">
                  <a:graphicData uri="http://schemas.microsoft.com/office/word/2010/wordprocessingShape">
                    <wps:wsp>
                      <wps:cNvSpPr txBox="1"/>
                      <wps:spPr>
                        <a:xfrm>
                          <a:off x="0" y="0"/>
                          <a:ext cx="988060" cy="753110"/>
                        </a:xfrm>
                        <a:prstGeom prst="rect">
                          <a:avLst/>
                        </a:prstGeom>
                        <a:noFill/>
                        <a:ln>
                          <a:noFill/>
                        </a:ln>
                        <a:effectLst/>
                      </wps:spPr>
                      <wps:txbx>
                        <w:txbxContent>
                          <w:p w14:paraId="291C3C43">
                            <w:pPr>
                              <w:spacing w:line="20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承包人配置的施工设备和临时设施</w:t>
                            </w:r>
                          </w:p>
                        </w:txbxContent>
                      </wps:txbx>
                      <wps:bodyPr wrap="square" upright="1"/>
                    </wps:wsp>
                  </a:graphicData>
                </a:graphic>
              </wp:anchor>
            </w:drawing>
          </mc:Choice>
          <mc:Fallback>
            <w:pict>
              <v:shape id="_x0000_s1026" o:spid="_x0000_s1026" o:spt="202" type="#_x0000_t202" style="position:absolute;left:0pt;margin-left:-5.8pt;margin-top:0.45pt;height:59.3pt;width:77.8pt;z-index:251871232;mso-width-relative:page;mso-height-relative:page;" filled="f" stroked="f" coordsize="21600,21600" o:gfxdata="UEsDBAoAAAAAAIdO4kAAAAAAAAAAAAAAAAAEAAAAZHJzL1BLAwQUAAAACACHTuJAKtbrHNUAAAAI&#10;AQAADwAAAGRycy9kb3ducmV2LnhtbE2PwU7DMBBE70j8g7VI3FrbKK1IGqcHEFcQpSBxc+NtEjVe&#10;R7HbhL9ne4LbjmY0+6bczr4XFxxjF8iAXioQSHVwHTUG9h8vi0cQMVlytg+EBn4wwra6vSlt4cJE&#10;73jZpUZwCcXCGmhTGgopY92it3EZBiT2jmH0NrEcG+lGO3G57+WDUmvpbUf8obUDPrVYn3Znb+Dz&#10;9fj9lam35tmvhinMSpLPpTH3d1ptQCSc018YrviMDhUzHcKZXBS9gYXWa44ayEFc7SzjaQc+dL4C&#10;WZXy/4DqF1BLAwQUAAAACACHTuJApCowAb0BAABtAwAADgAAAGRycy9lMm9Eb2MueG1srVPNjtMw&#10;EL4j8Q6W7zRJVywlaroSqpYLAqSFB3CdcWMp/sHjNukLwBtw4sKd5+pzMHayZVkue+DijOfn83zf&#10;TNY3o+nZEQJqZxteLUrOwErXartv+OdPty9WnGEUthW9s9DwEyC/2Tx/th58DUvXub6FwAjEYj34&#10;hncx+rooUHZgBC6cB0tB5YIRka5hX7RBDIRu+mJZltfF4ELrg5OASN7tFOQzYngKoFNKS9g6eTBg&#10;44QaoBeRKGGnPfJN7lYpkPGDUgiR9Q0npjGf9AjZu3QWm7Wo90H4Tsu5BfGUFh5xMkJbevQCtRVR&#10;sEPQ/0AZLYNDp+JCOlNMRLIixKIqH2lz1wkPmQtJjf4iOv4/WPn++DEw3TZ8WV1xZoWhkZ+/fzv/&#10;+HX++ZUlJ0k0eKwp885TbhzfuJEW596P5EzMRxVM+hInRnES+HQRGMbIJDlfr1blNUUkhV69vKqq&#10;PIDiT7EPGN+CMywZDQ80vyyrOL7DSI1Q6n1Kesu6W933eYa9/ctBiZMH8hLM1YnH1G+y4rgbZ3I7&#10;156I20CL0HD8chABODv4oPcdtZG5FqmEppCbmDcmjfnhneyHf8nm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CrW6xzVAAAACAEAAA8AAAAAAAAAAQAgAAAAIgAAAGRycy9kb3ducmV2LnhtbFBLAQIU&#10;ABQAAAAIAIdO4kCkKjABvQEAAG0DAAAOAAAAAAAAAAEAIAAAACQBAABkcnMvZTJvRG9jLnhtbFBL&#10;BQYAAAAABgAGAFkBAABTBQAAAAA=&#10;">
                <v:fill on="f" focussize="0,0"/>
                <v:stroke on="f"/>
                <v:imagedata o:title=""/>
                <o:lock v:ext="edit" aspectratio="f"/>
                <v:textbox>
                  <w:txbxContent>
                    <w:p w14:paraId="291C3C43">
                      <w:pPr>
                        <w:spacing w:line="20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承包人配置的施工设备和临时设施</w:t>
                      </w:r>
                    </w:p>
                  </w:txbxContent>
                </v:textbox>
              </v:shape>
            </w:pict>
          </mc:Fallback>
        </mc:AlternateContent>
      </w:r>
      <w:r>
        <w:rPr>
          <w:rFonts w:hint="default" w:ascii="Times New Roman" w:hAnsi="Times New Roman" w:cs="Times New Roman"/>
          <w:color w:val="auto"/>
          <w:sz w:val="22"/>
          <w:szCs w:val="22"/>
          <w:highlight w:val="none"/>
        </w:rPr>
        <w:t>承包人应按合同工程进度计划的要求，及时配置施工设备和修建临时设施。除专用条款另有约定外，承包人应自行承担修建临时设施的费用。需要临时占地的，发包人应办理其申请手续并承担相应费用。</w:t>
      </w:r>
    </w:p>
    <w:p w14:paraId="14FF467B">
      <w:pPr>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进入施工场地的承包人施工设备，需经监理工程师核查后才能投入使用。承包人更换合同约定自身施工设备的，应经监理工程师同意并由其报发包人批准后方可实施。</w:t>
      </w:r>
    </w:p>
    <w:p w14:paraId="00000392">
      <w:pPr>
        <w:pStyle w:val="7"/>
        <w:tabs>
          <w:tab w:val="left" w:pos="540"/>
        </w:tabs>
        <w:adjustRightInd w:val="0"/>
        <w:snapToGrid w:val="0"/>
        <w:spacing w:line="420" w:lineRule="exact"/>
        <w:ind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72256" behindDoc="0" locked="0" layoutInCell="1" allowOverlap="1">
                <wp:simplePos x="0" y="0"/>
                <wp:positionH relativeFrom="column">
                  <wp:posOffset>-66675</wp:posOffset>
                </wp:positionH>
                <wp:positionV relativeFrom="paragraph">
                  <wp:posOffset>215900</wp:posOffset>
                </wp:positionV>
                <wp:extent cx="873760" cy="685800"/>
                <wp:effectExtent l="0" t="0" r="0" b="0"/>
                <wp:wrapNone/>
                <wp:docPr id="214" name="文本框 214"/>
                <wp:cNvGraphicFramePr/>
                <a:graphic xmlns:a="http://schemas.openxmlformats.org/drawingml/2006/main">
                  <a:graphicData uri="http://schemas.microsoft.com/office/word/2010/wordprocessingShape">
                    <wps:wsp>
                      <wps:cNvSpPr txBox="1"/>
                      <wps:spPr>
                        <a:xfrm>
                          <a:off x="0" y="0"/>
                          <a:ext cx="873760" cy="685800"/>
                        </a:xfrm>
                        <a:prstGeom prst="rect">
                          <a:avLst/>
                        </a:prstGeom>
                        <a:noFill/>
                        <a:ln>
                          <a:noFill/>
                        </a:ln>
                        <a:effectLst/>
                      </wps:spPr>
                      <wps:txbx>
                        <w:txbxContent>
                          <w:p w14:paraId="12622CEF">
                            <w:pPr>
                              <w:spacing w:line="20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发包人提供的施工设备和临时设施</w:t>
                            </w:r>
                          </w:p>
                          <w:p w14:paraId="028A3393">
                            <w:pPr>
                              <w:spacing w:line="240" w:lineRule="exact"/>
                              <w:rPr>
                                <w:rFonts w:cs="Times New Roman"/>
                                <w:sz w:val="18"/>
                                <w:szCs w:val="18"/>
                              </w:rPr>
                            </w:pPr>
                          </w:p>
                        </w:txbxContent>
                      </wps:txbx>
                      <wps:bodyPr wrap="square" upright="1"/>
                    </wps:wsp>
                  </a:graphicData>
                </a:graphic>
              </wp:anchor>
            </w:drawing>
          </mc:Choice>
          <mc:Fallback>
            <w:pict>
              <v:shape id="_x0000_s1026" o:spid="_x0000_s1026" o:spt="202" type="#_x0000_t202" style="position:absolute;left:0pt;margin-left:-5.25pt;margin-top:17pt;height:54pt;width:68.8pt;z-index:251872256;mso-width-relative:page;mso-height-relative:page;" filled="f" stroked="f" coordsize="21600,21600" o:gfxdata="UEsDBAoAAAAAAIdO4kAAAAAAAAAAAAAAAAAEAAAAZHJzL1BLAwQUAAAACACHTuJAok+wPdcAAAAK&#10;AQAADwAAAGRycy9kb3ducmV2LnhtbE2PwU7DMAyG70i8Q2QkblvS0g0oTXcAcWVijEm7ZY3XVjRO&#10;1WRreXu807jZ8qff31+sJteJMw6h9aQhmSsQSJW3LdUatl/vsycQIRqypvOEGn4xwKq8vSlMbv1I&#10;n3jexFpwCIXcaGhi7HMpQ9WgM2HueyS+Hf3gTOR1qKUdzMjhrpOpUkvpTEv8oTE9vjZY/WxOTsP3&#10;x3G/y9S6fnOLfvSTkuSepdb3d4l6ARFxilcYLvqsDiU7HfyJbBCdhlmiFoxqeMi40wVIHxMQBx6y&#10;VIEsC/m/QvkHUEsDBBQAAAAIAIdO4kCHRvkkvgEAAG0DAAAOAAAAZHJzL2Uyb0RvYy54bWytU82O&#10;0zAQviPxDpbv1GmBbhU1XWlVLRcESAsP4DqTxlL8g8dt0heAN+DEhTvP1edg7GTLslz2sBdnPD+f&#10;5/tmsr4eTMeOEFA7W/H5rOAMrHK1tvuKf/l8+2rFGUZpa9k5CxU/AfLrzcsX696XsHCt62oIjEAs&#10;lr2veBujL4VA1YKROHMeLAUbF4yMdA17UQfZE7rpxKIolqJ3ofbBKUAk73YM8gkxPAXQNY1WsHXq&#10;YMDGETVAJyNRwlZ75JvcbdOAih+bBiGyruLENOaTHiF7l06xWctyH6RvtZpakE9p4REnI7WlRy9Q&#10;WxklOwT9H5TRKjh0TZwpZ8RIJCtCLObFI23uWukhcyGp0V9Ex+eDVR+OnwLTdcUX8zecWWlo5Ocf&#10;388/f59/fWPJSRL1HkvKvPOUG4cbN9Di3PuRnIn50ASTvsSJUZwEPl0EhiEyRc7V1eurJUUUhZar&#10;t6siD0D8LfYB4ztwhiWj4oHml2WVx/cYqRFKvU9Jb1l3q7suz7Cz/zgocfRAXoKpOvEY+01WHHbD&#10;RG7n6hNx62kRKo5fDzIAZwcf9L6lNjJXkUpoCrmJaWPSmB/eyX74l2z+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KJPsD3XAAAACgEAAA8AAAAAAAAAAQAgAAAAIgAAAGRycy9kb3ducmV2LnhtbFBL&#10;AQIUABQAAAAIAIdO4kCHRvkkvgEAAG0DAAAOAAAAAAAAAAEAIAAAACYBAABkcnMvZTJvRG9jLnht&#10;bFBLBQYAAAAABgAGAFkBAABWBQAAAAA=&#10;">
                <v:fill on="f" focussize="0,0"/>
                <v:stroke on="f"/>
                <v:imagedata o:title=""/>
                <o:lock v:ext="edit" aspectratio="f"/>
                <v:textbox>
                  <w:txbxContent>
                    <w:p w14:paraId="12622CEF">
                      <w:pPr>
                        <w:spacing w:line="20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发包人提供的施工设备和临时设施</w:t>
                      </w:r>
                    </w:p>
                    <w:p w14:paraId="028A3393">
                      <w:pPr>
                        <w:spacing w:line="240" w:lineRule="exact"/>
                        <w:rPr>
                          <w:rFonts w:cs="Times New Roman"/>
                          <w:sz w:val="18"/>
                          <w:szCs w:val="18"/>
                        </w:rPr>
                      </w:pPr>
                    </w:p>
                  </w:txbxContent>
                </v:textbox>
              </v:shape>
            </w:pict>
          </mc:Fallback>
        </mc:AlternateContent>
      </w:r>
      <w:r>
        <w:rPr>
          <w:rFonts w:hint="default" w:ascii="Times New Roman" w:hAnsi="Times New Roman" w:cs="Times New Roman"/>
          <w:b/>
          <w:bCs/>
          <w:color w:val="auto"/>
          <w:sz w:val="22"/>
          <w:szCs w:val="22"/>
          <w:highlight w:val="none"/>
        </w:rPr>
        <w:t xml:space="preserve">51.2 </w:t>
      </w:r>
      <w:r>
        <w:rPr>
          <w:rFonts w:hint="default" w:ascii="Times New Roman" w:hAnsi="Times New Roman" w:cs="Times New Roman"/>
          <w:color w:val="auto"/>
          <w:sz w:val="22"/>
          <w:szCs w:val="22"/>
          <w:highlight w:val="none"/>
          <w:u w:val="dotted"/>
        </w:rPr>
        <w:t xml:space="preserve">                                                                                                        </w:t>
      </w:r>
    </w:p>
    <w:p w14:paraId="5923744E">
      <w:pPr>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如果发包人提供施工设备或临时设施的，合同双方当事人应在专用条款中约定施工设备或临时设施的品种、规格、型号和提供的时间、地点等内容。</w:t>
      </w:r>
    </w:p>
    <w:p w14:paraId="3DCBEC82">
      <w:pPr>
        <w:pStyle w:val="7"/>
        <w:tabs>
          <w:tab w:val="left" w:pos="540"/>
        </w:tabs>
        <w:adjustRightInd w:val="0"/>
        <w:snapToGrid w:val="0"/>
        <w:spacing w:line="420" w:lineRule="exact"/>
        <w:ind w:firstLine="0"/>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51.3 </w:t>
      </w:r>
      <w:r>
        <w:rPr>
          <w:rFonts w:hint="default" w:ascii="Times New Roman" w:hAnsi="Times New Roman" w:cs="Times New Roman"/>
          <w:b/>
          <w:bCs/>
          <w:color w:val="auto"/>
          <w:sz w:val="22"/>
          <w:szCs w:val="22"/>
          <w:highlight w:val="none"/>
          <w:u w:val="dotted"/>
        </w:rPr>
        <w:t xml:space="preserve">                                                                                                        </w:t>
      </w:r>
    </w:p>
    <w:p w14:paraId="08D337BA">
      <w:pPr>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73280" behindDoc="0" locked="0" layoutInCell="1" allowOverlap="1">
                <wp:simplePos x="0" y="0"/>
                <wp:positionH relativeFrom="column">
                  <wp:posOffset>-73660</wp:posOffset>
                </wp:positionH>
                <wp:positionV relativeFrom="paragraph">
                  <wp:posOffset>8890</wp:posOffset>
                </wp:positionV>
                <wp:extent cx="873760" cy="659765"/>
                <wp:effectExtent l="0" t="0" r="0" b="0"/>
                <wp:wrapNone/>
                <wp:docPr id="215" name="文本框 215"/>
                <wp:cNvGraphicFramePr/>
                <a:graphic xmlns:a="http://schemas.openxmlformats.org/drawingml/2006/main">
                  <a:graphicData uri="http://schemas.microsoft.com/office/word/2010/wordprocessingShape">
                    <wps:wsp>
                      <wps:cNvSpPr txBox="1"/>
                      <wps:spPr>
                        <a:xfrm>
                          <a:off x="0" y="0"/>
                          <a:ext cx="873760" cy="659765"/>
                        </a:xfrm>
                        <a:prstGeom prst="rect">
                          <a:avLst/>
                        </a:prstGeom>
                        <a:noFill/>
                        <a:ln>
                          <a:noFill/>
                        </a:ln>
                        <a:effectLst/>
                      </wps:spPr>
                      <wps:txbx>
                        <w:txbxContent>
                          <w:p w14:paraId="59A79F38">
                            <w:pPr>
                              <w:spacing w:line="20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承包人增加或更换施工设备</w:t>
                            </w:r>
                          </w:p>
                        </w:txbxContent>
                      </wps:txbx>
                      <wps:bodyPr wrap="square" upright="1"/>
                    </wps:wsp>
                  </a:graphicData>
                </a:graphic>
              </wp:anchor>
            </w:drawing>
          </mc:Choice>
          <mc:Fallback>
            <w:pict>
              <v:shape id="_x0000_s1026" o:spid="_x0000_s1026" o:spt="202" type="#_x0000_t202" style="position:absolute;left:0pt;margin-left:-5.8pt;margin-top:0.7pt;height:51.95pt;width:68.8pt;z-index:251873280;mso-width-relative:page;mso-height-relative:page;" filled="f" stroked="f" coordsize="21600,21600" o:gfxdata="UEsDBAoAAAAAAIdO4kAAAAAAAAAAAAAAAAAEAAAAZHJzL1BLAwQUAAAACACHTuJAumFIAdUAAAAJ&#10;AQAADwAAAGRycy9kb3ducmV2LnhtbE2PzU7DMBCE70i8g7VI3Fo7pY0gxOkBxBVE+ZG4beNtEhGv&#10;o9htwtuzPcFtR99odqbczr5XJxpjF9hCtjSgiOvgOm4svL89LW5BxYTssA9MFn4owra6vCixcGHi&#10;VzrtUqMkhGOBFtqUhkLrWLfkMS7DQCzsEEaPSeTYaDfiJOG+1ytjcu2xY/nQ4kAPLdXfu6O38PF8&#10;+Ppcm5fm0W+GKcxGs7/T1l5fZeYeVKI5/ZnhXF+qQyWd9uHILqrewiLLcrEKWIM681Uu2/ZymM0N&#10;6KrU/xdUv1BLAwQUAAAACACHTuJAWdLsjb4BAABtAwAADgAAAGRycy9lMm9Eb2MueG1srVNLbtsw&#10;EN0XyB0I7mPZLmInguUAhZFuirZAmgPQ1MgiwF85tCVfoL1BV91033P5HB1SipOmmyy6oYbzeZz3&#10;ZrS67Y1mBwionK34bDLlDKx0tbK7ij98ubu85gyjsLXQzkLFj4D8dn3xZtX5EuaudbqGwAjEYtn5&#10;ircx+rIoULZgBE6cB0vBxgUjIl3DrqiD6Ajd6GI+nS6KzoXaBycBkbybIchHxPAaQNc0SsLGyb0B&#10;GwfUAFpEooSt8sjXudumARk/NQ1CZLrixDTmkx4he5vOYr0S5S4I3yo5tiBe08ILTkYoS4+eoTYi&#10;CrYP6h8oo2Rw6Jo4kc4UA5GsCLGYTV9oc98KD5kLSY3+LDr+P1j58fA5MFVXfD674swKQyM//fh+&#10;+vn79OsbS06SqPNYUua9p9zYv3M9Lc6jH8mZmPdNMOlLnBjFSeDjWWDoI5PkvF6+XS4oIim0uLpZ&#10;LjJ68VTsA8b34AxLRsUDzS/LKg4fMFIjlPqYkt6y7k5pnWeo7V8OShw8kJdgrE48hn6TFfttP5Lb&#10;uvpI3DpahIrj170IwNneB7VrqY3MtUglNIXcxLgxaczP72Q//0vWf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6YUgB1QAAAAkBAAAPAAAAAAAAAAEAIAAAACIAAABkcnMvZG93bnJldi54bWxQSwEC&#10;FAAUAAAACACHTuJAWdLsjb4BAABtAwAADgAAAAAAAAABACAAAAAkAQAAZHJzL2Uyb0RvYy54bWxQ&#10;SwUGAAAAAAYABgBZAQAAVAUAAAAA&#10;">
                <v:fill on="f" focussize="0,0"/>
                <v:stroke on="f"/>
                <v:imagedata o:title=""/>
                <o:lock v:ext="edit" aspectratio="f"/>
                <v:textbox>
                  <w:txbxContent>
                    <w:p w14:paraId="59A79F38">
                      <w:pPr>
                        <w:spacing w:line="20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承包人增加或更换施工设备</w:t>
                      </w:r>
                    </w:p>
                  </w:txbxContent>
                </v:textbox>
              </v:shape>
            </w:pict>
          </mc:Fallback>
        </mc:AlternateContent>
      </w:r>
      <w:r>
        <w:rPr>
          <w:rFonts w:hint="default" w:ascii="Times New Roman" w:hAnsi="Times New Roman" w:cs="Times New Roman"/>
          <w:color w:val="auto"/>
          <w:sz w:val="22"/>
          <w:szCs w:val="22"/>
          <w:highlight w:val="none"/>
        </w:rPr>
        <w:t>如果承包人使用的施工设备不能满足合同工程进度计划和（或）质量要求的，监理工程师有权要求承包人增加或更换施工设备，承包人应及时增加或更换，由此增加的费用和（或）延误的工期由承包人承担。</w:t>
      </w:r>
    </w:p>
    <w:p w14:paraId="70DA7FC0">
      <w:pPr>
        <w:pStyle w:val="7"/>
        <w:tabs>
          <w:tab w:val="left" w:pos="540"/>
        </w:tabs>
        <w:adjustRightInd w:val="0"/>
        <w:snapToGrid w:val="0"/>
        <w:spacing w:line="420" w:lineRule="exact"/>
        <w:ind w:firstLine="0"/>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51.4  </w:t>
      </w:r>
      <w:r>
        <w:rPr>
          <w:rFonts w:hint="default" w:ascii="Times New Roman" w:hAnsi="Times New Roman" w:cs="Times New Roman"/>
          <w:b/>
          <w:bCs/>
          <w:color w:val="auto"/>
          <w:sz w:val="22"/>
          <w:szCs w:val="22"/>
          <w:highlight w:val="none"/>
          <w:u w:val="dotted"/>
        </w:rPr>
        <w:t xml:space="preserve">                                                                                                        </w:t>
      </w:r>
    </w:p>
    <w:p w14:paraId="3729AAAB">
      <w:pPr>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运至施工现场的施工设备和在施工现场修建的临时设施，均应视为专门用于实施合同工程。除经监理工程师同意并由其报发包人批准，承包人可根据合同工程进度计划撤走闲置的施工设备</w:t>
      </w: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74304" behindDoc="0" locked="0" layoutInCell="1" allowOverlap="1">
                <wp:simplePos x="0" y="0"/>
                <wp:positionH relativeFrom="column">
                  <wp:posOffset>-114300</wp:posOffset>
                </wp:positionH>
                <wp:positionV relativeFrom="paragraph">
                  <wp:posOffset>46355</wp:posOffset>
                </wp:positionV>
                <wp:extent cx="914400" cy="659130"/>
                <wp:effectExtent l="0" t="0" r="0" b="0"/>
                <wp:wrapNone/>
                <wp:docPr id="216" name="文本框 216"/>
                <wp:cNvGraphicFramePr/>
                <a:graphic xmlns:a="http://schemas.openxmlformats.org/drawingml/2006/main">
                  <a:graphicData uri="http://schemas.microsoft.com/office/word/2010/wordprocessingShape">
                    <wps:wsp>
                      <wps:cNvSpPr txBox="1"/>
                      <wps:spPr>
                        <a:xfrm>
                          <a:off x="0" y="0"/>
                          <a:ext cx="914400" cy="659130"/>
                        </a:xfrm>
                        <a:prstGeom prst="rect">
                          <a:avLst/>
                        </a:prstGeom>
                        <a:noFill/>
                        <a:ln>
                          <a:noFill/>
                        </a:ln>
                        <a:effectLst/>
                      </wps:spPr>
                      <wps:txbx>
                        <w:txbxContent>
                          <w:p w14:paraId="60AB1041">
                            <w:pPr>
                              <w:spacing w:line="20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施工设备和临时设施的使用要求</w:t>
                            </w:r>
                          </w:p>
                        </w:txbxContent>
                      </wps:txbx>
                      <wps:bodyPr wrap="square" upright="1"/>
                    </wps:wsp>
                  </a:graphicData>
                </a:graphic>
              </wp:anchor>
            </w:drawing>
          </mc:Choice>
          <mc:Fallback>
            <w:pict>
              <v:shape id="_x0000_s1026" o:spid="_x0000_s1026" o:spt="202" type="#_x0000_t202" style="position:absolute;left:0pt;margin-left:-9pt;margin-top:3.65pt;height:51.9pt;width:72pt;z-index:251874304;mso-width-relative:page;mso-height-relative:page;" filled="f" stroked="f" coordsize="21600,21600" o:gfxdata="UEsDBAoAAAAAAIdO4kAAAAAAAAAAAAAAAAAEAAAAZHJzL1BLAwQUAAAACACHTuJAOo6pSNUAAAAJ&#10;AQAADwAAAGRycy9kb3ducmV2LnhtbE2PQU/DMAyF70j8h8hI3LakA7ZRmu4A4gpiwCRuXuO1FY1T&#10;Ndla/j3eCXzy07Oev1dsJt+pEw2xDWwhmxtQxFVwLdcWPt6fZ2tQMSE77AKThR+KsCkvLwrMXRj5&#10;jU7bVCsJ4ZijhSalPtc6Vg15jPPQE4t3CIPHJHKotRtwlHDf6YUxS+2xZfnQYE+PDVXf26O38Ply&#10;+Nrdmtf6yd/1Y5iMZn+vrb2+yswDqERT+juGM76gQylM+3BkF1VnYZatpUuysLoBdfYXS9F7WWRA&#10;l4X+36D8BVBLAwQUAAAACACHTuJAppNEL70BAABtAwAADgAAAGRycy9lMm9Eb2MueG1srVPNjtMw&#10;EL4j8Q6W79RJWSo2aroSqpYLAqSFB3CdSWMp/sHjNukLwBtw4sKd5+pzMHayZVkue+DijOfn83zf&#10;TNY3o+nZEQJqZ2teLgrOwCrXaLuv+edPty9ec4ZR2kb2zkLNT4D8ZvP82XrwFSxd5/oGAiMQi9Xg&#10;a97F6CshUHVgJC6cB0vB1gUjI13DXjRBDoRuerEsipUYXGh8cAoQybudgnxGDE8BdG2rFWydOhiw&#10;cUIN0MtIlLDTHvkmd9u2oOKHtkWIrK85MY35pEfI3qVTbNay2gfpO63mFuRTWnjEyUht6dEL1FZG&#10;yQ5B/wNltAoOXRsXyhkxEcmKEIuyeKTNXSc9ZC4kNfqL6Pj/YNX748fAdFPzZbnizEpDIz9//3b+&#10;8ev88ytLTpJo8FhR5p2n3Di+cSMtzr0fyZmYj20w6UucGMVJ4NNFYBgjU+S8Lq+uCoooCq1eXZcv&#10;8wDEn2IfML4FZ1gyah5ofllWeXyHkRqh1PuU9JZ1t7rv8wx7+5eDEicP5CWYqxOPqd9kxXE3zuR2&#10;rjkRt4EWoeb45SADcHbwQe87aiNzFamEppCbmDcmjfnhneyHf8nm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DqOqUjVAAAACQEAAA8AAAAAAAAAAQAgAAAAIgAAAGRycy9kb3ducmV2LnhtbFBLAQIU&#10;ABQAAAAIAIdO4kCmk0QvvQEAAG0DAAAOAAAAAAAAAAEAIAAAACQBAABkcnMvZTJvRG9jLnhtbFBL&#10;BQYAAAAABgAGAFkBAABTBQAAAAA=&#10;">
                <v:fill on="f" focussize="0,0"/>
                <v:stroke on="f"/>
                <v:imagedata o:title=""/>
                <o:lock v:ext="edit" aspectratio="f"/>
                <v:textbox>
                  <w:txbxContent>
                    <w:p w14:paraId="60AB1041">
                      <w:pPr>
                        <w:spacing w:line="20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施工设备和临时设施的使用要求</w:t>
                      </w:r>
                    </w:p>
                  </w:txbxContent>
                </v:textbox>
              </v:shape>
            </w:pict>
          </mc:Fallback>
        </mc:AlternateContent>
      </w:r>
      <w:r>
        <w:rPr>
          <w:rFonts w:hint="default" w:ascii="Times New Roman" w:hAnsi="Times New Roman" w:cs="Times New Roman"/>
          <w:color w:val="auto"/>
          <w:sz w:val="22"/>
          <w:szCs w:val="22"/>
          <w:highlight w:val="none"/>
        </w:rPr>
        <w:t>外，承包人不得将上述施工设备和临时设施中的任何部分运出施工场地或挪作他用。</w:t>
      </w:r>
    </w:p>
    <w:p w14:paraId="5BCA54B3">
      <w:pPr>
        <w:pStyle w:val="15"/>
        <w:tabs>
          <w:tab w:val="left" w:pos="540"/>
        </w:tabs>
        <w:adjustRightInd w:val="0"/>
        <w:snapToGrid w:val="0"/>
        <w:spacing w:before="240" w:beforeLines="100" w:line="420" w:lineRule="exact"/>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0B8C7FF0">
      <w:pPr>
        <w:pStyle w:val="15"/>
        <w:tabs>
          <w:tab w:val="left" w:pos="540"/>
        </w:tabs>
        <w:adjustRightInd w:val="0"/>
        <w:snapToGrid w:val="0"/>
        <w:spacing w:before="240" w:beforeLines="100" w:line="420" w:lineRule="exact"/>
        <w:outlineLvl w:val="2"/>
        <w:rPr>
          <w:rFonts w:hint="default" w:ascii="Times New Roman" w:hAnsi="Times New Roman" w:cs="Times New Roman"/>
          <w:b/>
          <w:bCs/>
          <w:color w:val="auto"/>
          <w:sz w:val="22"/>
          <w:szCs w:val="22"/>
          <w:highlight w:val="none"/>
        </w:rPr>
      </w:pPr>
      <w:bookmarkStart w:id="201" w:name="_Toc469384035"/>
      <w:bookmarkStart w:id="202" w:name="_Toc8610"/>
      <w:r>
        <w:rPr>
          <w:rFonts w:hint="default" w:ascii="Times New Roman" w:hAnsi="Times New Roman" w:cs="Times New Roman"/>
          <w:b/>
          <w:bCs/>
          <w:color w:val="auto"/>
          <w:sz w:val="22"/>
          <w:szCs w:val="22"/>
          <w:highlight w:val="none"/>
        </w:rPr>
        <w:t>★52  工程质量检查</w:t>
      </w:r>
      <w:bookmarkEnd w:id="201"/>
      <w:bookmarkEnd w:id="202"/>
    </w:p>
    <w:p w14:paraId="0E41231F">
      <w:pPr>
        <w:pStyle w:val="7"/>
        <w:adjustRightInd w:val="0"/>
        <w:snapToGrid w:val="0"/>
        <w:spacing w:line="420" w:lineRule="exact"/>
        <w:ind w:firstLine="0"/>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52.1 </w:t>
      </w:r>
    </w:p>
    <w:p w14:paraId="7B6DC77C">
      <w:pPr>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75328" behindDoc="0" locked="0" layoutInCell="1" allowOverlap="1">
                <wp:simplePos x="0" y="0"/>
                <wp:positionH relativeFrom="column">
                  <wp:posOffset>-73660</wp:posOffset>
                </wp:positionH>
                <wp:positionV relativeFrom="paragraph">
                  <wp:posOffset>5715</wp:posOffset>
                </wp:positionV>
                <wp:extent cx="988060" cy="522605"/>
                <wp:effectExtent l="0" t="0" r="0" b="0"/>
                <wp:wrapNone/>
                <wp:docPr id="217" name="文本框 217"/>
                <wp:cNvGraphicFramePr/>
                <a:graphic xmlns:a="http://schemas.openxmlformats.org/drawingml/2006/main">
                  <a:graphicData uri="http://schemas.microsoft.com/office/word/2010/wordprocessingShape">
                    <wps:wsp>
                      <wps:cNvSpPr txBox="1"/>
                      <wps:spPr>
                        <a:xfrm>
                          <a:off x="0" y="0"/>
                          <a:ext cx="988060" cy="522605"/>
                        </a:xfrm>
                        <a:prstGeom prst="rect">
                          <a:avLst/>
                        </a:prstGeom>
                        <a:noFill/>
                        <a:ln>
                          <a:noFill/>
                        </a:ln>
                        <a:effectLst/>
                      </wps:spPr>
                      <wps:txbx>
                        <w:txbxContent>
                          <w:p w14:paraId="1D7E05B0">
                            <w:pPr>
                              <w:spacing w:line="20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承包人对工程</w:t>
                            </w:r>
                          </w:p>
                          <w:p w14:paraId="23ECA088">
                            <w:pPr>
                              <w:spacing w:line="20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质量检查的义</w:t>
                            </w:r>
                          </w:p>
                          <w:p w14:paraId="61B4CD81">
                            <w:pPr>
                              <w:spacing w:line="20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务</w:t>
                            </w:r>
                          </w:p>
                        </w:txbxContent>
                      </wps:txbx>
                      <wps:bodyPr wrap="square" upright="1"/>
                    </wps:wsp>
                  </a:graphicData>
                </a:graphic>
              </wp:anchor>
            </w:drawing>
          </mc:Choice>
          <mc:Fallback>
            <w:pict>
              <v:shape id="_x0000_s1026" o:spid="_x0000_s1026" o:spt="202" type="#_x0000_t202" style="position:absolute;left:0pt;margin-left:-5.8pt;margin-top:0.45pt;height:41.15pt;width:77.8pt;z-index:251875328;mso-width-relative:page;mso-height-relative:page;" filled="f" stroked="f" coordsize="21600,21600" o:gfxdata="UEsDBAoAAAAAAIdO4kAAAAAAAAAAAAAAAAAEAAAAZHJzL1BLAwQUAAAACACHTuJAKbvpUdUAAAAH&#10;AQAADwAAAGRycy9kb3ducmV2LnhtbE2PwW7CMBBE75X4B2uRegM7NEUQsuHQqtdWQFupNxMvSUS8&#10;jmJD0r/HnNrjaEYzb/LtaFtxpd43jhGSuQJBXDrTcIXweXibrUD4oNno1jEh/JKHbTF5yHVm3MA7&#10;uu5DJWIJ+0wj1CF0mZS+rMlqP3cdcfROrrc6RNlX0vR6iOW2lQulltLqhuNCrTt6qak87y8W4ev9&#10;9POdqo/q1T53gxuVZLuWiI/TRG1ABBrDXxju+BEdish0dBc2XrQIsyRZxijCGsTdTtN47YiwelqA&#10;LHL5n7+4AVBLAwQUAAAACACHTuJAH5c4ubwBAABtAwAADgAAAGRycy9lMm9Eb2MueG1srVNLbtsw&#10;EN0X6B0I7mvJAuK6guUAgZFuiqZA2gPQ1MgiIH7KoS35AukNuuqm+57L5+iQUpzfJotsqOF8Hue9&#10;Ga0uB92xA3hU1lR8Pss5AyNtrcyu4j++X39YcoZBmFp01kDFj4D8cv3+3ap3JRS2tV0NnhGIwbJ3&#10;FW9DcGWWoWxBC5xZB4aCjfVaBLr6XVZ70RO67rIizxdZb33tvJWASN7NGOQTon8NoG0aJWFj5V6D&#10;CSOqh04EooStcsjXqdumARlumgYhsK7ixDSkkx4hexvPbL0S5c4L1yo5tSBe08IzTlooQ4+eoTYi&#10;CLb36gWUVtJbtE2YSauzkUhShFjM82fa3LbCQeJCUqM7i45vByu/Hr55puqKF/OPnBmhaeSn379O&#10;f/6d/t6x6CSJeoclZd46yg3DlR1oce79SM7IfGi8jl/ixChOAh/PAsMQmCTnp+UyX1BEUuiiKBb5&#10;RUTJHoqdx/AZrGbRqLin+SVZxeELhjH1PiW+Zey16ro0w848cRDm6IG0BFN15DH2G60wbIeJ3NbW&#10;R+LW0yJUHH/uhQfO9s6rXUttJK5ZLKEppH6njYljfnwn+/Ffsv4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KbvpUdUAAAAHAQAADwAAAAAAAAABACAAAAAiAAAAZHJzL2Rvd25yZXYueG1sUEsBAhQA&#10;FAAAAAgAh07iQB+XOLm8AQAAbQMAAA4AAAAAAAAAAQAgAAAAJAEAAGRycy9lMm9Eb2MueG1sUEsF&#10;BgAAAAAGAAYAWQEAAFIFAAAAAA==&#10;">
                <v:fill on="f" focussize="0,0"/>
                <v:stroke on="f"/>
                <v:imagedata o:title=""/>
                <o:lock v:ext="edit" aspectratio="f"/>
                <v:textbox>
                  <w:txbxContent>
                    <w:p w14:paraId="1D7E05B0">
                      <w:pPr>
                        <w:spacing w:line="20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承包人对工程</w:t>
                      </w:r>
                    </w:p>
                    <w:p w14:paraId="23ECA088">
                      <w:pPr>
                        <w:spacing w:line="20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质量检查的义</w:t>
                      </w:r>
                    </w:p>
                    <w:p w14:paraId="61B4CD81">
                      <w:pPr>
                        <w:spacing w:line="20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务</w:t>
                      </w:r>
                    </w:p>
                  </w:txbxContent>
                </v:textbox>
              </v:shape>
            </w:pict>
          </mc:Fallback>
        </mc:AlternateContent>
      </w:r>
      <w:r>
        <w:rPr>
          <w:rFonts w:hint="default" w:ascii="Times New Roman" w:hAnsi="Times New Roman" w:cs="Times New Roman"/>
          <w:color w:val="auto"/>
          <w:sz w:val="22"/>
          <w:szCs w:val="22"/>
          <w:highlight w:val="none"/>
        </w:rPr>
        <w:t>承包人应按照标准与规范、设计要求以及监理工程师依据合同约定发出的指令施工，确保工程质量，随时接受监理工程师的检查，并为监理工程师的检查（包括监理工程师到施工场地，或合同约定的其他地方察看和查阅施工原始记录等）提供便利和协助。</w:t>
      </w:r>
    </w:p>
    <w:p w14:paraId="4F253678">
      <w:pPr>
        <w:pStyle w:val="7"/>
        <w:tabs>
          <w:tab w:val="left" w:pos="540"/>
        </w:tabs>
        <w:adjustRightInd w:val="0"/>
        <w:snapToGrid w:val="0"/>
        <w:spacing w:line="420" w:lineRule="exact"/>
        <w:ind w:firstLine="0"/>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52.2 </w:t>
      </w:r>
      <w:r>
        <w:rPr>
          <w:rFonts w:hint="default" w:ascii="Times New Roman" w:hAnsi="Times New Roman" w:cs="Times New Roman"/>
          <w:b/>
          <w:bCs/>
          <w:color w:val="auto"/>
          <w:sz w:val="22"/>
          <w:szCs w:val="22"/>
          <w:highlight w:val="none"/>
          <w:u w:val="dotted"/>
        </w:rPr>
        <w:t xml:space="preserve">                                                                                                        </w:t>
      </w:r>
    </w:p>
    <w:p w14:paraId="3B266DC9">
      <w:pPr>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76352" behindDoc="0" locked="0" layoutInCell="1" allowOverlap="1">
                <wp:simplePos x="0" y="0"/>
                <wp:positionH relativeFrom="column">
                  <wp:posOffset>-73660</wp:posOffset>
                </wp:positionH>
                <wp:positionV relativeFrom="paragraph">
                  <wp:posOffset>8890</wp:posOffset>
                </wp:positionV>
                <wp:extent cx="873760" cy="448310"/>
                <wp:effectExtent l="0" t="0" r="0" b="0"/>
                <wp:wrapNone/>
                <wp:docPr id="218" name="文本框 218"/>
                <wp:cNvGraphicFramePr/>
                <a:graphic xmlns:a="http://schemas.openxmlformats.org/drawingml/2006/main">
                  <a:graphicData uri="http://schemas.microsoft.com/office/word/2010/wordprocessingShape">
                    <wps:wsp>
                      <wps:cNvSpPr txBox="1"/>
                      <wps:spPr>
                        <a:xfrm>
                          <a:off x="0" y="0"/>
                          <a:ext cx="873760" cy="448310"/>
                        </a:xfrm>
                        <a:prstGeom prst="rect">
                          <a:avLst/>
                        </a:prstGeom>
                        <a:noFill/>
                        <a:ln>
                          <a:noFill/>
                        </a:ln>
                        <a:effectLst/>
                      </wps:spPr>
                      <wps:txbx>
                        <w:txbxContent>
                          <w:p w14:paraId="2A324F28">
                            <w:pPr>
                              <w:spacing w:line="240" w:lineRule="exact"/>
                              <w:rPr>
                                <w:rFonts w:ascii="楷体_GB2312" w:hAnsi="宋体" w:eastAsia="楷体_GB2312" w:cs="Times New Roman"/>
                                <w:sz w:val="18"/>
                                <w:szCs w:val="18"/>
                              </w:rPr>
                            </w:pPr>
                            <w:r>
                              <w:rPr>
                                <w:rFonts w:hint="eastAsia" w:ascii="楷体_GB2312" w:hAnsi="宋体" w:eastAsia="楷体_GB2312" w:cs="楷体_GB2312"/>
                                <w:b/>
                                <w:bCs/>
                                <w:color w:val="000000"/>
                                <w:sz w:val="18"/>
                                <w:szCs w:val="18"/>
                              </w:rPr>
                              <w:t>工程质量检查的要求</w:t>
                            </w:r>
                          </w:p>
                        </w:txbxContent>
                      </wps:txbx>
                      <wps:bodyPr wrap="square" upright="1"/>
                    </wps:wsp>
                  </a:graphicData>
                </a:graphic>
              </wp:anchor>
            </w:drawing>
          </mc:Choice>
          <mc:Fallback>
            <w:pict>
              <v:shape id="_x0000_s1026" o:spid="_x0000_s1026" o:spt="202" type="#_x0000_t202" style="position:absolute;left:0pt;margin-left:-5.8pt;margin-top:0.7pt;height:35.3pt;width:68.8pt;z-index:251876352;mso-width-relative:page;mso-height-relative:page;" filled="f" stroked="f" coordsize="21600,21600" o:gfxdata="UEsDBAoAAAAAAIdO4kAAAAAAAAAAAAAAAAAEAAAAZHJzL1BLAwQUAAAACACHTuJABGpak9UAAAAI&#10;AQAADwAAAGRycy9kb3ducmV2LnhtbE2PwU7DMBBE70j8g7WVuLV2ohJKiNMDiCuIllbqzY23SdR4&#10;HcVuE/6e7QmOqzeafVOsJ9eJKw6h9aQhWSgQSJW3LdUavrfv8xWIEA1Z03lCDT8YYF3e3xUmt36k&#10;L7xuYi24hEJuNDQx9rmUoWrQmbDwPRKzkx+ciXwOtbSDGbncdTJVKpPOtMQfGtPja4PVeXNxGnYf&#10;p8N+qT7rN/fYj35Sktyz1PphlqgXEBGn+BeGmz6rQ8lOR38hG0SnYZ4kGUcZLEHceJrxtqOGp1SB&#10;LAv5f0D5C1BLAwQUAAAACACHTuJAfwiqur0BAABtAwAADgAAAGRycy9lMm9Eb2MueG1srVNLbtsw&#10;EN0X6B0I7mvZTpAYguUAgZFuiqZA2gPQ1MgiwF85tCVfIL1BV91033P5HB1SivPbZJENNZzP47w3&#10;o+VVbzTbQ0DlbMVnkylnYKWrld1W/Mf3m08LzjAKWwvtLFT8AMivVh8/LDtfwty1TtcQGIFYLDtf&#10;8TZGXxYFyhaMwInzYCnYuGBEpGvYFnUQHaEbXcyn04uic6H2wUlAJO96CPIRMbwF0DWNkrB2cmfA&#10;xgE1gBaRKGGrPPJV7rZpQMbbpkGITFecmMZ80iNkb9JZrJai3AbhWyXHFsRbWnjByQhl6dET1FpE&#10;wXZBvYIySgaHrokT6UwxEMmKEIvZ9IU2d63wkLmQ1OhPouP7wcqv+2+Bqbri8xkN3gpDIz/+/nX8&#10;8+/4954lJ0nUeSwp885TbuyvXU+L8+BHcibmfRNM+hInRnES+HASGPrIJDkXl2eXFxSRFDo/X5zN&#10;8gCKx2IfMH4GZ1gyKh5ofllWsf+CkRqh1IeU9JZ1N0rrPENtnzkocfBAXoKxOvEY+k1W7Df9SG7j&#10;6gNx62gRKo4/dyIAZzsf1LalNjLXIpXQFHIT48akMT+9k/30L1n9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ARqWpPVAAAACAEAAA8AAAAAAAAAAQAgAAAAIgAAAGRycy9kb3ducmV2LnhtbFBLAQIU&#10;ABQAAAAIAIdO4kB/CKq6vQEAAG0DAAAOAAAAAAAAAAEAIAAAACQBAABkcnMvZTJvRG9jLnhtbFBL&#10;BQYAAAAABgAGAFkBAABTBQAAAAA=&#10;">
                <v:fill on="f" focussize="0,0"/>
                <v:stroke on="f"/>
                <v:imagedata o:title=""/>
                <o:lock v:ext="edit" aspectratio="f"/>
                <v:textbox>
                  <w:txbxContent>
                    <w:p w14:paraId="2A324F28">
                      <w:pPr>
                        <w:spacing w:line="240" w:lineRule="exact"/>
                        <w:rPr>
                          <w:rFonts w:ascii="楷体_GB2312" w:hAnsi="宋体" w:eastAsia="楷体_GB2312" w:cs="Times New Roman"/>
                          <w:sz w:val="18"/>
                          <w:szCs w:val="18"/>
                        </w:rPr>
                      </w:pPr>
                      <w:r>
                        <w:rPr>
                          <w:rFonts w:hint="eastAsia" w:ascii="楷体_GB2312" w:hAnsi="宋体" w:eastAsia="楷体_GB2312" w:cs="楷体_GB2312"/>
                          <w:b/>
                          <w:bCs/>
                          <w:color w:val="000000"/>
                          <w:sz w:val="18"/>
                          <w:szCs w:val="18"/>
                        </w:rPr>
                        <w:t>工程质量检查的要求</w:t>
                      </w:r>
                    </w:p>
                  </w:txbxContent>
                </v:textbox>
              </v:shape>
            </w:pict>
          </mc:Fallback>
        </mc:AlternateContent>
      </w:r>
      <w:r>
        <w:rPr>
          <w:rFonts w:hint="default" w:ascii="Times New Roman" w:hAnsi="Times New Roman" w:cs="Times New Roman"/>
          <w:color w:val="auto"/>
          <w:sz w:val="22"/>
          <w:szCs w:val="22"/>
          <w:highlight w:val="none"/>
        </w:rPr>
        <w:t>承包人应按照合同约定对合同工程的所有部位及其施工工艺进行全过程的质量检查，并做好详细记录，编制工程质量报表，提交监理工程师核实并由其报发包人审批。发包人应通知监理工程师及时对合同工程的所有部位及其施工工艺进行检查；发现质量不合格的，监理工程师应迅速向承包人发出书面指令，通知承包人立即拆除和重新施工。即使经监理工程师检查，也不能免除承包人按照合同约定应承担的任何责任和应履行的任何义务。</w:t>
      </w:r>
    </w:p>
    <w:p w14:paraId="581A7AD6">
      <w:pPr>
        <w:adjustRightInd w:val="0"/>
        <w:snapToGrid w:val="0"/>
        <w:spacing w:line="420" w:lineRule="exact"/>
        <w:ind w:left="1619" w:leftChars="771"/>
        <w:rPr>
          <w:rFonts w:hint="default" w:ascii="Times New Roman" w:hAnsi="Times New Roman" w:cs="Times New Roman"/>
          <w:color w:val="auto"/>
          <w:sz w:val="22"/>
          <w:szCs w:val="22"/>
          <w:highlight w:val="none"/>
        </w:rPr>
      </w:pPr>
    </w:p>
    <w:p w14:paraId="2D6B3B7F">
      <w:pPr>
        <w:pStyle w:val="7"/>
        <w:tabs>
          <w:tab w:val="left" w:pos="540"/>
        </w:tabs>
        <w:adjustRightInd w:val="0"/>
        <w:snapToGrid w:val="0"/>
        <w:spacing w:line="420" w:lineRule="exact"/>
        <w:ind w:firstLine="0"/>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52.3 </w:t>
      </w:r>
      <w:r>
        <w:rPr>
          <w:rFonts w:hint="default" w:ascii="Times New Roman" w:hAnsi="Times New Roman" w:cs="Times New Roman"/>
          <w:b/>
          <w:bCs/>
          <w:color w:val="auto"/>
          <w:sz w:val="22"/>
          <w:szCs w:val="22"/>
          <w:highlight w:val="none"/>
          <w:u w:val="dotted"/>
        </w:rPr>
        <w:t xml:space="preserve">                                                                                                        </w:t>
      </w:r>
    </w:p>
    <w:p w14:paraId="1A318939">
      <w:pPr>
        <w:pStyle w:val="7"/>
        <w:adjustRightInd w:val="0"/>
        <w:snapToGrid w:val="0"/>
        <w:spacing w:line="420" w:lineRule="exact"/>
        <w:ind w:left="1619" w:leftChars="771"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77376" behindDoc="0" locked="0" layoutInCell="1" allowOverlap="1">
                <wp:simplePos x="0" y="0"/>
                <wp:positionH relativeFrom="column">
                  <wp:posOffset>-73660</wp:posOffset>
                </wp:positionH>
                <wp:positionV relativeFrom="paragraph">
                  <wp:posOffset>8890</wp:posOffset>
                </wp:positionV>
                <wp:extent cx="873760" cy="659765"/>
                <wp:effectExtent l="0" t="0" r="0" b="0"/>
                <wp:wrapNone/>
                <wp:docPr id="219" name="文本框 219"/>
                <wp:cNvGraphicFramePr/>
                <a:graphic xmlns:a="http://schemas.openxmlformats.org/drawingml/2006/main">
                  <a:graphicData uri="http://schemas.microsoft.com/office/word/2010/wordprocessingShape">
                    <wps:wsp>
                      <wps:cNvSpPr txBox="1"/>
                      <wps:spPr>
                        <a:xfrm>
                          <a:off x="0" y="0"/>
                          <a:ext cx="873760" cy="659765"/>
                        </a:xfrm>
                        <a:prstGeom prst="rect">
                          <a:avLst/>
                        </a:prstGeom>
                        <a:noFill/>
                        <a:ln>
                          <a:noFill/>
                        </a:ln>
                        <a:effectLst/>
                      </wps:spPr>
                      <wps:txbx>
                        <w:txbxContent>
                          <w:p w14:paraId="4D27AFEA">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工程质量不达标准的处理和责任</w:t>
                            </w:r>
                          </w:p>
                        </w:txbxContent>
                      </wps:txbx>
                      <wps:bodyPr wrap="square" upright="1"/>
                    </wps:wsp>
                  </a:graphicData>
                </a:graphic>
              </wp:anchor>
            </w:drawing>
          </mc:Choice>
          <mc:Fallback>
            <w:pict>
              <v:shape id="_x0000_s1026" o:spid="_x0000_s1026" o:spt="202" type="#_x0000_t202" style="position:absolute;left:0pt;margin-left:-5.8pt;margin-top:0.7pt;height:51.95pt;width:68.8pt;z-index:251877376;mso-width-relative:page;mso-height-relative:page;" filled="f" stroked="f" coordsize="21600,21600" o:gfxdata="UEsDBAoAAAAAAIdO4kAAAAAAAAAAAAAAAAAEAAAAZHJzL1BLAwQUAAAACACHTuJAumFIAdUAAAAJ&#10;AQAADwAAAGRycy9kb3ducmV2LnhtbE2PzU7DMBCE70i8g7VI3Fo7pY0gxOkBxBVE+ZG4beNtEhGv&#10;o9htwtuzPcFtR99odqbczr5XJxpjF9hCtjSgiOvgOm4svL89LW5BxYTssA9MFn4owra6vCixcGHi&#10;VzrtUqMkhGOBFtqUhkLrWLfkMS7DQCzsEEaPSeTYaDfiJOG+1ytjcu2xY/nQ4kAPLdXfu6O38PF8&#10;+Ppcm5fm0W+GKcxGs7/T1l5fZeYeVKI5/ZnhXF+qQyWd9uHILqrewiLLcrEKWIM681Uu2/ZymM0N&#10;6KrU/xdUv1BLAwQUAAAACACHTuJAh8fWQ70BAABtAwAADgAAAGRycy9lMm9Eb2MueG1srVNLbtsw&#10;EN0XyB0I7mPZLmInguUAhZFuirRA2gPQ1NAiwF85tCVfIL1BV91033P5HB1Kipummyy6oYbzeZz3&#10;ZrS67axhB4iovav4bDLlDJz0tXa7in/5fHd5zRkm4WphvIOKHwH57frizaoNJcx9400NkRGIw7IN&#10;FW9SCmVRoGzACpz4AI6CykcrEl3jrqijaAndmmI+nS6K1sc6RC8BkbybIchHxPgaQK+UlrDxcm/B&#10;pQE1ghGJKGGjA/J1361SINNHpRASMxUnpqk/6RGyt/ks1itR7qIIjZZjC+I1LbzgZIV29OgZaiOS&#10;YPuo/4GyWkaPXqWJ9LYYiPSKEIvZ9IU2D40I0HMhqTGcRcf/ByvvD58i03XF57MbzpywNPLT92+n&#10;H79OPx9ZdpJEbcCSMh8C5abune9ocZ78SM7MvFPR5i9xYhQngY9ngaFLTJLzevl2uaCIpNDi6ma5&#10;uMooxZ/iEDG9B29ZNioeaX69rOLwAdOQ+pSS33L+ThvTz9C4vxyEOXigX4KxOvMY+s1W6rbdSG7r&#10;6yNxa2kRKo5f9yICZ/sQ9a6hNnquRS6hKfT9jhuTx/z8Tvbzv2T9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LphSAHVAAAACQEAAA8AAAAAAAAAAQAgAAAAIgAAAGRycy9kb3ducmV2LnhtbFBLAQIU&#10;ABQAAAAIAIdO4kCHx9ZDvQEAAG0DAAAOAAAAAAAAAAEAIAAAACQBAABkcnMvZTJvRG9jLnhtbFBL&#10;BQYAAAAABgAGAFkBAABTBQAAAAA=&#10;">
                <v:fill on="f" focussize="0,0"/>
                <v:stroke on="f"/>
                <v:imagedata o:title=""/>
                <o:lock v:ext="edit" aspectratio="f"/>
                <v:textbox>
                  <w:txbxContent>
                    <w:p w14:paraId="4D27AFEA">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工程质量不达标准的处理和责任</w:t>
                      </w:r>
                    </w:p>
                  </w:txbxContent>
                </v:textbox>
              </v:shape>
            </w:pict>
          </mc:Fallback>
        </mc:AlternateContent>
      </w:r>
      <w:r>
        <w:rPr>
          <w:rFonts w:hint="default" w:ascii="Times New Roman" w:hAnsi="Times New Roman" w:cs="Times New Roman"/>
          <w:color w:val="auto"/>
          <w:sz w:val="22"/>
          <w:szCs w:val="22"/>
          <w:highlight w:val="none"/>
        </w:rPr>
        <w:t>发现工程质量达不到合同约定验收标准，承包人应拆除和重新施工，直到符合合同约定验收标准为止。因承包人的原因达不到合同约定验收标准的，由此增加的费用和（或）延误的工期由承包人承担；因发包人的原因达不到合同约定验收标准的，包括承包人拆除和重新施工费用在内的由此增加的费用和（或）延误的工期由发包人承担，并向承包人支付合理利润。</w:t>
      </w:r>
    </w:p>
    <w:p w14:paraId="3BF70568">
      <w:pPr>
        <w:pStyle w:val="7"/>
        <w:tabs>
          <w:tab w:val="left" w:pos="540"/>
        </w:tabs>
        <w:adjustRightInd w:val="0"/>
        <w:snapToGrid w:val="0"/>
        <w:spacing w:line="420" w:lineRule="exact"/>
        <w:ind w:firstLine="0"/>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52.4  </w:t>
      </w:r>
      <w:r>
        <w:rPr>
          <w:rFonts w:hint="default" w:ascii="Times New Roman" w:hAnsi="Times New Roman" w:cs="Times New Roman"/>
          <w:b/>
          <w:bCs/>
          <w:color w:val="auto"/>
          <w:sz w:val="22"/>
          <w:szCs w:val="22"/>
          <w:highlight w:val="none"/>
          <w:u w:val="dotted"/>
        </w:rPr>
        <w:t xml:space="preserve">                                                                                                        </w:t>
      </w:r>
    </w:p>
    <w:p w14:paraId="265D9D3B">
      <w:pPr>
        <w:pStyle w:val="7"/>
        <w:adjustRightInd w:val="0"/>
        <w:snapToGrid w:val="0"/>
        <w:spacing w:line="420" w:lineRule="exact"/>
        <w:ind w:left="1619" w:leftChars="771"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78400" behindDoc="0" locked="0" layoutInCell="1" allowOverlap="1">
                <wp:simplePos x="0" y="0"/>
                <wp:positionH relativeFrom="column">
                  <wp:posOffset>-114300</wp:posOffset>
                </wp:positionH>
                <wp:positionV relativeFrom="paragraph">
                  <wp:posOffset>46355</wp:posOffset>
                </wp:positionV>
                <wp:extent cx="914400" cy="440055"/>
                <wp:effectExtent l="0" t="0" r="0" b="0"/>
                <wp:wrapNone/>
                <wp:docPr id="220" name="文本框 220"/>
                <wp:cNvGraphicFramePr/>
                <a:graphic xmlns:a="http://schemas.openxmlformats.org/drawingml/2006/main">
                  <a:graphicData uri="http://schemas.microsoft.com/office/word/2010/wordprocessingShape">
                    <wps:wsp>
                      <wps:cNvSpPr txBox="1"/>
                      <wps:spPr>
                        <a:xfrm>
                          <a:off x="0" y="0"/>
                          <a:ext cx="914400" cy="440055"/>
                        </a:xfrm>
                        <a:prstGeom prst="rect">
                          <a:avLst/>
                        </a:prstGeom>
                        <a:noFill/>
                        <a:ln>
                          <a:noFill/>
                        </a:ln>
                        <a:effectLst/>
                      </wps:spPr>
                      <wps:txbx>
                        <w:txbxContent>
                          <w:p w14:paraId="691CF335">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质量检查不得影响施工</w:t>
                            </w:r>
                          </w:p>
                        </w:txbxContent>
                      </wps:txbx>
                      <wps:bodyPr wrap="square" upright="1"/>
                    </wps:wsp>
                  </a:graphicData>
                </a:graphic>
              </wp:anchor>
            </w:drawing>
          </mc:Choice>
          <mc:Fallback>
            <w:pict>
              <v:shape id="_x0000_s1026" o:spid="_x0000_s1026" o:spt="202" type="#_x0000_t202" style="position:absolute;left:0pt;margin-left:-9pt;margin-top:3.65pt;height:34.65pt;width:72pt;z-index:251878400;mso-width-relative:page;mso-height-relative:page;" filled="f" stroked="f" coordsize="21600,21600" o:gfxdata="UEsDBAoAAAAAAIdO4kAAAAAAAAAAAAAAAAAEAAAAZHJzL1BLAwQUAAAACACHTuJAjxoYQdQAAAAI&#10;AQAADwAAAGRycy9kb3ducmV2LnhtbE2Py07DMBBF90j8gzVI7NpxCoQS4nQBYguiPCR2bjxNIuJx&#10;FLtN+HumK1ge3dGdc8vN7Ht1pDF2gQ1kSw2KuA6u48bA+9vTYg0qJsvO9oHJwA9F2FTnZ6UtXJj4&#10;lY7b1Cgp4VhYA21KQ4EY65a8jcswEEu2D6O3SXBs0I12knLf40rrHL3tWD60dqCHlurv7cEb+Hje&#10;f31e65fm0d8MU5g1sr9DYy4vMn0PKtGc/o7hpC/qUInTLhzYRdUbWGRr2ZIM3F6BOuWrXHgnnOeA&#10;VYn/B1S/UEsDBBQAAAAIAIdO4kBi8tnXuQEAAG0DAAAOAAAAZHJzL2Uyb0RvYy54bWytU82O0zAQ&#10;viPxDpbvNGm1iyBquhKqlgsCpIUHcJ1xY8l/eNwmfQF4A05cuPNcfQ7GTrYsy2UPXJzx/Hye75vJ&#10;+ma0hh0hovau5ctFzRk46Tvt9i3//On2xSvOMAnXCeMdtPwEyG82z5+th9DAyvfedBAZgThshtDy&#10;PqXQVBXKHqzAhQ/gKKh8tCLRNe6rLoqB0K2pVnX9shp87EL0EhDJu52CfEaMTwH0SmkJWy8PFlya&#10;UCMYkYgS9jog35RulQKZPiiFkJhpOTFN5aRHyN7ls9qsRbOPIvRazi2Ip7TwiJMV2tGjF6itSIId&#10;ov4HymoZPXqVFtLbaiJSFCEWy/qRNne9CFC4kNQYLqLj/4OV748fI9Ndy1cr0sQJSyM/f/92/vHr&#10;/PMry06SaAjYUOZdoNw0vvEjLc69H8mZmY8q2vwlToziBHa6CAxjYpKcr5dXVzVFJIWydX2dUao/&#10;xSFiegvesmy0PNL8iqzi+A7TlHqfkt9y/lYbU2Zo3F8Owpw8UJZgrs48pn6zlcbdOJPb+e5E3AZa&#10;hJbjl4OIwNkhRL3vqY3CtcolNIXS77wxecwP72Q//Es2v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CPGhhB1AAAAAgBAAAPAAAAAAAAAAEAIAAAACIAAABkcnMvZG93bnJldi54bWxQSwECFAAUAAAA&#10;CACHTuJAYvLZ17kBAABtAwAADgAAAAAAAAABACAAAAAjAQAAZHJzL2Uyb0RvYy54bWxQSwUGAAAA&#10;AAYABgBZAQAATgUAAAAA&#10;">
                <v:fill on="f" focussize="0,0"/>
                <v:stroke on="f"/>
                <v:imagedata o:title=""/>
                <o:lock v:ext="edit" aspectratio="f"/>
                <v:textbox>
                  <w:txbxContent>
                    <w:p w14:paraId="691CF335">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质量检查不得影响施工</w:t>
                      </w:r>
                    </w:p>
                  </w:txbxContent>
                </v:textbox>
              </v:shape>
            </w:pict>
          </mc:Fallback>
        </mc:AlternateContent>
      </w:r>
      <w:r>
        <w:rPr>
          <w:rFonts w:hint="default" w:ascii="Times New Roman" w:hAnsi="Times New Roman" w:cs="Times New Roman"/>
          <w:color w:val="auto"/>
          <w:sz w:val="22"/>
          <w:szCs w:val="22"/>
          <w:highlight w:val="none"/>
        </w:rPr>
        <w:t>监理工程师对合同工程质量的检查，不得影响承包人的正常施工。如影响施工正常进行，承包人应向发包人、监理工程师发出书面改正通知；监理工程师应及时予以改正，否则承包人有权提出并得到补偿。</w:t>
      </w:r>
    </w:p>
    <w:p w14:paraId="75FAEC55">
      <w:pPr>
        <w:pStyle w:val="7"/>
        <w:tabs>
          <w:tab w:val="left" w:pos="540"/>
        </w:tabs>
        <w:adjustRightInd w:val="0"/>
        <w:snapToGrid w:val="0"/>
        <w:spacing w:line="420" w:lineRule="exact"/>
        <w:ind w:firstLine="0"/>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52.5  </w:t>
      </w:r>
      <w:r>
        <w:rPr>
          <w:rFonts w:hint="default" w:ascii="Times New Roman" w:hAnsi="Times New Roman" w:cs="Times New Roman"/>
          <w:b/>
          <w:bCs/>
          <w:color w:val="auto"/>
          <w:sz w:val="22"/>
          <w:szCs w:val="22"/>
          <w:highlight w:val="none"/>
          <w:u w:val="dotted"/>
        </w:rPr>
        <w:t xml:space="preserve">                                                                                                        </w:t>
      </w:r>
    </w:p>
    <w:p w14:paraId="0C784F4E">
      <w:pPr>
        <w:pStyle w:val="7"/>
        <w:adjustRightInd w:val="0"/>
        <w:snapToGrid w:val="0"/>
        <w:spacing w:line="420" w:lineRule="exact"/>
        <w:ind w:left="1619" w:leftChars="771"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79424" behindDoc="0" locked="0" layoutInCell="1" allowOverlap="1">
                <wp:simplePos x="0" y="0"/>
                <wp:positionH relativeFrom="column">
                  <wp:posOffset>-114300</wp:posOffset>
                </wp:positionH>
                <wp:positionV relativeFrom="paragraph">
                  <wp:posOffset>46355</wp:posOffset>
                </wp:positionV>
                <wp:extent cx="914400" cy="440055"/>
                <wp:effectExtent l="0" t="0" r="0" b="0"/>
                <wp:wrapNone/>
                <wp:docPr id="221" name="文本框 221"/>
                <wp:cNvGraphicFramePr/>
                <a:graphic xmlns:a="http://schemas.openxmlformats.org/drawingml/2006/main">
                  <a:graphicData uri="http://schemas.microsoft.com/office/word/2010/wordprocessingShape">
                    <wps:wsp>
                      <wps:cNvSpPr txBox="1"/>
                      <wps:spPr>
                        <a:xfrm>
                          <a:off x="0" y="0"/>
                          <a:ext cx="914400" cy="440055"/>
                        </a:xfrm>
                        <a:prstGeom prst="rect">
                          <a:avLst/>
                        </a:prstGeom>
                        <a:noFill/>
                        <a:ln>
                          <a:noFill/>
                        </a:ln>
                        <a:effectLst/>
                      </wps:spPr>
                      <wps:txbx>
                        <w:txbxContent>
                          <w:p w14:paraId="12BFFAC8">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现场工艺试验</w:t>
                            </w:r>
                          </w:p>
                        </w:txbxContent>
                      </wps:txbx>
                      <wps:bodyPr wrap="square" upright="1"/>
                    </wps:wsp>
                  </a:graphicData>
                </a:graphic>
              </wp:anchor>
            </w:drawing>
          </mc:Choice>
          <mc:Fallback>
            <w:pict>
              <v:shape id="_x0000_s1026" o:spid="_x0000_s1026" o:spt="202" type="#_x0000_t202" style="position:absolute;left:0pt;margin-left:-9pt;margin-top:3.65pt;height:34.65pt;width:72pt;z-index:251879424;mso-width-relative:page;mso-height-relative:page;" filled="f" stroked="f" coordsize="21600,21600" o:gfxdata="UEsDBAoAAAAAAIdO4kAAAAAAAAAAAAAAAAAEAAAAZHJzL1BLAwQUAAAACACHTuJAjxoYQdQAAAAI&#10;AQAADwAAAGRycy9kb3ducmV2LnhtbE2Py07DMBBF90j8gzVI7NpxCoQS4nQBYguiPCR2bjxNIuJx&#10;FLtN+HumK1ge3dGdc8vN7Ht1pDF2gQ1kSw2KuA6u48bA+9vTYg0qJsvO9oHJwA9F2FTnZ6UtXJj4&#10;lY7b1Cgp4VhYA21KQ4EY65a8jcswEEu2D6O3SXBs0I12knLf40rrHL3tWD60dqCHlurv7cEb+Hje&#10;f31e65fm0d8MU5g1sr9DYy4vMn0PKtGc/o7hpC/qUInTLhzYRdUbWGRr2ZIM3F6BOuWrXHgnnOeA&#10;VYn/B1S/UEsDBBQAAAAIAIdO4kCQDRsruQEAAG0DAAAOAAAAZHJzL2Uyb0RvYy54bWytU82O0zAQ&#10;viPxDpbvNGm1iyBquhKqlgsCpIUHcJ1xY8l/eNwmfQF4A05cuPNcfQ7GTrYsy2UPXJzx/Hye75vJ&#10;+ma0hh0hovau5ctFzRk46Tvt9i3//On2xSvOMAnXCeMdtPwEyG82z5+th9DAyvfedBAZgThshtDy&#10;PqXQVBXKHqzAhQ/gKKh8tCLRNe6rLoqB0K2pVnX9shp87EL0EhDJu52CfEaMTwH0SmkJWy8PFlya&#10;UCMYkYgS9jog35RulQKZPiiFkJhpOTFN5aRHyN7ls9qsRbOPIvRazi2Ip7TwiJMV2tGjF6itSIId&#10;ov4HymoZPXqVFtLbaiJSFCEWy/qRNne9CFC4kNQYLqLj/4OV748fI9Ndy1erJWdOWBr5+fu3849f&#10;559fWXaSREPAhjLvAuWm8Y0faXHu/UjOzHxU0eYvcWIUJ4FPF4FhTEyS8/Xy6qqmiKRQtq6vM0r1&#10;pzhETG/BW5aNlkeaX5FVHN9hmlLvU/Jbzt9qY8oMjfvLQZiTB8oSzNWZx9RvttK4G2dyO9+diNtA&#10;i9By/HIQETg7hKj3PbVRuFa5hKZQ+p03Jo/54Z3sh3/J5j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CPGhhB1AAAAAgBAAAPAAAAAAAAAAEAIAAAACIAAABkcnMvZG93bnJldi54bWxQSwECFAAUAAAA&#10;CACHTuJAkA0bK7kBAABtAwAADgAAAAAAAAABACAAAAAjAQAAZHJzL2Uyb0RvYy54bWxQSwUGAAAA&#10;AAYABgBZAQAATgUAAAAA&#10;">
                <v:fill on="f" focussize="0,0"/>
                <v:stroke on="f"/>
                <v:imagedata o:title=""/>
                <o:lock v:ext="edit" aspectratio="f"/>
                <v:textbox>
                  <w:txbxContent>
                    <w:p w14:paraId="12BFFAC8">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现场工艺试验</w:t>
                      </w:r>
                    </w:p>
                  </w:txbxContent>
                </v:textbox>
              </v:shape>
            </w:pict>
          </mc:Fallback>
        </mc:AlternateContent>
      </w:r>
      <w:r>
        <w:rPr>
          <w:rFonts w:hint="default" w:ascii="Times New Roman" w:hAnsi="Times New Roman" w:cs="Times New Roman"/>
          <w:color w:val="auto"/>
          <w:sz w:val="22"/>
          <w:szCs w:val="22"/>
          <w:highlight w:val="none"/>
        </w:rPr>
        <w:t>如合同有约定或监理工程师发出书面指令，承包人应进行现场工艺试验。监理工程师报发包人批准后，认为有必要进行大型现场工艺试验的，承包人应根据监理工程师提出的书面要求，编制工艺试验措施计划，提交监理工程师确认并由其报发包人审批。除工程量清单中已经列有此类工作的支付项目和额度外，由此增加的费用和（或）延误的工期由发包人承担。</w:t>
      </w:r>
    </w:p>
    <w:p w14:paraId="455E5F91">
      <w:pPr>
        <w:pStyle w:val="7"/>
        <w:adjustRightInd w:val="0"/>
        <w:snapToGrid w:val="0"/>
        <w:spacing w:line="420" w:lineRule="exact"/>
        <w:ind w:firstLine="0"/>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70AEA16F">
      <w:pPr>
        <w:pStyle w:val="15"/>
        <w:tabs>
          <w:tab w:val="left" w:pos="540"/>
        </w:tabs>
        <w:adjustRightInd w:val="0"/>
        <w:snapToGrid w:val="0"/>
        <w:spacing w:before="240" w:beforeLines="100" w:line="420" w:lineRule="exact"/>
        <w:outlineLvl w:val="2"/>
        <w:rPr>
          <w:rFonts w:hint="default" w:ascii="Times New Roman" w:hAnsi="Times New Roman" w:cs="Times New Roman"/>
          <w:b/>
          <w:bCs/>
          <w:color w:val="auto"/>
          <w:sz w:val="22"/>
          <w:szCs w:val="22"/>
          <w:highlight w:val="none"/>
        </w:rPr>
      </w:pPr>
      <w:bookmarkStart w:id="203" w:name="_Toc448"/>
      <w:bookmarkStart w:id="204" w:name="_Toc469384036"/>
      <w:r>
        <w:rPr>
          <w:rFonts w:hint="default" w:ascii="Times New Roman" w:hAnsi="Times New Roman" w:cs="Times New Roman"/>
          <w:b/>
          <w:bCs/>
          <w:color w:val="auto"/>
          <w:sz w:val="22"/>
          <w:szCs w:val="22"/>
          <w:highlight w:val="none"/>
        </w:rPr>
        <w:t>★53  隐蔽工程和中间验收</w:t>
      </w:r>
      <w:bookmarkEnd w:id="203"/>
      <w:bookmarkEnd w:id="204"/>
    </w:p>
    <w:p w14:paraId="7F712768">
      <w:pPr>
        <w:pStyle w:val="7"/>
        <w:tabs>
          <w:tab w:val="left" w:pos="1320"/>
        </w:tabs>
        <w:adjustRightInd w:val="0"/>
        <w:snapToGrid w:val="0"/>
        <w:spacing w:line="420" w:lineRule="exact"/>
        <w:ind w:firstLine="0"/>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53.1</w:t>
      </w:r>
    </w:p>
    <w:p w14:paraId="5242EF56">
      <w:pPr>
        <w:pStyle w:val="7"/>
        <w:adjustRightInd w:val="0"/>
        <w:snapToGrid w:val="0"/>
        <w:spacing w:line="420" w:lineRule="exact"/>
        <w:ind w:left="1619" w:leftChars="771"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80448" behindDoc="0" locked="0" layoutInCell="1" allowOverlap="1">
                <wp:simplePos x="0" y="0"/>
                <wp:positionH relativeFrom="column">
                  <wp:posOffset>-73660</wp:posOffset>
                </wp:positionH>
                <wp:positionV relativeFrom="paragraph">
                  <wp:posOffset>17780</wp:posOffset>
                </wp:positionV>
                <wp:extent cx="873760" cy="454660"/>
                <wp:effectExtent l="0" t="0" r="0" b="0"/>
                <wp:wrapNone/>
                <wp:docPr id="222" name="文本框 222"/>
                <wp:cNvGraphicFramePr/>
                <a:graphic xmlns:a="http://schemas.openxmlformats.org/drawingml/2006/main">
                  <a:graphicData uri="http://schemas.microsoft.com/office/word/2010/wordprocessingShape">
                    <wps:wsp>
                      <wps:cNvSpPr txBox="1"/>
                      <wps:spPr>
                        <a:xfrm>
                          <a:off x="0" y="0"/>
                          <a:ext cx="873760" cy="454660"/>
                        </a:xfrm>
                        <a:prstGeom prst="rect">
                          <a:avLst/>
                        </a:prstGeom>
                        <a:noFill/>
                        <a:ln>
                          <a:noFill/>
                        </a:ln>
                        <a:effectLst/>
                      </wps:spPr>
                      <wps:txbx>
                        <w:txbxContent>
                          <w:p w14:paraId="257050B9">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隐蔽工程和中间验收的通知</w:t>
                            </w:r>
                          </w:p>
                        </w:txbxContent>
                      </wps:txbx>
                      <wps:bodyPr wrap="square" upright="1"/>
                    </wps:wsp>
                  </a:graphicData>
                </a:graphic>
              </wp:anchor>
            </w:drawing>
          </mc:Choice>
          <mc:Fallback>
            <w:pict>
              <v:shape id="_x0000_s1026" o:spid="_x0000_s1026" o:spt="202" type="#_x0000_t202" style="position:absolute;left:0pt;margin-left:-5.8pt;margin-top:1.4pt;height:35.8pt;width:68.8pt;z-index:251880448;mso-width-relative:page;mso-height-relative:page;" filled="f" stroked="f" coordsize="21600,21600" o:gfxdata="UEsDBAoAAAAAAIdO4kAAAAAAAAAAAAAAAAAEAAAAZHJzL1BLAwQUAAAACACHTuJA6iyA7NQAAAAI&#10;AQAADwAAAGRycy9kb3ducmV2LnhtbE2PQU+DQBCF7yb+h82YeGt3IYiKDD1ovGps1cTbFqZAZGcJ&#10;uy34752e9Dh5L2++r9wsblAnmkLvGSFZG1DEtW96bhHed8+rO1AhWm7s4JkQfijAprq8KG3R+Jnf&#10;6LSNrZIRDoVF6GIcC61D3ZGzYe1HYskOfnI2yjm1upnsLONu0KkxuXa2Z/nQ2ZEeO6q/t0eH8PFy&#10;+PrMzGv75G7G2S9Gs7vXiNdXiXkAFWmJf2U44ws6VMK090dughoQVkmSSxUhFYNznubitke4zTLQ&#10;Van/C1S/UEsDBBQAAAAIAIdO4kBF71CZvQEAAG0DAAAOAAAAZHJzL2Uyb0RvYy54bWytU0tu2zAQ&#10;3RfIHQjuYzpK6gSC5QCFkWyKtkCaA9DUyCIgfsqhLfkC7Q266qb7nsvn6JBS3DTdZNENNZzP47w3&#10;o+XtYDq2h4Da2YpfzOacgVWu1nZb8cfPd+c3nGGUtpads1DxAyC/XZ29Wfa+hMK1rqshMAKxWPa+&#10;4m2MvhQCVQtG4sx5sBRsXDAy0jVsRR1kT+imE8V8vhC9C7UPTgEieddjkE+I4TWArmm0grVTOwM2&#10;jqgBOhmJErbaI1/lbpsGVPzYNAiRdRUnpjGf9AjZm3SK1VKW2yB9q9XUgnxNCy84GaktPXqCWsso&#10;2S7of6CMVsGha+JMOSNGIlkRYnExf6HNQys9ZC4kNfqT6Pj/YNWH/afAdF3xoig4s9LQyI/fvx1/&#10;/Dr+/MqSkyTqPZaU+eApNw7v3ECL8+RHcibmQxNM+hInRnES+HASGIbIFDlvri+vFxRRFLp6e7Ug&#10;m9DFn2IfMN6DMywZFQ80vyyr3L/HOKY+paS3rLvTXZdn2Nm/HIQ5eiAvwVSdeIz9JisOm2Eit3H1&#10;gbj1tAgVxy87GYCznQ9621IbmatIJTSF3O+0MWnMz+9kP/9LV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6iyA7NQAAAAIAQAADwAAAAAAAAABACAAAAAiAAAAZHJzL2Rvd25yZXYueG1sUEsBAhQA&#10;FAAAAAgAh07iQEXvUJm9AQAAbQMAAA4AAAAAAAAAAQAgAAAAIwEAAGRycy9lMm9Eb2MueG1sUEsF&#10;BgAAAAAGAAYAWQEAAFIFAAAAAA==&#10;">
                <v:fill on="f" focussize="0,0"/>
                <v:stroke on="f"/>
                <v:imagedata o:title=""/>
                <o:lock v:ext="edit" aspectratio="f"/>
                <v:textbox>
                  <w:txbxContent>
                    <w:p w14:paraId="257050B9">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隐蔽工程和中间验收的通知</w:t>
                      </w:r>
                    </w:p>
                  </w:txbxContent>
                </v:textbox>
              </v:shape>
            </w:pict>
          </mc:Fallback>
        </mc:AlternateContent>
      </w:r>
      <w:r>
        <w:rPr>
          <w:rFonts w:hint="default" w:ascii="Times New Roman" w:hAnsi="Times New Roman" w:cs="Times New Roman"/>
          <w:color w:val="auto"/>
          <w:sz w:val="22"/>
          <w:szCs w:val="22"/>
          <w:highlight w:val="none"/>
        </w:rPr>
        <w:t>没有经监理工程师验收同意，任何工程均不得覆盖或隐蔽。隐蔽工程覆盖前或中间验收部位具备专用条款约定的验收条件时，承包人应进行自检，并在隐蔽或中间验收前48小时向监理工程师提出隐蔽工程或中间验收申请，通知监理工程师验收。通知的内容包括工程隐蔽或中间验收的内容、时间、地点，以及自检记录和必要的验收资料。承包人应准备验收记录，并提供必要的资料和协助。</w:t>
      </w:r>
    </w:p>
    <w:p w14:paraId="3CCC6777">
      <w:pPr>
        <w:pStyle w:val="7"/>
        <w:tabs>
          <w:tab w:val="left" w:pos="720"/>
        </w:tabs>
        <w:adjustRightInd w:val="0"/>
        <w:snapToGrid w:val="0"/>
        <w:spacing w:line="420" w:lineRule="exact"/>
        <w:ind w:firstLine="0"/>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 xml:space="preserve">53.2 </w:t>
      </w:r>
      <w:r>
        <w:rPr>
          <w:rFonts w:hint="default" w:ascii="Times New Roman" w:hAnsi="Times New Roman" w:cs="Times New Roman"/>
          <w:color w:val="auto"/>
          <w:sz w:val="22"/>
          <w:szCs w:val="22"/>
          <w:highlight w:val="none"/>
        </w:rPr>
        <w:t xml:space="preserve"> </w:t>
      </w:r>
      <w:r>
        <w:rPr>
          <w:rFonts w:hint="default" w:ascii="Times New Roman" w:hAnsi="Times New Roman" w:cs="Times New Roman"/>
          <w:color w:val="auto"/>
          <w:sz w:val="22"/>
          <w:szCs w:val="22"/>
          <w:highlight w:val="none"/>
          <w:u w:val="dotted"/>
        </w:rPr>
        <w:t xml:space="preserve">                                                                               </w:t>
      </w:r>
    </w:p>
    <w:p w14:paraId="52E6651A">
      <w:pPr>
        <w:pStyle w:val="7"/>
        <w:adjustRightInd w:val="0"/>
        <w:snapToGrid w:val="0"/>
        <w:spacing w:line="420" w:lineRule="exact"/>
        <w:ind w:left="1619" w:leftChars="771"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81472" behindDoc="0" locked="0" layoutInCell="1" allowOverlap="1">
                <wp:simplePos x="0" y="0"/>
                <wp:positionH relativeFrom="column">
                  <wp:posOffset>-114300</wp:posOffset>
                </wp:positionH>
                <wp:positionV relativeFrom="paragraph">
                  <wp:posOffset>52070</wp:posOffset>
                </wp:positionV>
                <wp:extent cx="914400" cy="466725"/>
                <wp:effectExtent l="0" t="0" r="0" b="0"/>
                <wp:wrapNone/>
                <wp:docPr id="223" name="文本框 223"/>
                <wp:cNvGraphicFramePr/>
                <a:graphic xmlns:a="http://schemas.openxmlformats.org/drawingml/2006/main">
                  <a:graphicData uri="http://schemas.microsoft.com/office/word/2010/wordprocessingShape">
                    <wps:wsp>
                      <wps:cNvSpPr txBox="1"/>
                      <wps:spPr>
                        <a:xfrm>
                          <a:off x="0" y="0"/>
                          <a:ext cx="914400" cy="466725"/>
                        </a:xfrm>
                        <a:prstGeom prst="rect">
                          <a:avLst/>
                        </a:prstGeom>
                        <a:noFill/>
                        <a:ln>
                          <a:noFill/>
                        </a:ln>
                        <a:effectLst/>
                      </wps:spPr>
                      <wps:txbx>
                        <w:txbxContent>
                          <w:p w14:paraId="4D804092">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参加验收的限制</w:t>
                            </w:r>
                          </w:p>
                        </w:txbxContent>
                      </wps:txbx>
                      <wps:bodyPr wrap="square" upright="1"/>
                    </wps:wsp>
                  </a:graphicData>
                </a:graphic>
              </wp:anchor>
            </w:drawing>
          </mc:Choice>
          <mc:Fallback>
            <w:pict>
              <v:shape id="_x0000_s1026" o:spid="_x0000_s1026" o:spt="202" type="#_x0000_t202" style="position:absolute;left:0pt;margin-left:-9pt;margin-top:4.1pt;height:36.75pt;width:72pt;z-index:251881472;mso-width-relative:page;mso-height-relative:page;" filled="f" stroked="f" coordsize="21600,21600" o:gfxdata="UEsDBAoAAAAAAIdO4kAAAAAAAAAAAAAAAAAEAAAAZHJzL1BLAwQUAAAACACHTuJAXqNPRtUAAAAI&#10;AQAADwAAAGRycy9kb3ducmV2LnhtbE2PwU7DMBBE70j9B2srcWvtRFDSEKeHVlxBtIDUmxtvk4h4&#10;HcVuE/6e7QmOT7OafVNsJteJKw6h9aQhWSoQSJW3LdUaPg4viwxEiIas6Tyhhh8MsClnd4XJrR/p&#10;Ha/7WAsuoZAbDU2MfS5lqBp0Jix9j8TZ2Q/ORMahlnYwI5e7TqZKraQzLfGHxvS4bbD63l+chs/X&#10;8/HrQb3VO/fYj35Sktxaan0/T9QziIhT/DuGmz6rQ8lOJ38hG0SnYZFkvCVqyFIQtzxdMZ+YkyeQ&#10;ZSH/Dyh/AVBLAwQUAAAACACHTuJAoKRlV7wBAABtAwAADgAAAGRycy9lMm9Eb2MueG1srVPNjtMw&#10;EL4j8Q6W79RpKAWipiuhaveyAqSFB3CdSWMp/sHjNukLwBtw4sKd5+pzME7Ssj+XPXBxxvPzeb5v&#10;Jqur3rTsAAG1syWfzzLOwCpXabsr+dcv16/ecYZR2kq2zkLJj4D8av3yxarzBeSucW0FgRGIxaLz&#10;JW9i9IUQqBowEmfOg6Vg7YKRka5hJ6ogO0I3rcizbCk6FyofnAJE8m7GIJ8Qw3MAXV1rBRun9gZs&#10;HFEDtDISJWy0R74euq1rUPFTXSNE1pacmMbhpEfI3qZTrFey2AXpG62mFuRzWnjEyUht6dEL1EZG&#10;yfZBP4EyWgWHro4z5YwYiQyKEIt59kibu0Z6GLiQ1OgvouP/g1UfD58D01XJ8/w1Z1YaGvnp54/T&#10;rz+n399ZcpJEnceCMu885cb+g+tpcc5+JGdi3tfBpC9xYhQngY8XgaGPTJHz/XyxyCiiKLRYLt/m&#10;bxKK+FfsA8YbcIYlo+SB5jfIKg+3GMfUc0p6y7pr3bbDDFv7wEGYoweGJZiqE4+x32TFfttP5Lau&#10;OhK3jhah5PhtLwNwtvdB7xpqY+AqUglNYeh32pg05vt3su//Jeu/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XqNPRtUAAAAIAQAADwAAAAAAAAABACAAAAAiAAAAZHJzL2Rvd25yZXYueG1sUEsBAhQA&#10;FAAAAAgAh07iQKCkZVe8AQAAbQMAAA4AAAAAAAAAAQAgAAAAJAEAAGRycy9lMm9Eb2MueG1sUEsF&#10;BgAAAAAGAAYAWQEAAFIFAAAAAA==&#10;">
                <v:fill on="f" focussize="0,0"/>
                <v:stroke on="f"/>
                <v:imagedata o:title=""/>
                <o:lock v:ext="edit" aspectratio="f"/>
                <v:textbox>
                  <w:txbxContent>
                    <w:p w14:paraId="4D804092">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参加验收的限制</w:t>
                      </w:r>
                    </w:p>
                  </w:txbxContent>
                </v:textbox>
              </v:shape>
            </w:pict>
          </mc:Fallback>
        </mc:AlternateContent>
      </w:r>
      <w:r>
        <w:rPr>
          <w:rFonts w:hint="default" w:ascii="Times New Roman" w:hAnsi="Times New Roman" w:cs="Times New Roman"/>
          <w:color w:val="auto"/>
          <w:sz w:val="22"/>
          <w:szCs w:val="22"/>
          <w:highlight w:val="none"/>
        </w:rPr>
        <w:t>如果监理工程师不能按时参加验收，应至少提前24小时发出延期验收指令并书面说明理由，延期不得超过48小时。如果监理工程师或其委派的代表未发出延期验收指令也未到场验收，承包人可自行验收，并认为该验收是经监理工程师同意下完成的；由此增加的费用和（或）延误的工期由发包人承担，并向承包人支付合理利润。验收完成后，承包人应立即向监理工程师提交验收记录，监理工程师应予认可。监理工程师事后对验收记录有疑问的，可按照第54.1款规定重新验收。</w:t>
      </w:r>
    </w:p>
    <w:p w14:paraId="6BEFCEF4">
      <w:pPr>
        <w:pStyle w:val="7"/>
        <w:tabs>
          <w:tab w:val="left" w:pos="720"/>
        </w:tabs>
        <w:adjustRightInd w:val="0"/>
        <w:snapToGrid w:val="0"/>
        <w:spacing w:line="420" w:lineRule="exact"/>
        <w:ind w:firstLine="0"/>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 xml:space="preserve">53.3 </w:t>
      </w:r>
      <w:r>
        <w:rPr>
          <w:rFonts w:hint="default" w:ascii="Times New Roman" w:hAnsi="Times New Roman" w:cs="Times New Roman"/>
          <w:color w:val="auto"/>
          <w:sz w:val="22"/>
          <w:szCs w:val="22"/>
          <w:highlight w:val="none"/>
        </w:rPr>
        <w:t xml:space="preserve"> </w:t>
      </w:r>
      <w:r>
        <w:rPr>
          <w:rFonts w:hint="default" w:ascii="Times New Roman" w:hAnsi="Times New Roman" w:cs="Times New Roman"/>
          <w:color w:val="auto"/>
          <w:sz w:val="22"/>
          <w:szCs w:val="22"/>
          <w:highlight w:val="none"/>
          <w:u w:val="dotted"/>
        </w:rPr>
        <w:t xml:space="preserve">                                                                              </w:t>
      </w:r>
    </w:p>
    <w:p w14:paraId="0D31C4F4">
      <w:pPr>
        <w:pStyle w:val="7"/>
        <w:tabs>
          <w:tab w:val="left" w:pos="2160"/>
        </w:tabs>
        <w:adjustRightInd w:val="0"/>
        <w:snapToGrid w:val="0"/>
        <w:spacing w:line="420" w:lineRule="exact"/>
        <w:ind w:left="1619" w:leftChars="771"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82496" behindDoc="0" locked="0" layoutInCell="1" allowOverlap="1">
                <wp:simplePos x="0" y="0"/>
                <wp:positionH relativeFrom="column">
                  <wp:posOffset>-114300</wp:posOffset>
                </wp:positionH>
                <wp:positionV relativeFrom="paragraph">
                  <wp:posOffset>3810</wp:posOffset>
                </wp:positionV>
                <wp:extent cx="914400" cy="476250"/>
                <wp:effectExtent l="0" t="0" r="0" b="0"/>
                <wp:wrapNone/>
                <wp:docPr id="224" name="文本框 224"/>
                <wp:cNvGraphicFramePr/>
                <a:graphic xmlns:a="http://schemas.openxmlformats.org/drawingml/2006/main">
                  <a:graphicData uri="http://schemas.microsoft.com/office/word/2010/wordprocessingShape">
                    <wps:wsp>
                      <wps:cNvSpPr txBox="1"/>
                      <wps:spPr>
                        <a:xfrm>
                          <a:off x="0" y="0"/>
                          <a:ext cx="914400" cy="476250"/>
                        </a:xfrm>
                        <a:prstGeom prst="rect">
                          <a:avLst/>
                        </a:prstGeom>
                        <a:noFill/>
                        <a:ln>
                          <a:noFill/>
                        </a:ln>
                        <a:effectLst/>
                      </wps:spPr>
                      <wps:txbx>
                        <w:txbxContent>
                          <w:p w14:paraId="78239C1D">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验收结果的确认</w:t>
                            </w:r>
                          </w:p>
                        </w:txbxContent>
                      </wps:txbx>
                      <wps:bodyPr wrap="square" upright="1"/>
                    </wps:wsp>
                  </a:graphicData>
                </a:graphic>
              </wp:anchor>
            </w:drawing>
          </mc:Choice>
          <mc:Fallback>
            <w:pict>
              <v:shape id="_x0000_s1026" o:spid="_x0000_s1026" o:spt="202" type="#_x0000_t202" style="position:absolute;left:0pt;margin-left:-9pt;margin-top:0.3pt;height:37.5pt;width:72pt;z-index:251882496;mso-width-relative:page;mso-height-relative:page;" filled="f" stroked="f" coordsize="21600,21600" o:gfxdata="UEsDBAoAAAAAAIdO4kAAAAAAAAAAAAAAAAAEAAAAZHJzL1BLAwQUAAAACACHTuJA0kHFrNQAAAAH&#10;AQAADwAAAGRycy9kb3ducmV2LnhtbE2PzU7DMBCE70i8g7VI3Fo7FQ0lZNMDiCuI8iNxc+NtEhGv&#10;o9htwtuzPcFxNKOZb8rt7Ht1ojF2gRGypQFFXAfXcYPw/va02ICKybKzfWBC+KEI2+ryorSFCxO/&#10;0mmXGiUlHAuL0KY0FFrHuiVv4zIMxOIdwuhtEjk22o12knLf65Uxufa2Y1lo7UAPLdXfu6NH+Hg+&#10;fH3emJfm0a+HKcxGs7/TiNdXmbkHlWhOf2E44ws6VMK0D0d2UfUIi2wjXxJCDupsr3KRe4TbdQ66&#10;KvV//uoXUEsDBBQAAAAIAIdO4kDW/4mNvQEAAG0DAAAOAAAAZHJzL2Uyb0RvYy54bWytU82O0zAQ&#10;viPxDpbvNGlUFoiaroSq5YIAadkHcJ1JY8l/eNwmfQF4A05cuPNcfQ7GTrYsy2UPXJzx/Hye75vJ&#10;+no0mh0hoHK24ctFyRlY6Vpl9w2/+3zz4jVnGIVthXYWGn4C5Neb58/Wg6+hcr3TLQRGIBbrwTe8&#10;j9HXRYGyByNw4TxYCnYuGBHpGvZFG8RA6EYXVVleFYMLrQ9OAiJ5t1OQz4jhKYCu65SErZMHAzZO&#10;qAG0iEQJe+WRb3K3XQcyfuw6hMh0w4lpzCc9QvYuncVmLep9EL5Xcm5BPKWFR5yMUJYevUBtRRTs&#10;ENQ/UEbJ4NB1cSGdKSYiWRFisSwfaXPbCw+ZC0mN/iI6/j9Y+eH4KTDVNryqVpxZYWjk5+/fzj9+&#10;nX9+ZclJEg0ea8q89ZQbx7dupMW59yM5E/OxCyZ9iROjOAl8uggMY2SSnG+Wq1VJEUmh1aur6mUe&#10;QPGn2AeM78AZloyGB5pfllUc32OkRij1PiW9Zd2N0jrPUNu/HJQ4eSAvwVydeEz9JiuOu3Emt3Pt&#10;ibgNtAgNxy8HEYCzgw9q31MbmWuRSmgKuYl5Y9KYH97JfviXbH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0kHFrNQAAAAHAQAADwAAAAAAAAABACAAAAAiAAAAZHJzL2Rvd25yZXYueG1sUEsBAhQA&#10;FAAAAAgAh07iQNb/iY29AQAAbQMAAA4AAAAAAAAAAQAgAAAAIwEAAGRycy9lMm9Eb2MueG1sUEsF&#10;BgAAAAAGAAYAWQEAAFIFAAAAAA==&#10;">
                <v:fill on="f" focussize="0,0"/>
                <v:stroke on="f"/>
                <v:imagedata o:title=""/>
                <o:lock v:ext="edit" aspectratio="f"/>
                <v:textbox>
                  <w:txbxContent>
                    <w:p w14:paraId="78239C1D">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验收结果的确认</w:t>
                      </w:r>
                    </w:p>
                  </w:txbxContent>
                </v:textbox>
              </v:shape>
            </w:pict>
          </mc:Fallback>
        </mc:AlternateContent>
      </w:r>
      <w:r>
        <w:rPr>
          <w:rFonts w:hint="default" w:ascii="Times New Roman" w:hAnsi="Times New Roman" w:cs="Times New Roman"/>
          <w:color w:val="auto"/>
          <w:sz w:val="22"/>
          <w:szCs w:val="22"/>
          <w:highlight w:val="none"/>
        </w:rPr>
        <w:t>验收合格的，监理工程师应在验收记录上签字，并形成验收文件，承包人可进行隐蔽或继续施工。验收合格24小时后，监理工程师仍不在验收记录上签字，视为监理工程师已认可验收记录。</w:t>
      </w:r>
    </w:p>
    <w:p w14:paraId="55C15717">
      <w:pPr>
        <w:pStyle w:val="7"/>
        <w:tabs>
          <w:tab w:val="left" w:pos="2160"/>
        </w:tabs>
        <w:adjustRightInd w:val="0"/>
        <w:snapToGrid w:val="0"/>
        <w:spacing w:line="420" w:lineRule="exact"/>
        <w:ind w:left="1619" w:leftChars="771"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验收不合格的，承包人应按照监理工程师的指令修改后重新验收，由此增加的费用和（或）延误的工期由承包人承担。</w:t>
      </w:r>
    </w:p>
    <w:p w14:paraId="63EDEBCD">
      <w:pPr>
        <w:pStyle w:val="7"/>
        <w:tabs>
          <w:tab w:val="left" w:pos="540"/>
        </w:tabs>
        <w:adjustRightInd w:val="0"/>
        <w:snapToGrid w:val="0"/>
        <w:spacing w:line="420" w:lineRule="exact"/>
        <w:ind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83520" behindDoc="0" locked="0" layoutInCell="1" allowOverlap="1">
                <wp:simplePos x="0" y="0"/>
                <wp:positionH relativeFrom="column">
                  <wp:posOffset>-114300</wp:posOffset>
                </wp:positionH>
                <wp:positionV relativeFrom="paragraph">
                  <wp:posOffset>245110</wp:posOffset>
                </wp:positionV>
                <wp:extent cx="914400" cy="396240"/>
                <wp:effectExtent l="0" t="0" r="0" b="0"/>
                <wp:wrapNone/>
                <wp:docPr id="225" name="文本框 225"/>
                <wp:cNvGraphicFramePr/>
                <a:graphic xmlns:a="http://schemas.openxmlformats.org/drawingml/2006/main">
                  <a:graphicData uri="http://schemas.microsoft.com/office/word/2010/wordprocessingShape">
                    <wps:wsp>
                      <wps:cNvSpPr txBox="1"/>
                      <wps:spPr>
                        <a:xfrm>
                          <a:off x="0" y="0"/>
                          <a:ext cx="914400" cy="396240"/>
                        </a:xfrm>
                        <a:prstGeom prst="rect">
                          <a:avLst/>
                        </a:prstGeom>
                        <a:noFill/>
                        <a:ln>
                          <a:noFill/>
                        </a:ln>
                        <a:effectLst/>
                      </wps:spPr>
                      <wps:txbx>
                        <w:txbxContent>
                          <w:p w14:paraId="0F98B18C">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隐蔽工程的拍摄或照相</w:t>
                            </w:r>
                          </w:p>
                        </w:txbxContent>
                      </wps:txbx>
                      <wps:bodyPr wrap="square" upright="1"/>
                    </wps:wsp>
                  </a:graphicData>
                </a:graphic>
              </wp:anchor>
            </w:drawing>
          </mc:Choice>
          <mc:Fallback>
            <w:pict>
              <v:shape id="_x0000_s1026" o:spid="_x0000_s1026" o:spt="202" type="#_x0000_t202" style="position:absolute;left:0pt;margin-left:-9pt;margin-top:19.3pt;height:31.2pt;width:72pt;z-index:251883520;mso-width-relative:page;mso-height-relative:page;" filled="f" stroked="f" coordsize="21600,21600" o:gfxdata="UEsDBAoAAAAAAIdO4kAAAAAAAAAAAAAAAAAEAAAAZHJzL1BLAwQUAAAACACHTuJAUgiystcAAAAK&#10;AQAADwAAAGRycy9kb3ducmV2LnhtbE2PQU/DMAyF70j7D5GRuG1JB1Rd13SHIa6gbYDELWu8tqJx&#10;qiZby7+fd4Kb7ff0/L1iM7lOXHAIrScNyUKBQKq8banW8HF4nWcgQjRkTecJNfxigE05uytMbv1I&#10;O7zsYy04hEJuNDQx9rmUoWrQmbDwPRJrJz84E3kdamkHM3K46+RSqVQ60xJ/aEyP2warn/3Zafh8&#10;O31/Pan3+sU996OflCS3klo/3CdqDSLiFP/McMNndCiZ6ejPZIPoNMyTjLtEDY9ZCuJmWKZ8OPKg&#10;EgWyLOT/CuUVUEsDBBQAAAAIAIdO4kDBgMTlvQEAAG0DAAAOAAAAZHJzL2Uyb0RvYy54bWytU82O&#10;0zAQviPxDpbv1GkoKzZquhKqlgsCpIUHcJ1JYyn+weM26QvAG3Diwp3n6nMwdrJlWS574OKM5+fz&#10;fN9M1jej6dkRAmpna75cFJyBVa7Rdl/zz59uX7zmDKO0jeydhZqfAPnN5vmz9eArKF3n+gYCIxCL&#10;1eBr3sXoKyFQdWAkLpwHS8HWBSMjXcNeNEEOhG56URbFlRhcaHxwChDJu52CfEYMTwF0basVbJ06&#10;GLBxQg3Qy0iUsNMe+SZ327ag4oe2RYisrzkxjfmkR8jepVNs1rLaB+k7reYW5FNaeMTJSG3p0QvU&#10;VkbJDkH/A2W0Cg5dGxfKGTERyYoQi2XxSJu7TnrIXEhq9BfR8f/BqvfHj4HppuZl+YozKw2N/Pz9&#10;2/nHr/PPryw5SaLBY0WZd55y4/jGjbQ4934kZ2I+tsGkL3FiFCeBTxeBYYxMkfN6uVoVFFEUenl9&#10;Va7yAMSfYh8wvgVnWDJqHmh+WVZ5fIeRGqHU+5T0lnW3uu/zDHv7l4MSJw/kJZirE4+p32TFcTfO&#10;5HauORG3gRah5vjlIANwdvBB7ztqI3MVqYSmkJuYNyaN+eGd7Id/yeY3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UgiystcAAAAKAQAADwAAAAAAAAABACAAAAAiAAAAZHJzL2Rvd25yZXYueG1sUEsB&#10;AhQAFAAAAAgAh07iQMGAxOW9AQAAbQMAAA4AAAAAAAAAAQAgAAAAJgEAAGRycy9lMm9Eb2MueG1s&#10;UEsFBgAAAAAGAAYAWQEAAFUFAAAAAA==&#10;">
                <v:fill on="f" focussize="0,0"/>
                <v:stroke on="f"/>
                <v:imagedata o:title=""/>
                <o:lock v:ext="edit" aspectratio="f"/>
                <v:textbox>
                  <w:txbxContent>
                    <w:p w14:paraId="0F98B18C">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隐蔽工程的拍摄或照相</w:t>
                      </w:r>
                    </w:p>
                  </w:txbxContent>
                </v:textbox>
              </v:shape>
            </w:pict>
          </mc:Fallback>
        </mc:AlternateContent>
      </w:r>
      <w:r>
        <w:rPr>
          <w:rFonts w:hint="default" w:ascii="Times New Roman" w:hAnsi="Times New Roman" w:cs="Times New Roman"/>
          <w:b/>
          <w:bCs/>
          <w:color w:val="auto"/>
          <w:sz w:val="22"/>
          <w:szCs w:val="22"/>
          <w:highlight w:val="none"/>
        </w:rPr>
        <w:t xml:space="preserve">53.4 </w:t>
      </w:r>
      <w:r>
        <w:rPr>
          <w:rFonts w:hint="default" w:ascii="Times New Roman" w:hAnsi="Times New Roman" w:cs="Times New Roman"/>
          <w:color w:val="auto"/>
          <w:sz w:val="22"/>
          <w:szCs w:val="22"/>
          <w:highlight w:val="none"/>
        </w:rPr>
        <w:t xml:space="preserve"> </w:t>
      </w:r>
      <w:r>
        <w:rPr>
          <w:rFonts w:hint="default" w:ascii="Times New Roman" w:hAnsi="Times New Roman" w:cs="Times New Roman"/>
          <w:color w:val="auto"/>
          <w:sz w:val="22"/>
          <w:szCs w:val="22"/>
          <w:highlight w:val="none"/>
          <w:u w:val="dotted"/>
        </w:rPr>
        <w:t xml:space="preserve">                                                                                                       </w:t>
      </w:r>
    </w:p>
    <w:p w14:paraId="3A0C4F73">
      <w:pPr>
        <w:pStyle w:val="7"/>
        <w:adjustRightInd w:val="0"/>
        <w:snapToGrid w:val="0"/>
        <w:spacing w:line="420" w:lineRule="exact"/>
        <w:ind w:left="1619" w:leftChars="771"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如监理工程师有指令，承包人应对隐蔽工程进行拍摄或照相，保证监理工程师能充分检查和测量隐蔽的工程。</w:t>
      </w:r>
    </w:p>
    <w:p w14:paraId="6AA889E6">
      <w:pPr>
        <w:pStyle w:val="7"/>
        <w:tabs>
          <w:tab w:val="left" w:pos="540"/>
        </w:tabs>
        <w:adjustRightInd w:val="0"/>
        <w:snapToGrid w:val="0"/>
        <w:spacing w:line="420" w:lineRule="exact"/>
        <w:ind w:firstLine="0"/>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84544" behindDoc="0" locked="0" layoutInCell="1" allowOverlap="1">
                <wp:simplePos x="0" y="0"/>
                <wp:positionH relativeFrom="column">
                  <wp:posOffset>-114300</wp:posOffset>
                </wp:positionH>
                <wp:positionV relativeFrom="paragraph">
                  <wp:posOffset>245110</wp:posOffset>
                </wp:positionV>
                <wp:extent cx="914400" cy="396240"/>
                <wp:effectExtent l="0" t="0" r="0" b="0"/>
                <wp:wrapNone/>
                <wp:docPr id="226" name="文本框 226"/>
                <wp:cNvGraphicFramePr/>
                <a:graphic xmlns:a="http://schemas.openxmlformats.org/drawingml/2006/main">
                  <a:graphicData uri="http://schemas.microsoft.com/office/word/2010/wordprocessingShape">
                    <wps:wsp>
                      <wps:cNvSpPr txBox="1"/>
                      <wps:spPr>
                        <a:xfrm>
                          <a:off x="0" y="0"/>
                          <a:ext cx="914400" cy="396240"/>
                        </a:xfrm>
                        <a:prstGeom prst="rect">
                          <a:avLst/>
                        </a:prstGeom>
                        <a:noFill/>
                        <a:ln>
                          <a:noFill/>
                        </a:ln>
                        <a:effectLst/>
                      </wps:spPr>
                      <wps:txbx>
                        <w:txbxContent>
                          <w:p w14:paraId="61B75996">
                            <w:pPr>
                              <w:spacing w:line="240" w:lineRule="exact"/>
                              <w:rPr>
                                <w:rFonts w:ascii="宋体" w:cs="Times New Roman"/>
                                <w:sz w:val="18"/>
                                <w:szCs w:val="18"/>
                              </w:rPr>
                            </w:pPr>
                            <w:r>
                              <w:rPr>
                                <w:rFonts w:hint="eastAsia" w:ascii="楷体_GB2312" w:hAnsi="宋体" w:eastAsia="楷体_GB2312" w:cs="楷体_GB2312"/>
                                <w:b/>
                                <w:bCs/>
                                <w:color w:val="000000"/>
                                <w:sz w:val="18"/>
                                <w:szCs w:val="18"/>
                              </w:rPr>
                              <w:t>承包人私自隐蔽</w:t>
                            </w:r>
                          </w:p>
                        </w:txbxContent>
                      </wps:txbx>
                      <wps:bodyPr wrap="square" upright="1"/>
                    </wps:wsp>
                  </a:graphicData>
                </a:graphic>
              </wp:anchor>
            </w:drawing>
          </mc:Choice>
          <mc:Fallback>
            <w:pict>
              <v:shape id="_x0000_s1026" o:spid="_x0000_s1026" o:spt="202" type="#_x0000_t202" style="position:absolute;left:0pt;margin-left:-9pt;margin-top:19.3pt;height:31.2pt;width:72pt;z-index:251884544;mso-width-relative:page;mso-height-relative:page;" filled="f" stroked="f" coordsize="21600,21600" o:gfxdata="UEsDBAoAAAAAAIdO4kAAAAAAAAAAAAAAAAAEAAAAZHJzL1BLAwQUAAAACACHTuJAUgiystcAAAAK&#10;AQAADwAAAGRycy9kb3ducmV2LnhtbE2PQU/DMAyF70j7D5GRuG1JB1Rd13SHIa6gbYDELWu8tqJx&#10;qiZby7+fd4Kb7ff0/L1iM7lOXHAIrScNyUKBQKq8banW8HF4nWcgQjRkTecJNfxigE05uytMbv1I&#10;O7zsYy04hEJuNDQx9rmUoWrQmbDwPRJrJz84E3kdamkHM3K46+RSqVQ60xJ/aEyP2warn/3Zafh8&#10;O31/Pan3+sU996OflCS3klo/3CdqDSLiFP/McMNndCiZ6ejPZIPoNMyTjLtEDY9ZCuJmWKZ8OPKg&#10;EgWyLOT/CuUVUEsDBBQAAAAIAIdO4kCWhvI7vQEAAG0DAAAOAAAAZHJzL2Uyb0RvYy54bWytU0tu&#10;2zAQ3RfoHQjua8mqYTSC5QCBkWyCtkDaA9DUyCIgfsqhLfkC7Q266qb7nsvn6JBSnN8mi2yo4Xwe&#10;570ZrS4H3bEDeFTWVHw+yzkDI22tzK7i379df/jEGQZhatFZAxU/AvLL9ft3q96VUNjWdjV4RiAG&#10;y95VvA3BlVmGsgUtcGYdGAo21msR6Op3We1FT+i6y4o8X2a99bXzVgIieTdjkE+I/jWAtmmUhI2V&#10;ew0mjKgeOhGIErbKIV+nbpsGZPjSNAiBdRUnpiGd9AjZ23hm65Uod164VsmpBfGaFp5x0kIZevQM&#10;tRFBsL1XL6C0kt6ibcJMWp2NRJIixGKeP9PmrhUOEheSGt1ZdHw7WPn58NUzVVe8KJacGaFp5Kff&#10;v05//p3+/mTRSRL1DkvKvHOUG4YrO9Di3PuRnJH50Hgdv8SJUZwEPp4FhiEwSc6L+WKRU0RS6OPF&#10;slikAWQPxc5juAGrWTQq7ml+SVZxuMVAjVDqfUp8y9hr1XVphp154qDE0QNpCabqyGPsN1ph2A4T&#10;ua2tj8Stp0WoOP7YCw+c7Z1Xu5baSFyzWEJTSE1MGxPH/PhO9uO/ZP0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UgiystcAAAAKAQAADwAAAAAAAAABACAAAAAiAAAAZHJzL2Rvd25yZXYueG1sUEsB&#10;AhQAFAAAAAgAh07iQJaG8ju9AQAAbQMAAA4AAAAAAAAAAQAgAAAAJgEAAGRycy9lMm9Eb2MueG1s&#10;UEsFBgAAAAAGAAYAWQEAAFUFAAAAAA==&#10;">
                <v:fill on="f" focussize="0,0"/>
                <v:stroke on="f"/>
                <v:imagedata o:title=""/>
                <o:lock v:ext="edit" aspectratio="f"/>
                <v:textbox>
                  <w:txbxContent>
                    <w:p w14:paraId="61B75996">
                      <w:pPr>
                        <w:spacing w:line="240" w:lineRule="exact"/>
                        <w:rPr>
                          <w:rFonts w:ascii="宋体" w:cs="Times New Roman"/>
                          <w:sz w:val="18"/>
                          <w:szCs w:val="18"/>
                        </w:rPr>
                      </w:pPr>
                      <w:r>
                        <w:rPr>
                          <w:rFonts w:hint="eastAsia" w:ascii="楷体_GB2312" w:hAnsi="宋体" w:eastAsia="楷体_GB2312" w:cs="楷体_GB2312"/>
                          <w:b/>
                          <w:bCs/>
                          <w:color w:val="000000"/>
                          <w:sz w:val="18"/>
                          <w:szCs w:val="18"/>
                        </w:rPr>
                        <w:t>承包人私自隐蔽</w:t>
                      </w:r>
                    </w:p>
                  </w:txbxContent>
                </v:textbox>
              </v:shape>
            </w:pict>
          </mc:Fallback>
        </mc:AlternateContent>
      </w:r>
      <w:r>
        <w:rPr>
          <w:rFonts w:hint="default" w:ascii="Times New Roman" w:hAnsi="Times New Roman" w:cs="Times New Roman"/>
          <w:b/>
          <w:bCs/>
          <w:color w:val="auto"/>
          <w:sz w:val="22"/>
          <w:szCs w:val="22"/>
          <w:highlight w:val="none"/>
        </w:rPr>
        <w:t xml:space="preserve">53.5  </w:t>
      </w:r>
      <w:r>
        <w:rPr>
          <w:rFonts w:hint="default" w:ascii="Times New Roman" w:hAnsi="Times New Roman" w:cs="Times New Roman"/>
          <w:b/>
          <w:bCs/>
          <w:color w:val="auto"/>
          <w:sz w:val="22"/>
          <w:szCs w:val="22"/>
          <w:highlight w:val="none"/>
          <w:u w:val="dotted"/>
        </w:rPr>
        <w:t xml:space="preserve">                                                                                                       </w:t>
      </w:r>
    </w:p>
    <w:p w14:paraId="3BE2C427">
      <w:pPr>
        <w:pStyle w:val="7"/>
        <w:adjustRightInd w:val="0"/>
        <w:snapToGrid w:val="0"/>
        <w:spacing w:line="420" w:lineRule="exact"/>
        <w:ind w:left="1619" w:leftChars="771" w:firstLine="0"/>
        <w:rPr>
          <w:rFonts w:hint="default" w:ascii="Times New Roman" w:hAnsi="Times New Roman" w:cs="Times New Roman"/>
          <w:color w:val="auto"/>
          <w:sz w:val="22"/>
          <w:szCs w:val="22"/>
          <w:highlight w:val="none"/>
          <w:u w:val="single"/>
        </w:rPr>
      </w:pPr>
      <w:r>
        <w:rPr>
          <w:rFonts w:hint="default" w:ascii="Times New Roman" w:hAnsi="Times New Roman" w:cs="Times New Roman"/>
          <w:color w:val="auto"/>
          <w:sz w:val="22"/>
          <w:szCs w:val="22"/>
          <w:highlight w:val="none"/>
        </w:rPr>
        <w:t>承包人未通知监理工程师到场验收，私自将隐蔽工程覆盖的，监理工程师有权指令承包人进行钻孔探测或剥露验收，由此增加的费用和（或）延误的工期由承包人承担。</w:t>
      </w:r>
    </w:p>
    <w:p w14:paraId="32CB12EF">
      <w:pPr>
        <w:pStyle w:val="7"/>
        <w:adjustRightInd w:val="0"/>
        <w:snapToGrid w:val="0"/>
        <w:spacing w:line="420" w:lineRule="exact"/>
        <w:ind w:firstLine="0"/>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7CF55282">
      <w:pPr>
        <w:pStyle w:val="15"/>
        <w:tabs>
          <w:tab w:val="left" w:pos="540"/>
        </w:tabs>
        <w:adjustRightInd w:val="0"/>
        <w:snapToGrid w:val="0"/>
        <w:spacing w:before="240" w:beforeLines="100" w:line="420" w:lineRule="exact"/>
        <w:outlineLvl w:val="2"/>
        <w:rPr>
          <w:rFonts w:hint="default" w:ascii="Times New Roman" w:hAnsi="Times New Roman" w:cs="Times New Roman"/>
          <w:b/>
          <w:bCs/>
          <w:color w:val="auto"/>
          <w:sz w:val="22"/>
          <w:szCs w:val="22"/>
          <w:highlight w:val="none"/>
        </w:rPr>
      </w:pPr>
      <w:bookmarkStart w:id="205" w:name="_Toc469384037"/>
      <w:bookmarkStart w:id="206" w:name="_Toc11409"/>
      <w:r>
        <w:rPr>
          <w:rFonts w:hint="default" w:ascii="Times New Roman" w:hAnsi="Times New Roman" w:cs="Times New Roman"/>
          <w:b/>
          <w:bCs/>
          <w:color w:val="auto"/>
          <w:sz w:val="22"/>
          <w:szCs w:val="22"/>
          <w:highlight w:val="none"/>
        </w:rPr>
        <w:t>★54  重新验收和额外检查检验</w:t>
      </w:r>
      <w:bookmarkEnd w:id="205"/>
      <w:bookmarkEnd w:id="206"/>
    </w:p>
    <w:p w14:paraId="38EB892E">
      <w:pPr>
        <w:pStyle w:val="7"/>
        <w:adjustRightInd w:val="0"/>
        <w:snapToGrid w:val="0"/>
        <w:spacing w:line="420" w:lineRule="exact"/>
        <w:ind w:firstLine="0"/>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85568" behindDoc="0" locked="0" layoutInCell="1" allowOverlap="1">
                <wp:simplePos x="0" y="0"/>
                <wp:positionH relativeFrom="column">
                  <wp:posOffset>-114300</wp:posOffset>
                </wp:positionH>
                <wp:positionV relativeFrom="paragraph">
                  <wp:posOffset>246380</wp:posOffset>
                </wp:positionV>
                <wp:extent cx="800100" cy="285750"/>
                <wp:effectExtent l="0" t="0" r="0" b="0"/>
                <wp:wrapNone/>
                <wp:docPr id="227" name="文本框 227"/>
                <wp:cNvGraphicFramePr/>
                <a:graphic xmlns:a="http://schemas.openxmlformats.org/drawingml/2006/main">
                  <a:graphicData uri="http://schemas.microsoft.com/office/word/2010/wordprocessingShape">
                    <wps:wsp>
                      <wps:cNvSpPr txBox="1"/>
                      <wps:spPr>
                        <a:xfrm>
                          <a:off x="0" y="0"/>
                          <a:ext cx="800100" cy="285750"/>
                        </a:xfrm>
                        <a:prstGeom prst="rect">
                          <a:avLst/>
                        </a:prstGeom>
                        <a:noFill/>
                        <a:ln>
                          <a:noFill/>
                        </a:ln>
                        <a:effectLst/>
                      </wps:spPr>
                      <wps:txbx>
                        <w:txbxContent>
                          <w:p w14:paraId="13C9EC3F">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重新验收</w:t>
                            </w:r>
                          </w:p>
                        </w:txbxContent>
                      </wps:txbx>
                      <wps:bodyPr wrap="square" upright="1"/>
                    </wps:wsp>
                  </a:graphicData>
                </a:graphic>
              </wp:anchor>
            </w:drawing>
          </mc:Choice>
          <mc:Fallback>
            <w:pict>
              <v:shape id="_x0000_s1026" o:spid="_x0000_s1026" o:spt="202" type="#_x0000_t202" style="position:absolute;left:0pt;margin-left:-9pt;margin-top:19.4pt;height:22.5pt;width:63pt;z-index:251885568;mso-width-relative:page;mso-height-relative:page;" filled="f" stroked="f" coordsize="21600,21600" o:gfxdata="UEsDBAoAAAAAAIdO4kAAAAAAAAAAAAAAAAAEAAAAZHJzL1BLAwQUAAAACACHTuJArccIW9UAAAAJ&#10;AQAADwAAAGRycy9kb3ducmV2LnhtbE2PTU/DMAyG70j7D5GRdtuSMkCh1N1haFcQ40PiljVeW9E4&#10;VZOt5d+TnuBo+9Xr5ym2k+vEhYbQekbI1goEceVtyzXC+9t+pUGEaNiazjMh/FCAbbm4Kkxu/civ&#10;dDnEWqQSDrlBaGLscylD1ZAzYe174nQ7+cGZmMahlnYwYyp3nbxR6l4603L60Jiedg1V34ezQ/h4&#10;Pn193qqX+snd9aOflGT3IBGX15l6BBFpin9hmPETOpSJ6ejPbIPoEFaZTi4RYaOTwhxQ8+KIoDca&#10;ZFnI/wblL1BLAwQUAAAACACHTuJAae7DprwBAABtAwAADgAAAGRycy9lMm9Eb2MueG1srVNLbtsw&#10;EN0XyB0I7mMqAtIYguUAhZFsgrZA2gPQ1MgiIH7KoS35Au0Nuuqm+57L5+iQUtw03WTRDTWcz+O8&#10;N6PV7Wh6doCA2tmaXy0KzsAq12i7q/nnT3eXS84wStvI3lmo+RGQ364v3qwGX0HpOtc3EBiBWKwG&#10;X/MuRl8JgaoDI3HhPFgKti4YGekadqIJciB004uyKN6KwYXGB6cAkbybKchnxPAaQNe2WsHGqb0B&#10;GyfUAL2MRAk77ZGvc7dtCyp+aFuEyPqaE9OYT3qE7G06xXolq12QvtNqbkG+poUXnIzUlh49Q21k&#10;lGwf9D9QRqvg0LVxoZwRE5GsCLG4Kl5o89hJD5kLSY3+LDr+P1j1/vAxMN3UvCxvOLPS0MhP37+d&#10;fvw6/fzKkpMkGjxWlPnoKTeO79xIi/PkR3Im5mMbTPoSJ0ZxEvh4FhjGyBQ5lwWRpIiiULm8vrnO&#10;AxB/in3AeA/OsGTUPND8sqzy8ICRGqHUp5T0lnV3uu/zDHv7l4MSJw/kJZirE4+p32TFcTvO5Lau&#10;ORK3gRah5vhlLwNwtvdB7zpqI3MVqYSmkJuYNyaN+fmd7Od/yfo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rccIW9UAAAAJAQAADwAAAAAAAAABACAAAAAiAAAAZHJzL2Rvd25yZXYueG1sUEsBAhQA&#10;FAAAAAgAh07iQGnuw6a8AQAAbQMAAA4AAAAAAAAAAQAgAAAAJAEAAGRycy9lMm9Eb2MueG1sUEsF&#10;BgAAAAAGAAYAWQEAAFIFAAAAAA==&#10;">
                <v:fill on="f" focussize="0,0"/>
                <v:stroke on="f"/>
                <v:imagedata o:title=""/>
                <o:lock v:ext="edit" aspectratio="f"/>
                <v:textbox>
                  <w:txbxContent>
                    <w:p w14:paraId="13C9EC3F">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重新验收</w:t>
                      </w:r>
                    </w:p>
                  </w:txbxContent>
                </v:textbox>
              </v:shape>
            </w:pict>
          </mc:Fallback>
        </mc:AlternateContent>
      </w:r>
      <w:r>
        <w:rPr>
          <w:rFonts w:hint="default" w:ascii="Times New Roman" w:hAnsi="Times New Roman" w:cs="Times New Roman"/>
          <w:b/>
          <w:bCs/>
          <w:color w:val="auto"/>
          <w:sz w:val="22"/>
          <w:szCs w:val="22"/>
          <w:highlight w:val="none"/>
        </w:rPr>
        <w:t>54.1</w:t>
      </w:r>
    </w:p>
    <w:p w14:paraId="68E5C069">
      <w:pPr>
        <w:pStyle w:val="7"/>
        <w:adjustRightInd w:val="0"/>
        <w:snapToGrid w:val="0"/>
        <w:spacing w:line="420" w:lineRule="exact"/>
        <w:ind w:left="1619" w:leftChars="771"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当监理工程师对已经覆盖的隐蔽工程有疑问，要求重新验收时，承包人应按照要求对已覆盖的部位进行钻孔探测或剥露，并在验收后重新覆盖恢复原状。验收合格的，由此增加的费用和（或）延误的工期由发包人承担，并向承包人支付合理利润；验收不合格的，承包人应按照监理工程师的指令重新返工，直到验收合格为止，由此增加的费用和（或）延误的工期由承包人承担。</w:t>
      </w:r>
    </w:p>
    <w:p w14:paraId="6B86CD9F">
      <w:pPr>
        <w:pStyle w:val="7"/>
        <w:tabs>
          <w:tab w:val="left" w:pos="540"/>
          <w:tab w:val="left" w:pos="720"/>
        </w:tabs>
        <w:adjustRightInd w:val="0"/>
        <w:snapToGrid w:val="0"/>
        <w:spacing w:line="420" w:lineRule="exact"/>
        <w:ind w:firstLine="0"/>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54.2 </w:t>
      </w:r>
      <w:r>
        <w:rPr>
          <w:rFonts w:hint="default" w:ascii="Times New Roman" w:hAnsi="Times New Roman" w:cs="Times New Roman"/>
          <w:b/>
          <w:bCs/>
          <w:color w:val="auto"/>
          <w:sz w:val="22"/>
          <w:szCs w:val="22"/>
          <w:highlight w:val="none"/>
          <w:u w:val="dotted"/>
        </w:rPr>
        <w:t xml:space="preserve">                                                                                                       </w:t>
      </w:r>
    </w:p>
    <w:p w14:paraId="4089A211">
      <w:pPr>
        <w:pStyle w:val="7"/>
        <w:adjustRightInd w:val="0"/>
        <w:snapToGrid w:val="0"/>
        <w:spacing w:line="420" w:lineRule="exact"/>
        <w:ind w:left="1619" w:leftChars="771"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86592" behindDoc="0" locked="0" layoutInCell="1" allowOverlap="1">
                <wp:simplePos x="0" y="0"/>
                <wp:positionH relativeFrom="column">
                  <wp:posOffset>-114300</wp:posOffset>
                </wp:positionH>
                <wp:positionV relativeFrom="paragraph">
                  <wp:posOffset>7620</wp:posOffset>
                </wp:positionV>
                <wp:extent cx="970280" cy="627380"/>
                <wp:effectExtent l="0" t="0" r="0" b="0"/>
                <wp:wrapNone/>
                <wp:docPr id="228" name="文本框 228"/>
                <wp:cNvGraphicFramePr/>
                <a:graphic xmlns:a="http://schemas.openxmlformats.org/drawingml/2006/main">
                  <a:graphicData uri="http://schemas.microsoft.com/office/word/2010/wordprocessingShape">
                    <wps:wsp>
                      <wps:cNvSpPr txBox="1"/>
                      <wps:spPr>
                        <a:xfrm>
                          <a:off x="0" y="0"/>
                          <a:ext cx="970280" cy="627380"/>
                        </a:xfrm>
                        <a:prstGeom prst="rect">
                          <a:avLst/>
                        </a:prstGeom>
                        <a:noFill/>
                        <a:ln>
                          <a:noFill/>
                        </a:ln>
                        <a:effectLst/>
                      </wps:spPr>
                      <wps:txbx>
                        <w:txbxContent>
                          <w:p w14:paraId="01B289CB">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额外检查检验</w:t>
                            </w:r>
                          </w:p>
                        </w:txbxContent>
                      </wps:txbx>
                      <wps:bodyPr wrap="square" upright="1"/>
                    </wps:wsp>
                  </a:graphicData>
                </a:graphic>
              </wp:anchor>
            </w:drawing>
          </mc:Choice>
          <mc:Fallback>
            <w:pict>
              <v:shape id="_x0000_s1026" o:spid="_x0000_s1026" o:spt="202" type="#_x0000_t202" style="position:absolute;left:0pt;margin-left:-9pt;margin-top:0.6pt;height:49.4pt;width:76.4pt;z-index:251886592;mso-width-relative:page;mso-height-relative:page;" filled="f" stroked="f" coordsize="21600,21600" o:gfxdata="UEsDBAoAAAAAAIdO4kAAAAAAAAAAAAAAAAAEAAAAZHJzL1BLAwQUAAAACACHTuJAwxgWidUAAAAJ&#10;AQAADwAAAGRycy9kb3ducmV2LnhtbE2PwU7DMAyG70i8Q2QkblvSMdBWmu4A4gpiA6TdvMZrKxqn&#10;arK1vD3eCW62Puv39xebyXfqTENsA1vI5gYUcRVcy7WFj93LbAUqJmSHXWCy8EMRNuX1VYG5CyO/&#10;03mbaiUhHHO00KTU51rHqiGPcR56YmHHMHhMsg61dgOOEu47vTDmQXtsWT402NNTQ9X39uQtfL4e&#10;919L81Y/+/t+DJPR7Nfa2tubzDyCSjSlv2O46Is6lOJ0CCd2UXUWZtlKuiQBC1AXfreUKgcZjDGg&#10;y0L/b1D+AlBLAwQUAAAACACHTuJAY/G6xrsBAABtAwAADgAAAGRycy9lMm9Eb2MueG1srVNLbtsw&#10;EN0XyB0I7mMqKpCkguUAhZFuirZA2gPQ1MgiwF85tCVfoL1BV91033P5HB1KivPbZNENNZzP47w3&#10;o+XNYA3bQ0TtXc0vFgVn4JRvtNvW/NvX2/NrzjBJ10jjHdT8AMhvVmdvln2ooPSdNw1ERiAOqz7U&#10;vEspVEKg6sBKXPgAjoKtj1YmusataKLsCd0aURbFpeh9bEL0ChDJu56CfEaMrwH0basVrL3aWXBp&#10;Qo1gZCJK2OmAfDV227ag0ue2RUjM1JyYpvGkR8je5FOslrLaRhk6reYW5GtaeMbJSu3o0RPUWibJ&#10;dlG/gLJaRY++TQvlrZiIjIoQi4vimTZ3nQwwciGpMZxEx/8Hqz7tv0Smm5qXJQ3eSUsjP/76efz9&#10;9/jnB8tOkqgPWFHmXaDcNLz3Ay3OvR/JmZkPbbT5S5wYxUngw0lgGBJT5Hx3VZTXFFEUuiyv3pJN&#10;6OKhOERMH8Bblo2aR5rfKKvcf8Q0pd6n5Lecv9XGjDM07omDMCcPjEswV2ceU7/ZSsNmmMltfHMg&#10;bj0tQs3x+05G4GwXot521MbIVeQSmsLY77wxecyP72Q//ktW/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DGBaJ1QAAAAkBAAAPAAAAAAAAAAEAIAAAACIAAABkcnMvZG93bnJldi54bWxQSwECFAAU&#10;AAAACACHTuJAY/G6xrsBAABtAwAADgAAAAAAAAABACAAAAAkAQAAZHJzL2Uyb0RvYy54bWxQSwUG&#10;AAAAAAYABgBZAQAAUQUAAAAA&#10;">
                <v:fill on="f" focussize="0,0"/>
                <v:stroke on="f"/>
                <v:imagedata o:title=""/>
                <o:lock v:ext="edit" aspectratio="f"/>
                <v:textbox>
                  <w:txbxContent>
                    <w:p w14:paraId="01B289CB">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额外检查检验</w:t>
                      </w:r>
                    </w:p>
                  </w:txbxContent>
                </v:textbox>
              </v:shape>
            </w:pict>
          </mc:Fallback>
        </mc:AlternateContent>
      </w:r>
      <w:r>
        <w:rPr>
          <w:rFonts w:hint="default" w:ascii="Times New Roman" w:hAnsi="Times New Roman" w:cs="Times New Roman"/>
          <w:color w:val="auto"/>
          <w:sz w:val="22"/>
          <w:szCs w:val="22"/>
          <w:highlight w:val="none"/>
        </w:rPr>
        <w:t>当监理工程师指令承包人进行合同中没有约定的检查检验，以核实合同工程某一部位或某种材料和工程设备等产品是否有缺陷时，承包人应按照要求进行检查检验。存在缺陷的，分别按照第50.5款、第52.3款规定处理；没有缺陷的，检查检验的费用和（或）延误的工期由发包人承担，并向承包人支付合理利润。</w:t>
      </w:r>
    </w:p>
    <w:p w14:paraId="20D51C70">
      <w:pPr>
        <w:adjustRightInd w:val="0"/>
        <w:snapToGrid w:val="0"/>
        <w:spacing w:line="420" w:lineRule="exact"/>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395FCD43">
      <w:pPr>
        <w:pStyle w:val="15"/>
        <w:tabs>
          <w:tab w:val="left" w:pos="540"/>
        </w:tabs>
        <w:adjustRightInd w:val="0"/>
        <w:snapToGrid w:val="0"/>
        <w:spacing w:before="240" w:beforeLines="100" w:line="420" w:lineRule="exact"/>
        <w:outlineLvl w:val="2"/>
        <w:rPr>
          <w:rFonts w:hint="default" w:ascii="Times New Roman" w:hAnsi="Times New Roman" w:cs="Times New Roman"/>
          <w:b/>
          <w:bCs/>
          <w:color w:val="auto"/>
          <w:sz w:val="22"/>
          <w:szCs w:val="22"/>
          <w:highlight w:val="none"/>
        </w:rPr>
      </w:pPr>
      <w:bookmarkStart w:id="207" w:name="_Toc469384038"/>
      <w:bookmarkStart w:id="208" w:name="_Toc6609"/>
      <w:r>
        <w:rPr>
          <w:rFonts w:hint="default" w:ascii="Times New Roman" w:hAnsi="Times New Roman" w:cs="Times New Roman"/>
          <w:b/>
          <w:bCs/>
          <w:color w:val="auto"/>
          <w:sz w:val="22"/>
          <w:szCs w:val="22"/>
          <w:highlight w:val="none"/>
        </w:rPr>
        <w:t>55  工程试车</w:t>
      </w:r>
      <w:bookmarkEnd w:id="207"/>
      <w:bookmarkEnd w:id="208"/>
    </w:p>
    <w:p w14:paraId="6BA60A95">
      <w:pPr>
        <w:adjustRightInd w:val="0"/>
        <w:snapToGrid w:val="0"/>
        <w:spacing w:line="420" w:lineRule="exact"/>
        <w:ind w:left="-2" w:leftChars="-1" w:firstLine="1"/>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55.1 </w:t>
      </w:r>
    </w:p>
    <w:p w14:paraId="7478DFA7">
      <w:pPr>
        <w:adjustRightInd w:val="0"/>
        <w:snapToGrid w:val="0"/>
        <w:spacing w:line="420" w:lineRule="exact"/>
        <w:ind w:left="162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87616" behindDoc="0" locked="0" layoutInCell="1" allowOverlap="1">
                <wp:simplePos x="0" y="0"/>
                <wp:positionH relativeFrom="column">
                  <wp:posOffset>-114300</wp:posOffset>
                </wp:positionH>
                <wp:positionV relativeFrom="paragraph">
                  <wp:posOffset>16510</wp:posOffset>
                </wp:positionV>
                <wp:extent cx="800100" cy="297180"/>
                <wp:effectExtent l="0" t="0" r="0" b="0"/>
                <wp:wrapNone/>
                <wp:docPr id="229" name="文本框 229"/>
                <wp:cNvGraphicFramePr/>
                <a:graphic xmlns:a="http://schemas.openxmlformats.org/drawingml/2006/main">
                  <a:graphicData uri="http://schemas.microsoft.com/office/word/2010/wordprocessingShape">
                    <wps:wsp>
                      <wps:cNvSpPr txBox="1"/>
                      <wps:spPr>
                        <a:xfrm>
                          <a:off x="0" y="0"/>
                          <a:ext cx="800100" cy="297180"/>
                        </a:xfrm>
                        <a:prstGeom prst="rect">
                          <a:avLst/>
                        </a:prstGeom>
                        <a:noFill/>
                        <a:ln>
                          <a:noFill/>
                        </a:ln>
                        <a:effectLst/>
                      </wps:spPr>
                      <wps:txbx>
                        <w:txbxContent>
                          <w:p w14:paraId="6A194863">
                            <w:pPr>
                              <w:rPr>
                                <w:rFonts w:ascii="楷体_GB2312" w:hAnsi="宋体" w:eastAsia="楷体_GB2312" w:cs="Times New Roman"/>
                                <w:sz w:val="18"/>
                                <w:szCs w:val="18"/>
                              </w:rPr>
                            </w:pPr>
                            <w:r>
                              <w:rPr>
                                <w:rFonts w:hint="eastAsia" w:ascii="楷体_GB2312" w:hAnsi="宋体" w:eastAsia="楷体_GB2312" w:cs="楷体_GB2312"/>
                                <w:b/>
                                <w:bCs/>
                                <w:color w:val="000000"/>
                                <w:sz w:val="18"/>
                                <w:szCs w:val="18"/>
                              </w:rPr>
                              <w:t>试车内容</w:t>
                            </w:r>
                          </w:p>
                        </w:txbxContent>
                      </wps:txbx>
                      <wps:bodyPr wrap="square" upright="1"/>
                    </wps:wsp>
                  </a:graphicData>
                </a:graphic>
              </wp:anchor>
            </w:drawing>
          </mc:Choice>
          <mc:Fallback>
            <w:pict>
              <v:shape id="_x0000_s1026" o:spid="_x0000_s1026" o:spt="202" type="#_x0000_t202" style="position:absolute;left:0pt;margin-left:-9pt;margin-top:1.3pt;height:23.4pt;width:63pt;z-index:251887616;mso-width-relative:page;mso-height-relative:page;" filled="f" stroked="f" coordsize="21600,21600" o:gfxdata="UEsDBAoAAAAAAIdO4kAAAAAAAAAAAAAAAAAEAAAAZHJzL1BLAwQUAAAACACHTuJA8Heyv9QAAAAI&#10;AQAADwAAAGRycy9kb3ducmV2LnhtbE2PwW7CMBBE75X6D9ZW6g3soBRByIYDqNdWpS0SNxMvSUS8&#10;jmJD0r+vc2qPoxnNvMm3o23FnXrfOEZI5goEcelMwxXC1+frbAXCB81Gt44J4Yc8bIvHh1xnxg38&#10;QfdDqEQsYZ9phDqELpPSlzVZ7eeuI47exfVWhyj7SppeD7HctnKh1FJa3XBcqHVHu5rK6+FmEb7f&#10;Lqdjqt6rvX3pBjcqyXYtEZ+fErUBEWgMf2GY8CM6FJHp7G5svGgRZskqfgkIiyWIyVeTPiOk6xRk&#10;kcv/B4pfUEsDBBQAAAAIAIdO4kAUTfoIvAEAAG0DAAAOAAAAZHJzL2Uyb0RvYy54bWytU0tu2zAQ&#10;3RfoHQjua8patI5gOUBgpJuiLZD2ADQ1sgiIn3JoS75Ae4Ouuum+5/I5OqQUJ003WWRDDefzOO/N&#10;aH09mp4dIaB2tubLRcEZWOUabfc1//rl9s2KM4zSNrJ3Fmp+AuTXm9ev1oOvoHSd6xsIjEAsVoOv&#10;eRejr4RA1YGRuHAeLAVbF4yMdA170QQ5ELrpRVkUb8XgQuODU4BI3u0U5DNieA6ga1utYOvUwYCN&#10;E2qAXkaihJ32yDe527YFFT+1LUJkfc2JacwnPUL2Lp1is5bVPkjfaTW3IJ/TwhNORmpLj16gtjJK&#10;dgj6PyijVXDo2rhQzoiJSFaEWCyLJ9rcddJD5kJSo7+Iji8Hqz4ePwemm5qX5RVnVhoa+fnnj/Ov&#10;P+ff31lykkSDx4oy7zzlxvHGjbQ4934kZ2I+tsGkL3FiFCeBTxeBYYxMkXNVEEmKKAqVV++WqzwA&#10;8VDsA8b34AxLRs0DzS/LKo8fMFIjlHqfkt6y7lb3fZ5hb/9xUOLkgbwEc3XiMfWbrDjuxpnczjUn&#10;4jbQItQcvx1kAM4OPuh9R21kriKV0BRyE/PGpDE/vpP9+C/Z/AV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wd7K/1AAAAAgBAAAPAAAAAAAAAAEAIAAAACIAAABkcnMvZG93bnJldi54bWxQSwECFAAU&#10;AAAACACHTuJAFE36CLwBAABtAwAADgAAAAAAAAABACAAAAAjAQAAZHJzL2Uyb0RvYy54bWxQSwUG&#10;AAAAAAYABgBZAQAAUQUAAAAA&#10;">
                <v:fill on="f" focussize="0,0"/>
                <v:stroke on="f"/>
                <v:imagedata o:title=""/>
                <o:lock v:ext="edit" aspectratio="f"/>
                <v:textbox>
                  <w:txbxContent>
                    <w:p w14:paraId="6A194863">
                      <w:pPr>
                        <w:rPr>
                          <w:rFonts w:ascii="楷体_GB2312" w:hAnsi="宋体" w:eastAsia="楷体_GB2312" w:cs="Times New Roman"/>
                          <w:sz w:val="18"/>
                          <w:szCs w:val="18"/>
                        </w:rPr>
                      </w:pPr>
                      <w:r>
                        <w:rPr>
                          <w:rFonts w:hint="eastAsia" w:ascii="楷体_GB2312" w:hAnsi="宋体" w:eastAsia="楷体_GB2312" w:cs="楷体_GB2312"/>
                          <w:b/>
                          <w:bCs/>
                          <w:color w:val="000000"/>
                          <w:sz w:val="18"/>
                          <w:szCs w:val="18"/>
                        </w:rPr>
                        <w:t>试车内容</w:t>
                      </w:r>
                    </w:p>
                  </w:txbxContent>
                </v:textbox>
              </v:shape>
            </w:pict>
          </mc:Fallback>
        </mc:AlternateContent>
      </w:r>
      <w:r>
        <w:rPr>
          <w:rFonts w:hint="default" w:ascii="Times New Roman" w:hAnsi="Times New Roman" w:cs="Times New Roman"/>
          <w:color w:val="auto"/>
          <w:sz w:val="22"/>
          <w:szCs w:val="22"/>
          <w:highlight w:val="none"/>
        </w:rPr>
        <w:t>按照合同约定需要试车的，试车的内容应与承包人承包的安装范围相一致。</w:t>
      </w:r>
    </w:p>
    <w:p w14:paraId="1DD74A0B">
      <w:pPr>
        <w:tabs>
          <w:tab w:val="left" w:pos="540"/>
        </w:tabs>
        <w:adjustRightInd w:val="0"/>
        <w:snapToGrid w:val="0"/>
        <w:spacing w:line="420" w:lineRule="exact"/>
        <w:rPr>
          <w:rFonts w:hint="default" w:ascii="Times New Roman" w:hAnsi="Times New Roman" w:cs="Times New Roman"/>
          <w:b/>
          <w:bCs/>
          <w:color w:val="auto"/>
          <w:sz w:val="22"/>
          <w:szCs w:val="22"/>
          <w:highlight w:val="none"/>
          <w:u w:val="dotted"/>
        </w:rPr>
      </w:pPr>
      <w:r>
        <w:rPr>
          <w:rFonts w:hint="default" w:ascii="Times New Roman" w:hAnsi="Times New Roman" w:cs="Times New Roman"/>
          <w:b/>
          <w:bCs/>
          <w:color w:val="auto"/>
          <w:sz w:val="22"/>
          <w:szCs w:val="22"/>
          <w:highlight w:val="none"/>
        </w:rPr>
        <w:t xml:space="preserve">55.2  </w:t>
      </w:r>
      <w:r>
        <w:rPr>
          <w:rFonts w:hint="default" w:ascii="Times New Roman" w:hAnsi="Times New Roman" w:cs="Times New Roman"/>
          <w:b/>
          <w:bCs/>
          <w:color w:val="auto"/>
          <w:sz w:val="22"/>
          <w:szCs w:val="22"/>
          <w:highlight w:val="none"/>
          <w:u w:val="dotted"/>
        </w:rPr>
        <w:t xml:space="preserve">                                                                                                        </w:t>
      </w:r>
    </w:p>
    <w:p w14:paraId="3D9E6D40">
      <w:pPr>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88640" behindDoc="0" locked="0" layoutInCell="1" allowOverlap="1">
                <wp:simplePos x="0" y="0"/>
                <wp:positionH relativeFrom="column">
                  <wp:posOffset>-114300</wp:posOffset>
                </wp:positionH>
                <wp:positionV relativeFrom="paragraph">
                  <wp:posOffset>3175</wp:posOffset>
                </wp:positionV>
                <wp:extent cx="914400" cy="469265"/>
                <wp:effectExtent l="0" t="0" r="0" b="0"/>
                <wp:wrapNone/>
                <wp:docPr id="230" name="文本框 230"/>
                <wp:cNvGraphicFramePr/>
                <a:graphic xmlns:a="http://schemas.openxmlformats.org/drawingml/2006/main">
                  <a:graphicData uri="http://schemas.microsoft.com/office/word/2010/wordprocessingShape">
                    <wps:wsp>
                      <wps:cNvSpPr txBox="1"/>
                      <wps:spPr>
                        <a:xfrm>
                          <a:off x="0" y="0"/>
                          <a:ext cx="914400" cy="469265"/>
                        </a:xfrm>
                        <a:prstGeom prst="rect">
                          <a:avLst/>
                        </a:prstGeom>
                        <a:noFill/>
                        <a:ln>
                          <a:noFill/>
                        </a:ln>
                        <a:effectLst/>
                      </wps:spPr>
                      <wps:txbx>
                        <w:txbxContent>
                          <w:p w14:paraId="46677ED8">
                            <w:pPr>
                              <w:jc w:val="lef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单机试车的通知和限制</w:t>
                            </w:r>
                          </w:p>
                        </w:txbxContent>
                      </wps:txbx>
                      <wps:bodyPr wrap="square" upright="1"/>
                    </wps:wsp>
                  </a:graphicData>
                </a:graphic>
              </wp:anchor>
            </w:drawing>
          </mc:Choice>
          <mc:Fallback>
            <w:pict>
              <v:shape id="_x0000_s1026" o:spid="_x0000_s1026" o:spt="202" type="#_x0000_t202" style="position:absolute;left:0pt;margin-left:-9pt;margin-top:0.25pt;height:36.95pt;width:72pt;z-index:251888640;mso-width-relative:page;mso-height-relative:page;" filled="f" stroked="f" coordsize="21600,21600" o:gfxdata="UEsDBAoAAAAAAIdO4kAAAAAAAAAAAAAAAAAEAAAAZHJzL1BLAwQUAAAACACHTuJAmwf22dQAAAAH&#10;AQAADwAAAGRycy9kb3ducmV2LnhtbE2PzU7DMBCE70i8g7VI3Fo7VfoXsumhFVcQbUHqzY23SUS8&#10;jmK3CW+Pe4LjaEYz3+Sb0bbiRr1vHCMkUwWCuHSm4QrheHidrED4oNno1jEh/JCHTfH4kOvMuIE/&#10;6LYPlYgl7DONUIfQZVL6siar/dR1xNG7uN7qEGVfSdPrIZbbVs6UWkirG44Lte5oW1P5vb9ahM+3&#10;y+krVe/Vzs67wY1Ksl1LxOenRL2ACDSGvzDc8SM6FJHp7K5svGgRJskqfgkIcxB3e7aI8oywTFOQ&#10;RS7/8xe/UEsDBBQAAAAIAIdO4kAa3+bevAEAAG0DAAAOAAAAZHJzL2Uyb0RvYy54bWytU82O0zAQ&#10;viPxDpbv1GkpFRs1XWlVLRcESAsP4DqTxpL/8LhN+gLwBpy4cOe5+hyMk2xZlsse9uKM5+fzfN9M&#10;1te9NewIEbV3FZ/PCs7AKV9rt6/4l8+3r95yhkm6WhrvoOInQH69efli3YUSFr71pobICMRh2YWK&#10;tymFUghULViJMx/AUbDx0cpE17gXdZQdoVsjFkWxEp2PdYheASJ5t2OQT4jxKYC+abSCrVcHCy6N&#10;qBGMTEQJWx2Qb4ZumwZU+tg0CImZihPTNJz0CNm7fIrNWpb7KEOr1dSCfEoLjzhZqR09eoHayiTZ&#10;Ier/oKxW0aNv0kx5K0YigyLEYl480uaulQEGLiQ1hovo+Hyw6sPxU2S6rvjiNWnipKWRn398P//8&#10;ff71jWUnSdQFLCnzLlBu6m98T4tz70dyZuZ9E23+EidGcQI7XQSGPjFFzqv5cllQRFFoubparN5k&#10;FPG3OERM78Bblo2KR5rfIKs8vsc0pt6n5Lecv9XGDDM07h8HYY4eGJZgqs48xn6zlfpdP5Hb+fpE&#10;3DpahIrj14OMwNkhRL1vqY2Bq8glNIWh32lj8pgf3sl++Jds/g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CbB/bZ1AAAAAcBAAAPAAAAAAAAAAEAIAAAACIAAABkcnMvZG93bnJldi54bWxQSwECFAAU&#10;AAAACACHTuJAGt/m3rwBAABtAwAADgAAAAAAAAABACAAAAAjAQAAZHJzL2Uyb0RvYy54bWxQSwUG&#10;AAAAAAYABgBZAQAAUQUAAAAA&#10;">
                <v:fill on="f" focussize="0,0"/>
                <v:stroke on="f"/>
                <v:imagedata o:title=""/>
                <o:lock v:ext="edit" aspectratio="f"/>
                <v:textbox>
                  <w:txbxContent>
                    <w:p w14:paraId="46677ED8">
                      <w:pPr>
                        <w:jc w:val="lef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单机试车的通知和限制</w:t>
                      </w:r>
                    </w:p>
                  </w:txbxContent>
                </v:textbox>
              </v:shape>
            </w:pict>
          </mc:Fallback>
        </mc:AlternateContent>
      </w:r>
      <w:r>
        <w:rPr>
          <w:rFonts w:hint="default" w:ascii="Times New Roman" w:hAnsi="Times New Roman" w:cs="Times New Roman"/>
          <w:color w:val="auto"/>
          <w:sz w:val="22"/>
          <w:szCs w:val="22"/>
          <w:highlight w:val="none"/>
        </w:rPr>
        <w:t>设备安装工程具备单机无负荷试车条件时，承包人应组织试车，并在试车前48小时以书面形式通知监理工程师。通知包括试车内容、时间和地点。承包人应自行准备试车记录，发包人应为承包人试车提供便利和协助。</w:t>
      </w:r>
    </w:p>
    <w:p w14:paraId="35F9D290">
      <w:pPr>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监理工程师不能按时参加试车的，应在开始试车前至少提前24小时发出延期试车指令并书面说明理由，延期不能超过48小时。监理工程师未发出延期试车指令也未能按时参加试车的，承包人可自行试车，并认为试车是经监理工程师同意下完成的。试车完成后，承包人应立即向监理工程师提交试车记录，监理工程师应予认可。</w:t>
      </w:r>
    </w:p>
    <w:p w14:paraId="08BB80AA">
      <w:pPr>
        <w:adjustRightInd w:val="0"/>
        <w:snapToGrid w:val="0"/>
        <w:spacing w:line="420" w:lineRule="exact"/>
        <w:rPr>
          <w:rFonts w:hint="default" w:ascii="Times New Roman" w:hAnsi="Times New Roman" w:cs="Times New Roman"/>
          <w:color w:val="auto"/>
          <w:sz w:val="22"/>
          <w:szCs w:val="22"/>
          <w:highlight w:val="none"/>
          <w:u w:val="dotted"/>
        </w:rPr>
      </w:pPr>
      <w:r>
        <w:rPr>
          <w:rFonts w:hint="default" w:ascii="Times New Roman" w:hAnsi="Times New Roman" w:cs="Times New Roman"/>
          <w:b/>
          <w:bCs/>
          <w:color w:val="auto"/>
          <w:sz w:val="22"/>
          <w:szCs w:val="22"/>
          <w:highlight w:val="none"/>
        </w:rPr>
        <w:t xml:space="preserve">55.3 </w:t>
      </w:r>
      <w:r>
        <w:rPr>
          <w:rFonts w:hint="default" w:ascii="Times New Roman" w:hAnsi="Times New Roman" w:cs="Times New Roman"/>
          <w:color w:val="auto"/>
          <w:sz w:val="22"/>
          <w:szCs w:val="22"/>
          <w:highlight w:val="none"/>
        </w:rPr>
        <w:t xml:space="preserve"> </w:t>
      </w:r>
      <w:r>
        <w:rPr>
          <w:rFonts w:hint="default" w:ascii="Times New Roman" w:hAnsi="Times New Roman" w:cs="Times New Roman"/>
          <w:color w:val="auto"/>
          <w:sz w:val="22"/>
          <w:szCs w:val="22"/>
          <w:highlight w:val="none"/>
          <w:u w:val="dotted"/>
        </w:rPr>
        <w:t xml:space="preserve">                                                                                                       </w:t>
      </w:r>
    </w:p>
    <w:p w14:paraId="3479E86A">
      <w:pPr>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89664" behindDoc="0" locked="0" layoutInCell="1" allowOverlap="1">
                <wp:simplePos x="0" y="0"/>
                <wp:positionH relativeFrom="column">
                  <wp:posOffset>-73660</wp:posOffset>
                </wp:positionH>
                <wp:positionV relativeFrom="paragraph">
                  <wp:posOffset>635</wp:posOffset>
                </wp:positionV>
                <wp:extent cx="873760" cy="471805"/>
                <wp:effectExtent l="0" t="0" r="0" b="0"/>
                <wp:wrapNone/>
                <wp:docPr id="231" name="文本框 231"/>
                <wp:cNvGraphicFramePr/>
                <a:graphic xmlns:a="http://schemas.openxmlformats.org/drawingml/2006/main">
                  <a:graphicData uri="http://schemas.microsoft.com/office/word/2010/wordprocessingShape">
                    <wps:wsp>
                      <wps:cNvSpPr txBox="1"/>
                      <wps:spPr>
                        <a:xfrm>
                          <a:off x="0" y="0"/>
                          <a:ext cx="873760" cy="471805"/>
                        </a:xfrm>
                        <a:prstGeom prst="rect">
                          <a:avLst/>
                        </a:prstGeom>
                        <a:noFill/>
                        <a:ln>
                          <a:noFill/>
                        </a:ln>
                        <a:effectLst/>
                      </wps:spPr>
                      <wps:txbx>
                        <w:txbxContent>
                          <w:p w14:paraId="2BAEAE1E">
                            <w:pPr>
                              <w:jc w:val="lef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单机试车结果的确认</w:t>
                            </w:r>
                          </w:p>
                        </w:txbxContent>
                      </wps:txbx>
                      <wps:bodyPr wrap="square" upright="1"/>
                    </wps:wsp>
                  </a:graphicData>
                </a:graphic>
              </wp:anchor>
            </w:drawing>
          </mc:Choice>
          <mc:Fallback>
            <w:pict>
              <v:shape id="_x0000_s1026" o:spid="_x0000_s1026" o:spt="202" type="#_x0000_t202" style="position:absolute;left:0pt;margin-left:-5.8pt;margin-top:0.05pt;height:37.15pt;width:68.8pt;z-index:251889664;mso-width-relative:page;mso-height-relative:page;" filled="f" stroked="f" coordsize="21600,21600" o:gfxdata="UEsDBAoAAAAAAIdO4kAAAAAAAAAAAAAAAAAEAAAAZHJzL1BLAwQUAAAACACHTuJACgLOg9QAAAAH&#10;AQAADwAAAGRycy9kb3ducmV2LnhtbE2PwU7DMBBE70j9B2uRuLV2qpBCiNNDEVcQbUHito23SUS8&#10;jmK3CX+Pc4Lj6o1m3hbbyXbiSoNvHWtIVgoEceVMy7WG4+Fl+QDCB2SDnWPS8EMetuXipsDcuJHf&#10;6boPtYgl7HPU0ITQ51L6qiGLfuV64sjObrAY4jnU0gw4xnLbybVSmbTYclxosKddQ9X3/mI1fLye&#10;vz5T9VY/2/t+dJOSbB+l1ne3iXoCEWgKf2GY9aM6lNHp5C5svOg0LJMki9EZiBmvs/jaScMmTUGW&#10;hfzvX/4CUEsDBBQAAAAIAIdO4kA3HT7QvAEAAG0DAAAOAAAAZHJzL2Uyb0RvYy54bWytU82O0zAQ&#10;viPxDpbv1GkXtlXUdCVULRcESMs+gOtMGkv+w+M26QvAG3Diwp3n6nMwTrJlWS574OKM5+fzfN9M&#10;1je9NewIEbV3FZ/PCs7AKV9rt6/4/efbVyvOMElXS+MdVPwEyG82L1+su1DCwrfe1BAZgTgsu1Dx&#10;NqVQCoGqBStx5gM4CjY+WpnoGveijrIjdGvEoiiuRedjHaJXgEje7RjkE2J8DqBvGq1g69XBgksj&#10;agQjE1HCVgfkm6HbpgGVPjYNQmKm4sQ0DSc9QvYun2KzluU+ytBqNbUgn9PCE05WakePXqC2Mkl2&#10;iPofKKtV9OibNFPeipHIoAixmBdPtLlrZYCBC0mN4SI6/j9Y9eH4KTJdV3xxNefMSUsjP3//dv7x&#10;6/zzK8tOkqgLWFLmXaDc1L/1PS3Ogx/JmZn3TbT5S5wYxUng00Vg6BNT5Fwtr5bXFFEUer2cr4o3&#10;GUX8KQ4R0zvwlmWj4pHmN8gqj+8xjakPKfkt52+1McMMjfvLQZijB4YlmKozj7HfbKV+10/kdr4+&#10;EbeOFqHi+OUgI3B2CFHvW2pj4CpyCU1h6HfamDzmx3eyH/8lm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KAs6D1AAAAAcBAAAPAAAAAAAAAAEAIAAAACIAAABkcnMvZG93bnJldi54bWxQSwECFAAU&#10;AAAACACHTuJANx0+0LwBAABtAwAADgAAAAAAAAABACAAAAAjAQAAZHJzL2Uyb0RvYy54bWxQSwUG&#10;AAAAAAYABgBZAQAAUQUAAAAA&#10;">
                <v:fill on="f" focussize="0,0"/>
                <v:stroke on="f"/>
                <v:imagedata o:title=""/>
                <o:lock v:ext="edit" aspectratio="f"/>
                <v:textbox>
                  <w:txbxContent>
                    <w:p w14:paraId="2BAEAE1E">
                      <w:pPr>
                        <w:jc w:val="lef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单机试车结果的确认</w:t>
                      </w:r>
                    </w:p>
                  </w:txbxContent>
                </v:textbox>
              </v:shape>
            </w:pict>
          </mc:Fallback>
        </mc:AlternateContent>
      </w:r>
      <w:r>
        <w:rPr>
          <w:rFonts w:hint="default" w:ascii="Times New Roman" w:hAnsi="Times New Roman" w:cs="Times New Roman"/>
          <w:color w:val="auto"/>
          <w:sz w:val="22"/>
          <w:szCs w:val="22"/>
          <w:highlight w:val="none"/>
        </w:rPr>
        <w:t>单机试车合格，监理工程师应在试车记录上签字，承包人可继续施工或申请办理竣工验收手续。单机试车合格24小时后，监理工程师仍不在试车记录上签字的，视为监理工程师已认可试车记录。</w:t>
      </w:r>
    </w:p>
    <w:p w14:paraId="043CF6DF">
      <w:pPr>
        <w:adjustRightInd w:val="0"/>
        <w:snapToGrid w:val="0"/>
        <w:spacing w:line="420" w:lineRule="exact"/>
        <w:rPr>
          <w:rFonts w:hint="default" w:ascii="Times New Roman" w:hAnsi="Times New Roman" w:cs="Times New Roman"/>
          <w:b/>
          <w:bCs/>
          <w:color w:val="auto"/>
          <w:sz w:val="22"/>
          <w:szCs w:val="22"/>
          <w:highlight w:val="none"/>
          <w:u w:val="dotted"/>
        </w:rPr>
      </w:pPr>
      <w:r>
        <w:rPr>
          <w:rFonts w:hint="default" w:ascii="Times New Roman" w:hAnsi="Times New Roman" w:cs="Times New Roman"/>
          <w:b/>
          <w:bCs/>
          <w:color w:val="auto"/>
          <w:sz w:val="22"/>
          <w:szCs w:val="22"/>
          <w:highlight w:val="none"/>
        </w:rPr>
        <w:t xml:space="preserve">55.4  </w:t>
      </w:r>
      <w:r>
        <w:rPr>
          <w:rFonts w:hint="default" w:ascii="Times New Roman" w:hAnsi="Times New Roman" w:cs="Times New Roman"/>
          <w:b/>
          <w:bCs/>
          <w:color w:val="auto"/>
          <w:sz w:val="22"/>
          <w:szCs w:val="22"/>
          <w:highlight w:val="none"/>
          <w:u w:val="dotted"/>
        </w:rPr>
        <w:t xml:space="preserve">                                                                                                        </w:t>
      </w:r>
    </w:p>
    <w:p w14:paraId="015A19C4">
      <w:pPr>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90688" behindDoc="0" locked="0" layoutInCell="1" allowOverlap="1">
                <wp:simplePos x="0" y="0"/>
                <wp:positionH relativeFrom="column">
                  <wp:posOffset>-73660</wp:posOffset>
                </wp:positionH>
                <wp:positionV relativeFrom="paragraph">
                  <wp:posOffset>11430</wp:posOffset>
                </wp:positionV>
                <wp:extent cx="873760" cy="492760"/>
                <wp:effectExtent l="0" t="0" r="0" b="0"/>
                <wp:wrapNone/>
                <wp:docPr id="232" name="文本框 232"/>
                <wp:cNvGraphicFramePr/>
                <a:graphic xmlns:a="http://schemas.openxmlformats.org/drawingml/2006/main">
                  <a:graphicData uri="http://schemas.microsoft.com/office/word/2010/wordprocessingShape">
                    <wps:wsp>
                      <wps:cNvSpPr txBox="1"/>
                      <wps:spPr>
                        <a:xfrm>
                          <a:off x="0" y="0"/>
                          <a:ext cx="873760" cy="492760"/>
                        </a:xfrm>
                        <a:prstGeom prst="rect">
                          <a:avLst/>
                        </a:prstGeom>
                        <a:noFill/>
                        <a:ln>
                          <a:noFill/>
                        </a:ln>
                        <a:effectLst/>
                      </wps:spPr>
                      <wps:txbx>
                        <w:txbxContent>
                          <w:p w14:paraId="4B21A279">
                            <w:pPr>
                              <w:jc w:val="lef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联动试车通知和结果的确认</w:t>
                            </w:r>
                          </w:p>
                        </w:txbxContent>
                      </wps:txbx>
                      <wps:bodyPr wrap="square" upright="1"/>
                    </wps:wsp>
                  </a:graphicData>
                </a:graphic>
              </wp:anchor>
            </w:drawing>
          </mc:Choice>
          <mc:Fallback>
            <w:pict>
              <v:shape id="_x0000_s1026" o:spid="_x0000_s1026" o:spt="202" type="#_x0000_t202" style="position:absolute;left:0pt;margin-left:-5.8pt;margin-top:0.9pt;height:38.8pt;width:68.8pt;z-index:251890688;mso-width-relative:page;mso-height-relative:page;" filled="f" stroked="f" coordsize="21600,21600" o:gfxdata="UEsDBAoAAAAAAIdO4kAAAAAAAAAAAAAAAAAEAAAAZHJzL1BLAwQUAAAACACHTuJAJxWwANUAAAAI&#10;AQAADwAAAGRycy9kb3ducmV2LnhtbE2Py07DMBBF90j8gzVI7NpxqhJoiNMFiC2I8pDYufE0iYjH&#10;Uew24e+ZrmA5uld3zim3s+/VicbYBTaQLTUo4jq4jhsD729PiztQMVl2tg9MBn4owra6vCht4cLE&#10;r3TapUbJCMfCGmhTGgrEWLfkbVyGgViyQxi9TXKODbrRTjLue1xpnaO3HcuH1g700FL9vTt6Ax/P&#10;h6/PtX5pHv3NMIVZI/sNGnN9lel7UInm9FeGM76gQyVM+3BkF1VvYJFluVQlEINzvsrFbW/gdrMG&#10;rEr8L1D9AlBLAwQUAAAACACHTuJADqXxcbwBAABtAwAADgAAAGRycy9lMm9Eb2MueG1srVNLbtsw&#10;EN0XyB0I7ms5SpGPYDlAYCSboi2Q5gA0NbQIiJ9yaEu+QHuDrrrpvufyOTqkFCdNN1lkQw3n8zjv&#10;zWhxPZiO7SCgdrbmp7M5Z2Cla7Td1Pzh6+37S84wCtuIzlmo+R6QXy9P3i16X0HpWtc1EBiBWKx6&#10;X/M2Rl8VBcoWjMCZ82ApqFwwItI1bIomiJ7QTVeU8/l50bvQ+OAkIJJ3NQb5hBheA+iU0hJWTm4N&#10;2DiiBuhEJErYao98mbtVCmT8rBRCZF3NiWnMJz1C9jqdxXIhqk0QvtVyakG8poUXnIzQlh49Qq1E&#10;FGwb9H9QRsvg0Kk4k84UI5GsCLE4nb/Q5r4VHjIXkhr9UXR8O1j5afclMN3UvDwrObPC0MgPP38c&#10;fv05/P7OkpMk6j1WlHnvKTcON26gxXn0IzkT80EFk77EiVGcBN4fBYYhMknOy4uzi3OKSAp9uCqT&#10;TejFU7EPGO/AGZaMmgeaX5ZV7D5iHFMfU9Jb1t3qrssz7Ow/DsIcPZCXYKpOPMZ+kxWH9TCRW7tm&#10;T9x6WoSa47etCMDZ1ge9aamNzLVIJTSF3O+0MWnMz+9kP/9Ll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JxWwANUAAAAIAQAADwAAAAAAAAABACAAAAAiAAAAZHJzL2Rvd25yZXYueG1sUEsBAhQA&#10;FAAAAAgAh07iQA6l8XG8AQAAbQMAAA4AAAAAAAAAAQAgAAAAJAEAAGRycy9lMm9Eb2MueG1sUEsF&#10;BgAAAAAGAAYAWQEAAFIFAAAAAA==&#10;">
                <v:fill on="f" focussize="0,0"/>
                <v:stroke on="f"/>
                <v:imagedata o:title=""/>
                <o:lock v:ext="edit" aspectratio="f"/>
                <v:textbox>
                  <w:txbxContent>
                    <w:p w14:paraId="4B21A279">
                      <w:pPr>
                        <w:jc w:val="lef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联动试车通知和结果的确认</w:t>
                      </w:r>
                    </w:p>
                  </w:txbxContent>
                </v:textbox>
              </v:shape>
            </w:pict>
          </mc:Fallback>
        </mc:AlternateContent>
      </w:r>
      <w:r>
        <w:rPr>
          <w:rFonts w:hint="default" w:ascii="Times New Roman" w:hAnsi="Times New Roman" w:cs="Times New Roman"/>
          <w:color w:val="auto"/>
          <w:sz w:val="22"/>
          <w:szCs w:val="22"/>
          <w:highlight w:val="none"/>
        </w:rPr>
        <w:t>设备安装工程具备联动无负荷试车条件时，发包人应组织试车，并在试车前48小时以书面形式通知承包人。通知包括试车内容、时间、地点和对承包人的要求，承包人应按照要求做好准备工作。试车合格，合同双方当事人均应在试车记录上签字。</w:t>
      </w:r>
    </w:p>
    <w:p w14:paraId="0A142F83">
      <w:pPr>
        <w:adjustRightInd w:val="0"/>
        <w:snapToGrid w:val="0"/>
        <w:spacing w:line="420" w:lineRule="exact"/>
        <w:rPr>
          <w:rFonts w:hint="default" w:ascii="Times New Roman" w:hAnsi="Times New Roman" w:cs="Times New Roman"/>
          <w:b/>
          <w:bCs/>
          <w:color w:val="auto"/>
          <w:sz w:val="22"/>
          <w:szCs w:val="22"/>
          <w:highlight w:val="none"/>
          <w:u w:val="dotted"/>
        </w:rPr>
      </w:pPr>
      <w:r>
        <w:rPr>
          <w:rFonts w:hint="default" w:ascii="Times New Roman" w:hAnsi="Times New Roman" w:cs="Times New Roman"/>
          <w:b/>
          <w:bCs/>
          <w:color w:val="auto"/>
          <w:sz w:val="22"/>
          <w:szCs w:val="22"/>
          <w:highlight w:val="none"/>
        </w:rPr>
        <w:t xml:space="preserve">55.5  </w:t>
      </w:r>
      <w:r>
        <w:rPr>
          <w:rFonts w:hint="default" w:ascii="Times New Roman" w:hAnsi="Times New Roman" w:cs="Times New Roman"/>
          <w:b/>
          <w:bCs/>
          <w:color w:val="auto"/>
          <w:sz w:val="22"/>
          <w:szCs w:val="22"/>
          <w:highlight w:val="none"/>
          <w:u w:val="dotted"/>
        </w:rPr>
        <w:t xml:space="preserve">                                                                                                        </w:t>
      </w:r>
    </w:p>
    <w:p w14:paraId="5DBA6126">
      <w:pPr>
        <w:adjustRightInd w:val="0"/>
        <w:snapToGrid w:val="0"/>
        <w:spacing w:line="420" w:lineRule="exact"/>
        <w:ind w:left="162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91712" behindDoc="0" locked="0" layoutInCell="1" allowOverlap="1">
                <wp:simplePos x="0" y="0"/>
                <wp:positionH relativeFrom="column">
                  <wp:posOffset>-114300</wp:posOffset>
                </wp:positionH>
                <wp:positionV relativeFrom="paragraph">
                  <wp:posOffset>-6350</wp:posOffset>
                </wp:positionV>
                <wp:extent cx="883920" cy="427990"/>
                <wp:effectExtent l="0" t="0" r="0" b="0"/>
                <wp:wrapNone/>
                <wp:docPr id="233" name="文本框 233"/>
                <wp:cNvGraphicFramePr/>
                <a:graphic xmlns:a="http://schemas.openxmlformats.org/drawingml/2006/main">
                  <a:graphicData uri="http://schemas.microsoft.com/office/word/2010/wordprocessingShape">
                    <wps:wsp>
                      <wps:cNvSpPr txBox="1"/>
                      <wps:spPr>
                        <a:xfrm>
                          <a:off x="0" y="0"/>
                          <a:ext cx="883920" cy="427990"/>
                        </a:xfrm>
                        <a:prstGeom prst="rect">
                          <a:avLst/>
                        </a:prstGeom>
                        <a:noFill/>
                        <a:ln>
                          <a:noFill/>
                        </a:ln>
                        <a:effectLst/>
                      </wps:spPr>
                      <wps:txbx>
                        <w:txbxContent>
                          <w:p w14:paraId="4EF353B0">
                            <w:pPr>
                              <w:spacing w:line="240" w:lineRule="exact"/>
                              <w:rPr>
                                <w:rFonts w:ascii="楷体_GB2312" w:hAnsi="宋体" w:eastAsia="楷体_GB2312" w:cs="Times New Roman"/>
                                <w:sz w:val="18"/>
                                <w:szCs w:val="18"/>
                              </w:rPr>
                            </w:pPr>
                            <w:r>
                              <w:rPr>
                                <w:rFonts w:hint="eastAsia" w:ascii="楷体_GB2312" w:hAnsi="宋体" w:eastAsia="楷体_GB2312" w:cs="楷体_GB2312"/>
                                <w:b/>
                                <w:bCs/>
                                <w:color w:val="000000"/>
                                <w:sz w:val="18"/>
                                <w:szCs w:val="18"/>
                              </w:rPr>
                              <w:t>试车费用和不达要求处理</w:t>
                            </w:r>
                          </w:p>
                        </w:txbxContent>
                      </wps:txbx>
                      <wps:bodyPr wrap="square" upright="1"/>
                    </wps:wsp>
                  </a:graphicData>
                </a:graphic>
              </wp:anchor>
            </w:drawing>
          </mc:Choice>
          <mc:Fallback>
            <w:pict>
              <v:shape id="_x0000_s1026" o:spid="_x0000_s1026" o:spt="202" type="#_x0000_t202" style="position:absolute;left:0pt;margin-left:-9pt;margin-top:-0.5pt;height:33.7pt;width:69.6pt;z-index:251891712;mso-width-relative:page;mso-height-relative:page;" filled="f" stroked="f" coordsize="21600,21600" o:gfxdata="UEsDBAoAAAAAAIdO4kAAAAAAAAAAAAAAAAAEAAAAZHJzL1BLAwQUAAAACACHTuJAIJh84dYAAAAJ&#10;AQAADwAAAGRycy9kb3ducmV2LnhtbE2PQU/DMAyF70j8h8hI3Lak1ai2UncHEFcQY5u0W9Z4bUXj&#10;VE22ln9PeoKTbb2n5+8V28l24kaDbx0jJEsFgrhypuUaYf/1tliD8EGz0Z1jQvghD9vy/q7QuXEj&#10;f9JtF2oRQ9jnGqEJoc+l9FVDVvul64mjdnGD1SGeQy3NoMcYbjuZKpVJq1uOHxrd00tD1ffuahEO&#10;75fTcaU+6lf71I9uUpLtRiI+PiTqGUSgKfyZYcaP6FBGprO7svGiQ1gk69glzEucsyFNUhBnhCxb&#10;gSwL+b9B+QtQSwMEFAAAAAgAh07iQDuuTLy+AQAAbQMAAA4AAABkcnMvZTJvRG9jLnhtbK1TzY7T&#10;MBC+I/EOlu/U3RRBGzVdaVUtFwRICw/gOpPGUvyDx23SF4A34MSFO8/V52DsZMuyXPawF2c8P5/n&#10;+2ayvh5Mx44QUDtb8avZnDOwytXa7iv+5fPtqyVnGKWtZecsVPwEyK83L1+se19C4VrX1RAYgVgs&#10;e1/xNkZfCoGqBSNx5jxYCjYuGBnpGvaiDrIndNOJYj5/I3oXah+cAkTybscgnxDDUwBd02gFW6cO&#10;BmwcUQN0MhIlbLVHvsndNg2o+LFpECLrKk5MYz7pEbJ36RSbtSz3QfpWq6kF+ZQWHnEyUlt69AK1&#10;lVGyQ9D/QRmtgkPXxJlyRoxEsiLE4mr+SJu7VnrIXEhq9BfR8flg1Yfjp8B0XfFiseDMSkMjP//4&#10;fv75+/zrG0tOkqj3WFLmnafcONy4gRbn3o/kTMyHJpj0JU6M4iTw6SIwDJEpci6Xi1VBEUWh18Xb&#10;1SoPQPwt9gHjO3CGJaPigeaXZZXH9xipEUq9T0lvWXeruy7PsLP/OChx9EBegqk68Rj7TVYcdsNE&#10;bufqE3HraREqjl8PMgBnBx/0vqU2MleRSmgKuYlpY9KYH97JfviXbP4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IJh84dYAAAAJAQAADwAAAAAAAAABACAAAAAiAAAAZHJzL2Rvd25yZXYueG1sUEsB&#10;AhQAFAAAAAgAh07iQDuuTLy+AQAAbQMAAA4AAAAAAAAAAQAgAAAAJQEAAGRycy9lMm9Eb2MueG1s&#10;UEsFBgAAAAAGAAYAWQEAAFUFAAAAAA==&#10;">
                <v:fill on="f" focussize="0,0"/>
                <v:stroke on="f"/>
                <v:imagedata o:title=""/>
                <o:lock v:ext="edit" aspectratio="f"/>
                <v:textbox>
                  <w:txbxContent>
                    <w:p w14:paraId="4EF353B0">
                      <w:pPr>
                        <w:spacing w:line="240" w:lineRule="exact"/>
                        <w:rPr>
                          <w:rFonts w:ascii="楷体_GB2312" w:hAnsi="宋体" w:eastAsia="楷体_GB2312" w:cs="Times New Roman"/>
                          <w:sz w:val="18"/>
                          <w:szCs w:val="18"/>
                        </w:rPr>
                      </w:pPr>
                      <w:r>
                        <w:rPr>
                          <w:rFonts w:hint="eastAsia" w:ascii="楷体_GB2312" w:hAnsi="宋体" w:eastAsia="楷体_GB2312" w:cs="楷体_GB2312"/>
                          <w:b/>
                          <w:bCs/>
                          <w:color w:val="000000"/>
                          <w:sz w:val="18"/>
                          <w:szCs w:val="18"/>
                        </w:rPr>
                        <w:t>试车费用和不达要求处理</w:t>
                      </w:r>
                    </w:p>
                  </w:txbxContent>
                </v:textbox>
              </v:shape>
            </w:pict>
          </mc:Fallback>
        </mc:AlternateContent>
      </w:r>
      <w:r>
        <w:rPr>
          <w:rFonts w:hint="default" w:ascii="Times New Roman" w:hAnsi="Times New Roman" w:cs="Times New Roman"/>
          <w:color w:val="auto"/>
          <w:sz w:val="22"/>
          <w:szCs w:val="22"/>
          <w:highlight w:val="none"/>
        </w:rPr>
        <w:t xml:space="preserve">试车费用，除已含在合同价款外，由发包人承担。试车达不到验收要求的，按照下列规定处理： </w:t>
      </w:r>
    </w:p>
    <w:p w14:paraId="12AEC80A">
      <w:pPr>
        <w:numPr>
          <w:ilvl w:val="0"/>
          <w:numId w:val="21"/>
        </w:numPr>
        <w:tabs>
          <w:tab w:val="left" w:pos="1080"/>
          <w:tab w:val="left" w:pos="1620"/>
        </w:tabs>
        <w:adjustRightInd w:val="0"/>
        <w:snapToGrid w:val="0"/>
        <w:spacing w:line="420" w:lineRule="exact"/>
        <w:ind w:left="1619" w:leftChars="771"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由于设计原因试车达不到验收要求，发包人应要求设计人修改设计，承包人按照修改后的设计重新安装。发包人承担修改设计、拆除及重新安装的全部费用和延误的工期。</w:t>
      </w:r>
    </w:p>
    <w:p w14:paraId="28BE60E0">
      <w:pPr>
        <w:numPr>
          <w:ilvl w:val="0"/>
          <w:numId w:val="21"/>
        </w:numPr>
        <w:tabs>
          <w:tab w:val="left" w:pos="1080"/>
          <w:tab w:val="left" w:pos="1620"/>
        </w:tabs>
        <w:adjustRightInd w:val="0"/>
        <w:snapToGrid w:val="0"/>
        <w:spacing w:line="420" w:lineRule="exact"/>
        <w:ind w:left="1619" w:leftChars="771"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由于设备制造质量原因试车达不到验收要求，由该责任方重新购置或修理，承包人负责拆除和重新安装。设备由承包人采购的，由承包人承担修理或重新采购、拆除及重新安装的费用和延误的工期；设备由发包人供应的，发包人承担上述各项费用和延误的工期。</w:t>
      </w:r>
    </w:p>
    <w:p w14:paraId="78E257CF">
      <w:pPr>
        <w:numPr>
          <w:ilvl w:val="0"/>
          <w:numId w:val="21"/>
        </w:numPr>
        <w:tabs>
          <w:tab w:val="left" w:pos="1080"/>
          <w:tab w:val="left" w:pos="1980"/>
        </w:tabs>
        <w:adjustRightInd w:val="0"/>
        <w:snapToGrid w:val="0"/>
        <w:spacing w:line="420" w:lineRule="exact"/>
        <w:ind w:left="1617" w:leftChars="770"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由于承包人施工原因试车达不到验收要求，承包人应按照监理工程师要求重新安装和试车，并承担拆除、重新安装和重新试车的费用和延误的工期。</w:t>
      </w:r>
    </w:p>
    <w:p w14:paraId="2010A302">
      <w:pPr>
        <w:adjustRightInd w:val="0"/>
        <w:snapToGrid w:val="0"/>
        <w:spacing w:line="420" w:lineRule="exact"/>
        <w:rPr>
          <w:rFonts w:hint="default" w:ascii="Times New Roman" w:hAnsi="Times New Roman" w:cs="Times New Roman"/>
          <w:b/>
          <w:bCs/>
          <w:color w:val="auto"/>
          <w:sz w:val="22"/>
          <w:szCs w:val="22"/>
          <w:highlight w:val="none"/>
          <w:u w:val="dotted"/>
        </w:rPr>
      </w:pPr>
      <w:r>
        <w:rPr>
          <w:rFonts w:hint="default" w:ascii="Times New Roman" w:hAnsi="Times New Roman" w:cs="Times New Roman"/>
          <w:b/>
          <w:bCs/>
          <w:color w:val="auto"/>
          <w:sz w:val="22"/>
          <w:szCs w:val="22"/>
          <w:highlight w:val="none"/>
        </w:rPr>
        <w:t xml:space="preserve">55.6  </w:t>
      </w:r>
      <w:r>
        <w:rPr>
          <w:rFonts w:hint="default" w:ascii="Times New Roman" w:hAnsi="Times New Roman" w:cs="Times New Roman"/>
          <w:b/>
          <w:bCs/>
          <w:color w:val="auto"/>
          <w:sz w:val="22"/>
          <w:szCs w:val="22"/>
          <w:highlight w:val="none"/>
          <w:u w:val="dotted"/>
        </w:rPr>
        <w:t xml:space="preserve">                                                                               </w:t>
      </w:r>
    </w:p>
    <w:p w14:paraId="643FA6E7">
      <w:pPr>
        <w:adjustRightInd w:val="0"/>
        <w:snapToGrid w:val="0"/>
        <w:spacing w:line="420" w:lineRule="exact"/>
        <w:rPr>
          <w:rFonts w:hint="default" w:ascii="Times New Roman" w:hAnsi="Times New Roman" w:cs="Times New Roman"/>
          <w:b/>
          <w:bCs/>
          <w:color w:val="auto"/>
          <w:sz w:val="22"/>
          <w:szCs w:val="22"/>
          <w:highlight w:val="none"/>
          <w:u w:val="dotted"/>
        </w:rPr>
      </w:pPr>
    </w:p>
    <w:p w14:paraId="14873461">
      <w:pPr>
        <w:pStyle w:val="22"/>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92736" behindDoc="0" locked="0" layoutInCell="1" allowOverlap="1">
                <wp:simplePos x="0" y="0"/>
                <wp:positionH relativeFrom="column">
                  <wp:posOffset>-114300</wp:posOffset>
                </wp:positionH>
                <wp:positionV relativeFrom="paragraph">
                  <wp:posOffset>10160</wp:posOffset>
                </wp:positionV>
                <wp:extent cx="800100" cy="297180"/>
                <wp:effectExtent l="0" t="0" r="0" b="0"/>
                <wp:wrapNone/>
                <wp:docPr id="234" name="文本框 234"/>
                <wp:cNvGraphicFramePr/>
                <a:graphic xmlns:a="http://schemas.openxmlformats.org/drawingml/2006/main">
                  <a:graphicData uri="http://schemas.microsoft.com/office/word/2010/wordprocessingShape">
                    <wps:wsp>
                      <wps:cNvSpPr txBox="1"/>
                      <wps:spPr>
                        <a:xfrm>
                          <a:off x="0" y="0"/>
                          <a:ext cx="800100" cy="297180"/>
                        </a:xfrm>
                        <a:prstGeom prst="rect">
                          <a:avLst/>
                        </a:prstGeom>
                        <a:noFill/>
                        <a:ln>
                          <a:noFill/>
                        </a:ln>
                        <a:effectLst/>
                      </wps:spPr>
                      <wps:txbx>
                        <w:txbxContent>
                          <w:p w14:paraId="76553239">
                            <w:pPr>
                              <w:spacing w:line="240" w:lineRule="exact"/>
                              <w:rPr>
                                <w:rFonts w:ascii="楷体_GB2312" w:hAnsi="宋体" w:eastAsia="楷体_GB2312" w:cs="Times New Roman"/>
                                <w:b/>
                                <w:bCs/>
                                <w:color w:val="000000"/>
                                <w:sz w:val="18"/>
                                <w:szCs w:val="18"/>
                              </w:rPr>
                            </w:pPr>
                            <w:r>
                              <w:rPr>
                                <w:rFonts w:hint="eastAsia" w:ascii="楷体_GB2312" w:eastAsia="楷体_GB2312" w:cs="楷体_GB2312"/>
                                <w:b/>
                                <w:bCs/>
                                <w:color w:val="000000"/>
                                <w:sz w:val="18"/>
                                <w:szCs w:val="18"/>
                              </w:rPr>
                              <w:t>投料试车</w:t>
                            </w:r>
                          </w:p>
                        </w:txbxContent>
                      </wps:txbx>
                      <wps:bodyPr wrap="square" upright="1"/>
                    </wps:wsp>
                  </a:graphicData>
                </a:graphic>
              </wp:anchor>
            </w:drawing>
          </mc:Choice>
          <mc:Fallback>
            <w:pict>
              <v:shape id="_x0000_s1026" o:spid="_x0000_s1026" o:spt="202" type="#_x0000_t202" style="position:absolute;left:0pt;margin-left:-9pt;margin-top:0.8pt;height:23.4pt;width:63pt;z-index:251892736;mso-width-relative:page;mso-height-relative:page;" filled="f" stroked="f" coordsize="21600,21600" o:gfxdata="UEsDBAoAAAAAAIdO4kAAAAAAAAAAAAAAAAAEAAAAZHJzL1BLAwQUAAAACACHTuJA1nO0gNQAAAAI&#10;AQAADwAAAGRycy9kb3ducmV2LnhtbE2Py26DMBBF95XyD9ZUyi6xqWhECEMWqbpt1PQhdefgCaDi&#10;McJOoH9fs2qXV2d059xiP9lO3GjwrWOEZK1AEFfOtFwjvL89rzIQPmg2unNMCD/kYV8u7gqdGzfy&#10;K91OoRaxhH2uEZoQ+lxKXzVktV+7njiyixusDjEOtTSDHmO57eSDUhtpdcvxQ6N7OjRUfZ+uFuHj&#10;5fL1mapj/WQf+9FNSrLdSsTlfaJ2IAJN4e8YZv2oDmV0OrsrGy86hFWSxS0hgg2Imas5nxHSLAVZ&#10;FvL/gPIXUEsDBBQAAAAIAIdO4kD39k1pvQEAAG0DAAAOAAAAZHJzL2Uyb0RvYy54bWytU0tu2zAQ&#10;3RfIHQjuY8lO0bqC5QCFkWyKtkDaA9DU0CIgfsqhLfkC7Q266qb7nsvn6JBS3DTZZJENNZzP47w3&#10;o9X1YDp2gIDa2ZrPZyVnYKVrtN3V/OuXm8slZxiFbUTnLNT8CMiv1xevVr2vYOFa1zUQGIFYrHpf&#10;8zZGXxUFyhaMwJnzYCmoXDAi0jXsiiaIntBNVyzK8k3Ru9D44CQgknczBvmEGJ4D6JTSEjZO7g3Y&#10;OKIG6EQkSthqj3ydu1UKZPykFEJkXc2JacwnPUL2Np3FeiWqXRC+1XJqQTynhUecjNCWHj1DbUQU&#10;bB/0EyijZXDoVJxJZ4qRSFaEWMzLR9rctcJD5kJSoz+Lji8HKz8ePgemm5ovrl5zZoWhkZ9+/jj9&#10;+nP6/Z0lJ0nUe6wo885Tbhzeu4EW596P5EzMBxVM+hInRnES+HgWGIbIJDmXJZGkiKTQ4t3b+TIP&#10;oPhX7APGW3CGJaPmgeaXZRWHDxipEUq9T0lvWXejuy7PsLP/OShx9EBegqk68Rj7TVYctsNEbuua&#10;I3HraRFqjt/2IgBnex/0rqU2MtcildAUchPTxqQxP7yT/fAvWf8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1nO0gNQAAAAIAQAADwAAAAAAAAABACAAAAAiAAAAZHJzL2Rvd25yZXYueG1sUEsBAhQA&#10;FAAAAAgAh07iQPf2TWm9AQAAbQMAAA4AAAAAAAAAAQAgAAAAIwEAAGRycy9lMm9Eb2MueG1sUEsF&#10;BgAAAAAGAAYAWQEAAFIFAAAAAA==&#10;">
                <v:fill on="f" focussize="0,0"/>
                <v:stroke on="f"/>
                <v:imagedata o:title=""/>
                <o:lock v:ext="edit" aspectratio="f"/>
                <v:textbox>
                  <w:txbxContent>
                    <w:p w14:paraId="76553239">
                      <w:pPr>
                        <w:spacing w:line="240" w:lineRule="exact"/>
                        <w:rPr>
                          <w:rFonts w:ascii="楷体_GB2312" w:hAnsi="宋体" w:eastAsia="楷体_GB2312" w:cs="Times New Roman"/>
                          <w:b/>
                          <w:bCs/>
                          <w:color w:val="000000"/>
                          <w:sz w:val="18"/>
                          <w:szCs w:val="18"/>
                        </w:rPr>
                      </w:pPr>
                      <w:r>
                        <w:rPr>
                          <w:rFonts w:hint="eastAsia" w:ascii="楷体_GB2312" w:eastAsia="楷体_GB2312" w:cs="楷体_GB2312"/>
                          <w:b/>
                          <w:bCs/>
                          <w:color w:val="000000"/>
                          <w:sz w:val="18"/>
                          <w:szCs w:val="18"/>
                        </w:rPr>
                        <w:t>投料试车</w:t>
                      </w:r>
                    </w:p>
                  </w:txbxContent>
                </v:textbox>
              </v:shape>
            </w:pict>
          </mc:Fallback>
        </mc:AlternateContent>
      </w:r>
      <w:r>
        <w:rPr>
          <w:rFonts w:hint="default" w:ascii="Times New Roman" w:hAnsi="Times New Roman" w:cs="Times New Roman"/>
          <w:color w:val="auto"/>
          <w:sz w:val="22"/>
          <w:szCs w:val="22"/>
          <w:highlight w:val="none"/>
        </w:rPr>
        <w:t>投料试车应在永久工程竣工验收后，由发包人负责。如果发包人要求在永久工程竣工验收前进行试车或需要承包人配合时，应事先取得承包人同意，并另行签订补充协议。</w:t>
      </w:r>
    </w:p>
    <w:p w14:paraId="4619854D">
      <w:pPr>
        <w:pStyle w:val="7"/>
        <w:adjustRightInd w:val="0"/>
        <w:snapToGrid w:val="0"/>
        <w:spacing w:line="420" w:lineRule="exact"/>
        <w:ind w:firstLine="0"/>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39F1911A">
      <w:pPr>
        <w:pStyle w:val="15"/>
        <w:tabs>
          <w:tab w:val="left" w:pos="540"/>
        </w:tabs>
        <w:adjustRightInd w:val="0"/>
        <w:snapToGrid w:val="0"/>
        <w:spacing w:before="240" w:beforeLines="100" w:line="420" w:lineRule="exact"/>
        <w:outlineLvl w:val="2"/>
        <w:rPr>
          <w:rFonts w:hint="default" w:ascii="Times New Roman" w:hAnsi="Times New Roman" w:cs="Times New Roman"/>
          <w:b/>
          <w:bCs/>
          <w:color w:val="auto"/>
          <w:sz w:val="22"/>
          <w:szCs w:val="22"/>
          <w:highlight w:val="none"/>
        </w:rPr>
      </w:pPr>
      <w:bookmarkStart w:id="209" w:name="_Toc469384039"/>
      <w:bookmarkStart w:id="210" w:name="_Toc23404"/>
      <w:r>
        <w:rPr>
          <w:rFonts w:hint="default" w:ascii="Times New Roman" w:hAnsi="Times New Roman" w:cs="Times New Roman"/>
          <w:b/>
          <w:bCs/>
          <w:color w:val="auto"/>
          <w:sz w:val="22"/>
          <w:szCs w:val="22"/>
          <w:highlight w:val="none"/>
        </w:rPr>
        <w:t>★56  工程变更</w:t>
      </w:r>
      <w:bookmarkEnd w:id="209"/>
      <w:bookmarkEnd w:id="210"/>
    </w:p>
    <w:p w14:paraId="7276BADF">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56.1</w:t>
      </w:r>
    </w:p>
    <w:p w14:paraId="6C537D58">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93760" behindDoc="0" locked="0" layoutInCell="1" allowOverlap="1">
                <wp:simplePos x="0" y="0"/>
                <wp:positionH relativeFrom="column">
                  <wp:posOffset>-114300</wp:posOffset>
                </wp:positionH>
                <wp:positionV relativeFrom="paragraph">
                  <wp:posOffset>1270</wp:posOffset>
                </wp:positionV>
                <wp:extent cx="1028700" cy="297180"/>
                <wp:effectExtent l="0" t="0" r="0" b="0"/>
                <wp:wrapNone/>
                <wp:docPr id="235" name="文本框 235"/>
                <wp:cNvGraphicFramePr/>
                <a:graphic xmlns:a="http://schemas.openxmlformats.org/drawingml/2006/main">
                  <a:graphicData uri="http://schemas.microsoft.com/office/word/2010/wordprocessingShape">
                    <wps:wsp>
                      <wps:cNvSpPr txBox="1"/>
                      <wps:spPr>
                        <a:xfrm>
                          <a:off x="0" y="0"/>
                          <a:ext cx="1028700" cy="297180"/>
                        </a:xfrm>
                        <a:prstGeom prst="rect">
                          <a:avLst/>
                        </a:prstGeom>
                        <a:noFill/>
                        <a:ln>
                          <a:noFill/>
                        </a:ln>
                        <a:effectLst/>
                      </wps:spPr>
                      <wps:txbx>
                        <w:txbxContent>
                          <w:p w14:paraId="16417765">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工程变更权限</w:t>
                            </w:r>
                          </w:p>
                        </w:txbxContent>
                      </wps:txbx>
                      <wps:bodyPr wrap="square" upright="1"/>
                    </wps:wsp>
                  </a:graphicData>
                </a:graphic>
              </wp:anchor>
            </w:drawing>
          </mc:Choice>
          <mc:Fallback>
            <w:pict>
              <v:shape id="_x0000_s1026" o:spid="_x0000_s1026" o:spt="202" type="#_x0000_t202" style="position:absolute;left:0pt;margin-left:-9pt;margin-top:0.1pt;height:23.4pt;width:81pt;z-index:251893760;mso-width-relative:page;mso-height-relative:page;" filled="f" stroked="f" coordsize="21600,21600" o:gfxdata="UEsDBAoAAAAAAIdO4kAAAAAAAAAAAAAAAAAEAAAAZHJzL1BLAwQUAAAACACHTuJAmsyTKtMAAAAH&#10;AQAADwAAAGRycy9kb3ducmV2LnhtbE2PwU7DMBBE70j8g7VI3Fo7VYASsukBxBVEC0jctvE2iYjX&#10;Uew24e9xT3AczWjmTbmZXa9OPIbOC0K2NKBYam87aRDed8+LNagQSSz1XhjhhwNsqsuLkgrrJ3nj&#10;0zY2KpVIKAihjXEotA51y47C0g8syTv40VFMcmy0HWlK5a7XK2NutaNO0kJLAz+2XH9vjw7h4+Xw&#10;9Zmb1+bJ3QyTn40Wd68Rr68y8wAq8hz/wnDGT+hQJaa9P4oNqkdYZOv0JSKsQJ3tPE9yj5DfGdBV&#10;qf/zV79QSwMEFAAAAAgAh07iQC+rcoq9AQAAbgMAAA4AAABkcnMvZTJvRG9jLnhtbK1TzY7TMBC+&#10;I/EOlu80aRBsiZquhKrlggBp2QdwnXFjKf7B4zbpC8AbcOLCnefqczB2smVZLnvg4ozn5/N830zW&#10;16Pp2RECamcbvlyUnIGVrtV23/C7zzcvVpxhFLYVvbPQ8BMgv948f7YefA2V61zfQmAEYrEefMO7&#10;GH1dFCg7MAIXzoOloHLBiEjXsC/aIAZCN31RleXrYnCh9cFJQCTvdgryGTE8BdAppSVsnTwYsHFC&#10;DdCLSJSw0x75JnerFMj4USmEyPqGE9OYT3qE7F06i81a1PsgfKfl3IJ4SguPOBmhLT16gdqKKNgh&#10;6H+gjJbBoVNxIZ0pJiJZEWKxLB9pc9sJD5kLSY3+Ijr+P1j54fgpMN02vHr5ijMrDI38/P3b+cev&#10;88+vLDlJosFjTZm3nnLj+NaNtDj3fiRnYj6qYNKXODGKk8Cni8AwRiZTUVmtrkoKSYpVb66WqzyB&#10;4k+1DxjfgTMsGQ0PNMCsqzi+x0idUOp9SnrMuhvd93mIvf3LQYmTB/IWzNWJyNRwsuK4G2d2O9ee&#10;iNxAm9Bw/HIQATg7+KD3HbWRyRaphMaQm5hXJs354Z3sh7/J5j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CazJMq0wAAAAcBAAAPAAAAAAAAAAEAIAAAACIAAABkcnMvZG93bnJldi54bWxQSwECFAAU&#10;AAAACACHTuJAL6tyir0BAABuAwAADgAAAAAAAAABACAAAAAiAQAAZHJzL2Uyb0RvYy54bWxQSwUG&#10;AAAAAAYABgBZAQAAUQUAAAAA&#10;">
                <v:fill on="f" focussize="0,0"/>
                <v:stroke on="f"/>
                <v:imagedata o:title=""/>
                <o:lock v:ext="edit" aspectratio="f"/>
                <v:textbox>
                  <w:txbxContent>
                    <w:p w14:paraId="16417765">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工程变更权限</w:t>
                      </w:r>
                    </w:p>
                  </w:txbxContent>
                </v:textbox>
              </v:shape>
            </w:pict>
          </mc:Fallback>
        </mc:AlternateContent>
      </w:r>
      <w:r>
        <w:rPr>
          <w:rFonts w:hint="default" w:ascii="Times New Roman" w:hAnsi="Times New Roman" w:cs="Times New Roman"/>
          <w:color w:val="auto"/>
          <w:sz w:val="22"/>
          <w:szCs w:val="22"/>
          <w:highlight w:val="none"/>
        </w:rPr>
        <w:t>合同履行期间，经发包人批准，监理工程师可按照第56.3款约定的变更程序向承包人发出变更指令，承包人应按照合同约定实施变更工作。</w:t>
      </w:r>
    </w:p>
    <w:p w14:paraId="6EA61DDE">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没有经发包人批准也没有监理工程师的工程变更指令，承包人应按照合同约定施工，无权对合同工程作出任何变更。</w:t>
      </w:r>
    </w:p>
    <w:p w14:paraId="7EA5BF7B">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工程量偏差不属于工程变更，该项工程量增减不需要任何指令。</w:t>
      </w:r>
    </w:p>
    <w:p w14:paraId="6A333F2C">
      <w:pPr>
        <w:pStyle w:val="15"/>
        <w:adjustRightInd w:val="0"/>
        <w:snapToGrid w:val="0"/>
        <w:spacing w:line="420" w:lineRule="exact"/>
        <w:rPr>
          <w:rFonts w:hint="default" w:ascii="Times New Roman" w:hAnsi="Times New Roman" w:cs="Times New Roman"/>
          <w:color w:val="auto"/>
          <w:sz w:val="22"/>
          <w:szCs w:val="22"/>
          <w:highlight w:val="none"/>
          <w:u w:val="dotted"/>
        </w:rPr>
      </w:pPr>
      <w:r>
        <w:rPr>
          <w:rFonts w:hint="default" w:ascii="Times New Roman" w:hAnsi="Times New Roman" w:cs="Times New Roman"/>
          <w:b/>
          <w:bCs/>
          <w:color w:val="auto"/>
          <w:sz w:val="22"/>
          <w:szCs w:val="22"/>
          <w:highlight w:val="none"/>
        </w:rPr>
        <w:t xml:space="preserve">56.2 </w:t>
      </w:r>
      <w:r>
        <w:rPr>
          <w:rFonts w:hint="default" w:ascii="Times New Roman" w:hAnsi="Times New Roman" w:cs="Times New Roman"/>
          <w:color w:val="auto"/>
          <w:sz w:val="22"/>
          <w:szCs w:val="22"/>
          <w:highlight w:val="none"/>
        </w:rPr>
        <w:t xml:space="preserve"> </w:t>
      </w:r>
      <w:r>
        <w:rPr>
          <w:rFonts w:hint="default" w:ascii="Times New Roman" w:hAnsi="Times New Roman" w:cs="Times New Roman"/>
          <w:color w:val="auto"/>
          <w:sz w:val="22"/>
          <w:szCs w:val="22"/>
          <w:highlight w:val="none"/>
          <w:u w:val="dotted"/>
        </w:rPr>
        <w:t xml:space="preserve">                                                                                 </w:t>
      </w:r>
    </w:p>
    <w:p w14:paraId="299AF9FB">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94784" behindDoc="0" locked="0" layoutInCell="1" allowOverlap="1">
                <wp:simplePos x="0" y="0"/>
                <wp:positionH relativeFrom="column">
                  <wp:posOffset>-114300</wp:posOffset>
                </wp:positionH>
                <wp:positionV relativeFrom="paragraph">
                  <wp:posOffset>69850</wp:posOffset>
                </wp:positionV>
                <wp:extent cx="914400" cy="396240"/>
                <wp:effectExtent l="0" t="0" r="0" b="0"/>
                <wp:wrapNone/>
                <wp:docPr id="236" name="文本框 236"/>
                <wp:cNvGraphicFramePr/>
                <a:graphic xmlns:a="http://schemas.openxmlformats.org/drawingml/2006/main">
                  <a:graphicData uri="http://schemas.microsoft.com/office/word/2010/wordprocessingShape">
                    <wps:wsp>
                      <wps:cNvSpPr txBox="1"/>
                      <wps:spPr>
                        <a:xfrm>
                          <a:off x="0" y="0"/>
                          <a:ext cx="914400" cy="396240"/>
                        </a:xfrm>
                        <a:prstGeom prst="rect">
                          <a:avLst/>
                        </a:prstGeom>
                        <a:noFill/>
                        <a:ln>
                          <a:noFill/>
                        </a:ln>
                        <a:effectLst/>
                      </wps:spPr>
                      <wps:txbx>
                        <w:txbxContent>
                          <w:p w14:paraId="4302BEF0">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工程变更内容</w:t>
                            </w:r>
                          </w:p>
                        </w:txbxContent>
                      </wps:txbx>
                      <wps:bodyPr wrap="square" upright="1"/>
                    </wps:wsp>
                  </a:graphicData>
                </a:graphic>
              </wp:anchor>
            </w:drawing>
          </mc:Choice>
          <mc:Fallback>
            <w:pict>
              <v:shape id="_x0000_s1026" o:spid="_x0000_s1026" o:spt="202" type="#_x0000_t202" style="position:absolute;left:0pt;margin-left:-9pt;margin-top:5.5pt;height:31.2pt;width:72pt;z-index:251894784;mso-width-relative:page;mso-height-relative:page;" filled="f" stroked="f" coordsize="21600,21600" o:gfxdata="UEsDBAoAAAAAAIdO4kAAAAAAAAAAAAAAAAAEAAAAZHJzL1BLAwQUAAAACACHTuJAwPpe1dYAAAAJ&#10;AQAADwAAAGRycy9kb3ducmV2LnhtbE2PT0/DMAzF70h8h8hI3LakY4xR6u4A4gpi/JG4ZY3XVjRO&#10;1WRr+fZ4J3ayrff0/HvFZvKdOtIQ28AI2dyAIq6Ca7lG+Hh/nq1BxWTZ2S4wIfxShE15eVHY3IWR&#10;3+i4TbWSEI65RWhS6nOtY9WQt3EeemLR9mHwNsk51NoNdpRw3+mFMSvtbcvyobE9PTZU/WwPHuHz&#10;Zf/9tTSv9ZO/7ccwGc3+XiNeX2XmAVSiKf2b4YQv6FAK0y4c2EXVIcyytXRJImQyT4bFSpYdwt3N&#10;EnRZ6PMG5R9QSwMEFAAAAAgAh07iQFnXvWi9AQAAbQMAAA4AAABkcnMvZTJvRG9jLnhtbK1TS27b&#10;MBDdF+gdCO5ryY5hNILlAIGRboq2QNoD0NTIIsBfOLQlX6C9QVfddN9z+RwdUoqbppssuqGG83mc&#10;92a0vhmMZkcIqJyt+XxWcgZWukbZfc2/fL5785YzjMI2QjsLNT8B8pvN61fr3lewcJ3TDQRGIBar&#10;3te8i9FXRYGyAyNw5jxYCrYuGBHpGvZFE0RP6EYXi7JcFb0LjQ9OAiJ5t2OQT4jhJYCubZWErZMH&#10;AzaOqAG0iEQJO+WRb3K3bQsyfmxbhMh0zYlpzCc9QvYuncVmLap9EL5TcmpBvKSFZ5yMUJYevUBt&#10;RRTsENQ/UEbJ4NC1cSadKUYiWRFiMS+faXPfCQ+ZC0mN/iI6/j9Y+eH4KTDV1HxxteLMCkMjP3//&#10;dv7x6/zzK0tOkqj3WFHmvafcONy6gRbn0Y/kTMyHNpj0JU6M4iTw6SIwDJFJcl7Pl8uSIpJCV9er&#10;xTIPoPhT7APGd+AMS0bNA80vyyqO7zFSI5T6mJLesu5OaZ1nqO1fDkocPZCXYKpOPMZ+kxWH3TCR&#10;27nmRNx6WoSa48NBBODs4IPad9RG5lqkEppCbmLamDTmp3eyn/4lm9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A+l7V1gAAAAkBAAAPAAAAAAAAAAEAIAAAACIAAABkcnMvZG93bnJldi54bWxQSwEC&#10;FAAUAAAACACHTuJAWde9aL0BAABtAwAADgAAAAAAAAABACAAAAAlAQAAZHJzL2Uyb0RvYy54bWxQ&#10;SwUGAAAAAAYABgBZAQAAVAUAAAAA&#10;">
                <v:fill on="f" focussize="0,0"/>
                <v:stroke on="f"/>
                <v:imagedata o:title=""/>
                <o:lock v:ext="edit" aspectratio="f"/>
                <v:textbox>
                  <w:txbxContent>
                    <w:p w14:paraId="4302BEF0">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工程变更内容</w:t>
                      </w:r>
                    </w:p>
                  </w:txbxContent>
                </v:textbox>
              </v:shape>
            </w:pict>
          </mc:Fallback>
        </mc:AlternateContent>
      </w:r>
      <w:r>
        <w:rPr>
          <w:rFonts w:hint="default" w:ascii="Times New Roman" w:hAnsi="Times New Roman" w:cs="Times New Roman"/>
          <w:color w:val="auto"/>
          <w:sz w:val="22"/>
          <w:szCs w:val="22"/>
          <w:highlight w:val="none"/>
        </w:rPr>
        <w:t>合同履行期间，发包人可对合同工程或其任何部分的形式、质量或数量作出变更。发生下列情形之一，应按照本条规定进行变更。</w:t>
      </w:r>
    </w:p>
    <w:p w14:paraId="5384753E">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(1) 改变合同工程中任何工程数量（不含工程量的偏差）；</w:t>
      </w:r>
    </w:p>
    <w:p w14:paraId="1AE67866">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 xml:space="preserve">(2) 删减任何工作，但删减的工作不能转由发包人或其他人实施；   </w:t>
      </w:r>
    </w:p>
    <w:p w14:paraId="4E26B944">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(3) 改变任何工作内容的性质、质量或其他特征；</w:t>
      </w:r>
    </w:p>
    <w:p w14:paraId="1932FE0E">
      <w:pPr>
        <w:pStyle w:val="15"/>
        <w:adjustRightInd w:val="0"/>
        <w:snapToGrid w:val="0"/>
        <w:spacing w:line="420" w:lineRule="exact"/>
        <w:ind w:left="1619" w:leftChars="771" w:firstLine="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(4) 改变工程任何部分的标高、基线、位置和</w:t>
      </w:r>
      <w:r>
        <w:rPr>
          <w:rFonts w:hint="default" w:ascii="Times New Roman" w:hAnsi="Times New Roman" w:cs="Times New Roman"/>
          <w:color w:val="auto"/>
          <w:sz w:val="22"/>
          <w:szCs w:val="22"/>
          <w:highlight w:val="none"/>
          <w:lang w:eastAsia="zh-CN"/>
        </w:rPr>
        <w:t>（</w:t>
      </w:r>
      <w:r>
        <w:rPr>
          <w:rFonts w:hint="default" w:ascii="Times New Roman" w:hAnsi="Times New Roman" w:cs="Times New Roman"/>
          <w:color w:val="auto"/>
          <w:sz w:val="22"/>
          <w:szCs w:val="22"/>
          <w:highlight w:val="none"/>
        </w:rPr>
        <w:t>或</w:t>
      </w:r>
      <w:r>
        <w:rPr>
          <w:rFonts w:hint="default" w:ascii="Times New Roman" w:hAnsi="Times New Roman" w:cs="Times New Roman"/>
          <w:color w:val="auto"/>
          <w:sz w:val="22"/>
          <w:szCs w:val="22"/>
          <w:highlight w:val="none"/>
          <w:lang w:eastAsia="zh-CN"/>
        </w:rPr>
        <w:t>）</w:t>
      </w:r>
      <w:r>
        <w:rPr>
          <w:rFonts w:hint="default" w:ascii="Times New Roman" w:hAnsi="Times New Roman" w:cs="Times New Roman"/>
          <w:color w:val="auto"/>
          <w:sz w:val="22"/>
          <w:szCs w:val="22"/>
          <w:highlight w:val="none"/>
        </w:rPr>
        <w:t>尺寸；</w:t>
      </w:r>
    </w:p>
    <w:p w14:paraId="3823089B">
      <w:pPr>
        <w:pStyle w:val="15"/>
        <w:adjustRightInd w:val="0"/>
        <w:snapToGrid w:val="0"/>
        <w:spacing w:line="420" w:lineRule="exact"/>
        <w:ind w:left="1619" w:leftChars="771" w:firstLine="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(5) 为完成永久工程所必须的任何额外工作；</w:t>
      </w:r>
    </w:p>
    <w:p w14:paraId="1F902845">
      <w:pPr>
        <w:pStyle w:val="15"/>
        <w:adjustRightInd w:val="0"/>
        <w:snapToGrid w:val="0"/>
        <w:spacing w:line="420" w:lineRule="exact"/>
        <w:ind w:left="1619" w:leftChars="771" w:firstLine="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但对合同工程工期、质量标准等实质性变更的，应在作出变更前，与承包人签订补充协议书，作为本合同的补充文件。</w:t>
      </w:r>
    </w:p>
    <w:p w14:paraId="5E31F5C3">
      <w:pPr>
        <w:pStyle w:val="15"/>
        <w:adjustRightInd w:val="0"/>
        <w:snapToGrid w:val="0"/>
        <w:spacing w:line="420" w:lineRule="exact"/>
        <w:rPr>
          <w:rFonts w:hint="default" w:ascii="Times New Roman" w:hAnsi="Times New Roman" w:cs="Times New Roman"/>
          <w:b/>
          <w:bCs/>
          <w:color w:val="auto"/>
          <w:sz w:val="22"/>
          <w:szCs w:val="22"/>
          <w:highlight w:val="none"/>
          <w:u w:val="dotted"/>
        </w:rPr>
      </w:pPr>
      <w:r>
        <w:rPr>
          <w:rFonts w:hint="default" w:ascii="Times New Roman" w:hAnsi="Times New Roman" w:cs="Times New Roman"/>
          <w:b/>
          <w:bCs/>
          <w:color w:val="auto"/>
          <w:sz w:val="22"/>
          <w:szCs w:val="22"/>
          <w:highlight w:val="none"/>
        </w:rPr>
        <w:t xml:space="preserve">56.3  </w:t>
      </w:r>
      <w:r>
        <w:rPr>
          <w:rFonts w:hint="default" w:ascii="Times New Roman" w:hAnsi="Times New Roman" w:cs="Times New Roman"/>
          <w:b/>
          <w:bCs/>
          <w:color w:val="auto"/>
          <w:sz w:val="22"/>
          <w:szCs w:val="22"/>
          <w:highlight w:val="none"/>
          <w:u w:val="dotted"/>
        </w:rPr>
        <w:t xml:space="preserve">                                                                               </w:t>
      </w:r>
    </w:p>
    <w:p w14:paraId="289DC9C9">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95808" behindDoc="0" locked="0" layoutInCell="1" allowOverlap="1">
                <wp:simplePos x="0" y="0"/>
                <wp:positionH relativeFrom="column">
                  <wp:posOffset>-114300</wp:posOffset>
                </wp:positionH>
                <wp:positionV relativeFrom="paragraph">
                  <wp:posOffset>15875</wp:posOffset>
                </wp:positionV>
                <wp:extent cx="914400" cy="556895"/>
                <wp:effectExtent l="0" t="0" r="0" b="0"/>
                <wp:wrapNone/>
                <wp:docPr id="237" name="文本框 237"/>
                <wp:cNvGraphicFramePr/>
                <a:graphic xmlns:a="http://schemas.openxmlformats.org/drawingml/2006/main">
                  <a:graphicData uri="http://schemas.microsoft.com/office/word/2010/wordprocessingShape">
                    <wps:wsp>
                      <wps:cNvSpPr txBox="1"/>
                      <wps:spPr>
                        <a:xfrm>
                          <a:off x="0" y="0"/>
                          <a:ext cx="914400" cy="556895"/>
                        </a:xfrm>
                        <a:prstGeom prst="rect">
                          <a:avLst/>
                        </a:prstGeom>
                        <a:noFill/>
                        <a:ln>
                          <a:noFill/>
                        </a:ln>
                        <a:effectLst/>
                      </wps:spPr>
                      <wps:txbx>
                        <w:txbxContent>
                          <w:p w14:paraId="11292ECA">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工程变更程序</w:t>
                            </w:r>
                          </w:p>
                        </w:txbxContent>
                      </wps:txbx>
                      <wps:bodyPr wrap="square" upright="1"/>
                    </wps:wsp>
                  </a:graphicData>
                </a:graphic>
              </wp:anchor>
            </w:drawing>
          </mc:Choice>
          <mc:Fallback>
            <w:pict>
              <v:shape id="_x0000_s1026" o:spid="_x0000_s1026" o:spt="202" type="#_x0000_t202" style="position:absolute;left:0pt;margin-left:-9pt;margin-top:1.25pt;height:43.85pt;width:72pt;z-index:251895808;mso-width-relative:page;mso-height-relative:page;" filled="f" stroked="f" coordsize="21600,21600" o:gfxdata="UEsDBAoAAAAAAIdO4kAAAAAAAAAAAAAAAAAEAAAAZHJzL1BLAwQUAAAACACHTuJAVDD/2NUAAAAI&#10;AQAADwAAAGRycy9kb3ducmV2LnhtbE2PzU7DMBCE70i8g7VI3Fo7Ea3akE0PIK4gyo/EzY23SUS8&#10;jmK3CW/P9gTH0Yxmvil3s+/VmcbYBUbIlgYUcR1cxw3C+9vTYgMqJsvO9oEJ4Yci7Krrq9IWLkz8&#10;Sud9apSUcCwsQpvSUGgd65a8jcswEIt3DKO3SeTYaDfaScp9r3Nj1trbjmWhtQM9tFR/708e4eP5&#10;+PV5Z16aR78apjAbzX6rEW9vMnMPKtGc/sJwwRd0qITpEE7souoRFtlGviSEfAXq4udr0QeErclB&#10;V6X+f6D6BVBLAwQUAAAACACHTuJAcR1q5L4BAABtAwAADgAAAGRycy9lMm9Eb2MueG1srVPNjtMw&#10;EL4j8Q6W79Rp2S67UdOVULVcECAtPIDrTBpL8Q8et0lfAN6AExfuPFefY8dOtizLZQ9cnPH8fJ7v&#10;m8nqZjAdO0BA7WzF57OCM7DK1druKv7l8+2rK84wSlvLzlmo+BGQ36xfvlj1voSFa11XQ2AEYrHs&#10;fcXbGH0pBKoWjMSZ82Ap2LhgZKRr2Ik6yJ7QTScWRXEpehdqH5wCRPJuxiCfEMNzAF3TaAUbp/YG&#10;bBxRA3QyEiVstUe+zt02Daj4sWkQIusqTkxjPukRsrfpFOuVLHdB+larqQX5nBaecDJSW3r0DLWR&#10;UbJ90P9AGa2CQ9fEmXJGjESyIsRiXjzR5q6VHjIXkhr9WXT8f7Dqw+FTYLqu+OL1G86sNDTy04/v&#10;p5+/T7++seQkiXqPJWXeecqNw1s30OI8+JGcifnQBJO+xIlRnAQ+ngWGITJFzuv5xUVBEUWh5fLy&#10;6nqZUMSfYh8wvgNnWDIqHmh+WVZ5eI9xTH1ISW9Zd6u7Ls+ws385CHP0QF6CqTrxGPtNVhy2w0Ru&#10;6+ojcetpESqOX/cyAGd7H/SupTYyV5FKaAq532lj0pgf38l+/Jes7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UMP/Y1QAAAAgBAAAPAAAAAAAAAAEAIAAAACIAAABkcnMvZG93bnJldi54bWxQSwEC&#10;FAAUAAAACACHTuJAcR1q5L4BAABtAwAADgAAAAAAAAABACAAAAAkAQAAZHJzL2Uyb0RvYy54bWxQ&#10;SwUGAAAAAAYABgBZAQAAVAUAAAAA&#10;">
                <v:fill on="f" focussize="0,0"/>
                <v:stroke on="f"/>
                <v:imagedata o:title=""/>
                <o:lock v:ext="edit" aspectratio="f"/>
                <v:textbox>
                  <w:txbxContent>
                    <w:p w14:paraId="11292ECA">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工程变更程序</w:t>
                      </w:r>
                    </w:p>
                  </w:txbxContent>
                </v:textbox>
              </v:shape>
            </w:pict>
          </mc:Fallback>
        </mc:AlternateContent>
      </w:r>
      <w:bookmarkStart w:id="211" w:name="OLE_LINK1"/>
      <w:r>
        <w:rPr>
          <w:rFonts w:hint="default" w:ascii="Times New Roman" w:hAnsi="Times New Roman" w:cs="Times New Roman"/>
          <w:color w:val="auto"/>
          <w:sz w:val="22"/>
          <w:szCs w:val="22"/>
          <w:highlight w:val="none"/>
        </w:rPr>
        <w:t>合同工程发生变更</w:t>
      </w:r>
      <w:bookmarkEnd w:id="211"/>
      <w:r>
        <w:rPr>
          <w:rFonts w:hint="default" w:ascii="Times New Roman" w:hAnsi="Times New Roman" w:cs="Times New Roman"/>
          <w:color w:val="auto"/>
          <w:sz w:val="22"/>
          <w:szCs w:val="22"/>
          <w:highlight w:val="none"/>
        </w:rPr>
        <w:t>，合同双方当事人以及监理工程师、造价工程师应遵循下列程序实施工程变更的相关工作。</w:t>
      </w:r>
    </w:p>
    <w:p w14:paraId="596B97DC">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(1)合同工程可能发生或发生工程变更时，监理工程师或承包人可依据下列情况及时提出。</w:t>
      </w:r>
    </w:p>
    <w:p w14:paraId="2DA56B1B">
      <w:pPr>
        <w:pStyle w:val="15"/>
        <w:adjustRightInd w:val="0"/>
        <w:snapToGrid w:val="0"/>
        <w:spacing w:line="420" w:lineRule="exact"/>
        <w:ind w:left="162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1）合同工程可能发生第56.2款所列情形的，监理工程师可向承包人发出变更意向书，并附必要的施工设计图纸及其说明等资料。承包人应在收到变更意向书后的7天内，向监理工程师书面提交包括拟实施变更工作的计划、措施、竣工时间、修改内容和所需金额等在内的实施方案。发包人应在收到实施方案后的7天内予以答复；同意承包人提交的实施方案的，监理工程师应在收到实施方案后的14天内发出变更指令。</w:t>
      </w:r>
    </w:p>
    <w:p w14:paraId="203AD944">
      <w:pPr>
        <w:pStyle w:val="15"/>
        <w:adjustRightInd w:val="0"/>
        <w:snapToGrid w:val="0"/>
        <w:spacing w:line="420" w:lineRule="exact"/>
        <w:ind w:left="162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2）合同工程发生第56.2款所列情形的，监理工程师应至少提前14天以书面形式向承包人发出变更指令，并提供变更的施工设计图纸及其说明等资料。</w:t>
      </w:r>
    </w:p>
    <w:p w14:paraId="504A51BE">
      <w:pPr>
        <w:pStyle w:val="15"/>
        <w:adjustRightInd w:val="0"/>
        <w:snapToGrid w:val="0"/>
        <w:spacing w:line="420" w:lineRule="exact"/>
        <w:ind w:left="162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3）承包人收到发包人为实施合同工程所提供的施工设计图纸和文件，经检查认为存在第56.2款所列情形的，可向监理工程师提出书面建议。监理工程师收到承包人书面建议后，应提出确认意见并报发包人审批；确认存在变更的，监理工程师应在收到承包人书面建议后的14天内发出变更指令。不同意作为变更的，应由监理工程师书面答复承包人。</w:t>
      </w:r>
    </w:p>
    <w:p w14:paraId="684ABAF9">
      <w:pPr>
        <w:pStyle w:val="15"/>
        <w:adjustRightInd w:val="0"/>
        <w:snapToGrid w:val="0"/>
        <w:spacing w:line="420" w:lineRule="exact"/>
        <w:ind w:left="162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4）若承包人收到监理工程师的变更意向书后认为难以实施此项变更的，应立即通知监理工程师，说明原因并附详细依据。监理工程师与合同双方当事人协商后确定撤销、改变或不改变原变更意向书。</w:t>
      </w:r>
    </w:p>
    <w:p w14:paraId="29C4F94B">
      <w:pPr>
        <w:pStyle w:val="15"/>
        <w:adjustRightInd w:val="0"/>
        <w:snapToGrid w:val="0"/>
        <w:spacing w:line="420" w:lineRule="exact"/>
        <w:ind w:left="162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lang w:eastAsia="zh-CN"/>
        </w:rPr>
        <w:t>（</w:t>
      </w:r>
      <w:r>
        <w:rPr>
          <w:rFonts w:hint="default" w:ascii="Times New Roman" w:hAnsi="Times New Roman" w:cs="Times New Roman"/>
          <w:color w:val="auto"/>
          <w:sz w:val="22"/>
          <w:szCs w:val="22"/>
          <w:highlight w:val="none"/>
        </w:rPr>
        <w:t>2）承包人应在收到监理工程师发出变更指令或变更意向书后的14天内，向发包人提交工程变更报告，并抄送监理工程师、造价工程师。报告内容应包括变更原因、根据第72条约定详细开列变更工作的价格组成和依据，并附变更的施工设计图纸及其相关说明。</w:t>
      </w:r>
    </w:p>
    <w:p w14:paraId="5B981627">
      <w:pPr>
        <w:pStyle w:val="15"/>
        <w:adjustRightInd w:val="0"/>
        <w:snapToGrid w:val="0"/>
        <w:spacing w:line="420" w:lineRule="exact"/>
        <w:ind w:left="162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变更工作影响工期的，承包人应提出调整工期的要求。发包人认为有必要时，可要求承包人提交提前或者延长工期的施工进度计划或相应施工措施等资料。</w:t>
      </w:r>
    </w:p>
    <w:p w14:paraId="7056D460">
      <w:pPr>
        <w:pStyle w:val="15"/>
        <w:adjustRightInd w:val="0"/>
        <w:snapToGrid w:val="0"/>
        <w:spacing w:line="420" w:lineRule="exact"/>
        <w:ind w:left="162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(3)发包人在收到承包人工程变更报告后，应通知监理工程师、造价工程师及时对报告内容予以核实，并在收到报告后的14天内予以确定或提出修改意见。发包人在收到承包人工程变更报告后的14天内未确定也未提出修改意见的，视为承包人提交的工程变更报告已被认可。</w:t>
      </w:r>
    </w:p>
    <w:p w14:paraId="3A94DA66">
      <w:pPr>
        <w:pStyle w:val="15"/>
        <w:adjustRightInd w:val="0"/>
        <w:snapToGrid w:val="0"/>
        <w:spacing w:line="420" w:lineRule="exact"/>
        <w:ind w:left="1575" w:leftChars="750"/>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w:t>(4)承包人应在发包人确定工程变更报告后的7天内，按照监理工程师发出的变更指令及时组织实施变更工作。否则，由此引起的损失和（或）延误的工期由承包人承担。</w:t>
      </w:r>
    </w:p>
    <w:p w14:paraId="2EA3F556">
      <w:pPr>
        <w:pStyle w:val="15"/>
        <w:adjustRightInd w:val="0"/>
        <w:snapToGrid w:val="0"/>
        <w:spacing w:line="420" w:lineRule="exact"/>
        <w:rPr>
          <w:rFonts w:hint="default" w:ascii="Times New Roman" w:hAnsi="Times New Roman" w:cs="Times New Roman"/>
          <w:b/>
          <w:bCs/>
          <w:color w:val="auto"/>
          <w:sz w:val="22"/>
          <w:szCs w:val="22"/>
          <w:highlight w:val="none"/>
          <w:u w:val="dotted"/>
        </w:rPr>
      </w:pPr>
      <w:r>
        <w:rPr>
          <w:rFonts w:hint="default" w:ascii="Times New Roman" w:hAnsi="Times New Roman" w:cs="Times New Roman"/>
          <w:b/>
          <w:bCs/>
          <w:color w:val="auto"/>
          <w:sz w:val="22"/>
          <w:szCs w:val="22"/>
          <w:highlight w:val="none"/>
        </w:rPr>
        <w:t xml:space="preserve">56.4  </w:t>
      </w:r>
      <w:r>
        <w:rPr>
          <w:rFonts w:hint="default" w:ascii="Times New Roman" w:hAnsi="Times New Roman" w:cs="Times New Roman"/>
          <w:b/>
          <w:bCs/>
          <w:color w:val="auto"/>
          <w:sz w:val="22"/>
          <w:szCs w:val="22"/>
          <w:highlight w:val="none"/>
          <w:u w:val="dotted"/>
        </w:rPr>
        <w:t xml:space="preserve">                                                                               </w:t>
      </w:r>
    </w:p>
    <w:p w14:paraId="6F18CF92">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96832" behindDoc="0" locked="0" layoutInCell="1" allowOverlap="1">
                <wp:simplePos x="0" y="0"/>
                <wp:positionH relativeFrom="column">
                  <wp:posOffset>-114300</wp:posOffset>
                </wp:positionH>
                <wp:positionV relativeFrom="paragraph">
                  <wp:posOffset>7620</wp:posOffset>
                </wp:positionV>
                <wp:extent cx="914400" cy="412115"/>
                <wp:effectExtent l="0" t="0" r="0" b="0"/>
                <wp:wrapNone/>
                <wp:docPr id="238" name="文本框 238"/>
                <wp:cNvGraphicFramePr/>
                <a:graphic xmlns:a="http://schemas.openxmlformats.org/drawingml/2006/main">
                  <a:graphicData uri="http://schemas.microsoft.com/office/word/2010/wordprocessingShape">
                    <wps:wsp>
                      <wps:cNvSpPr txBox="1"/>
                      <wps:spPr>
                        <a:xfrm>
                          <a:off x="0" y="0"/>
                          <a:ext cx="914400" cy="412115"/>
                        </a:xfrm>
                        <a:prstGeom prst="rect">
                          <a:avLst/>
                        </a:prstGeom>
                        <a:noFill/>
                        <a:ln>
                          <a:noFill/>
                        </a:ln>
                        <a:effectLst/>
                      </wps:spPr>
                      <wps:txbx>
                        <w:txbxContent>
                          <w:p w14:paraId="0E952EAA">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承包人提出工程变更建议</w:t>
                            </w:r>
                          </w:p>
                        </w:txbxContent>
                      </wps:txbx>
                      <wps:bodyPr wrap="square" upright="1"/>
                    </wps:wsp>
                  </a:graphicData>
                </a:graphic>
              </wp:anchor>
            </w:drawing>
          </mc:Choice>
          <mc:Fallback>
            <w:pict>
              <v:shape id="_x0000_s1026" o:spid="_x0000_s1026" o:spt="202" type="#_x0000_t202" style="position:absolute;left:0pt;margin-left:-9pt;margin-top:0.6pt;height:32.45pt;width:72pt;z-index:251896832;mso-width-relative:page;mso-height-relative:page;" filled="f" stroked="f" coordsize="21600,21600" o:gfxdata="UEsDBAoAAAAAAIdO4kAAAAAAAAAAAAAAAAAEAAAAZHJzL1BLAwQUAAAACACHTuJAD7hOtdQAAAAI&#10;AQAADwAAAGRycy9kb3ducmV2LnhtbE2Py07DMBBF90j8gzVI7NpxIohKiNMFiC2I8pDYufE0iYjH&#10;Uew24e+ZrmB5dUZ3zq22ix/UiabYBzaQrTUo4ia4nlsD729Pqw2omCw7OwQmAz8UYVtfXlS2dGHm&#10;VzrtUqukhGNpDXQpjSVibDryNq7DSCzsECZvk8SpRTfZWcr9gLnWBXrbs3zo7EgPHTXfu6M38PF8&#10;+Pq80S/to78d57BoZH+HxlxfZfoeVKIl/R3DWV/UoRanfTiyi2owsMo2siUJyEGdeV5I3hsoigyw&#10;rvD/gPoXUEsDBBQAAAAIAIdO4kDx2QuAvAEAAG0DAAAOAAAAZHJzL2Uyb0RvYy54bWytU82O0zAQ&#10;viPxDpbv1EkpCKKmK6FquSBAWngA1xk3luIfPG6TvgC8AScu3HmuPgfjJFuW3cse9uKM5+fzfN9M&#10;1leD7dgRIhrval4uCs7AKd8Yt6/51y/XL95whkm6RnbeQc1PgPxq8/zZug8VLH3ruwYiIxCHVR9q&#10;3qYUKiFQtWAlLnwAR0Hto5WJrnEvmih7QredWBbFa9H72IToFSCSdzsF+YwYHwPotTYKtl4dLLg0&#10;oUboZCJK2JqAfDN2qzWo9ElrhMS6mhPTNJ70CNm7fIrNWlb7KENr1NyCfEwL9zhZaRw9eoHayiTZ&#10;IZoHUNao6NHrtFDeionIqAixKIt72ty0MsDIhaTGcBEdnw5WfTx+jsw0NV++pME7aWnk558/zr/+&#10;nH9/Z9lJEvUBK8q8CZSbhnd+oMW59SM5M/NBR5u/xIlRnAQ+XQSGITFFzrflalVQRFFoVS7L8lVG&#10;Ef+KQ8T0Hrxl2ah5pPmNssrjB0xT6m1Kfsv5a9N14ww795+DMCcPjEswV2ceU7/ZSsNumMntfHMi&#10;bj0tQs3x20FG4OwQotm31MbIVeQSmsLY77wxecx372Tf/Us2f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PuE611AAAAAgBAAAPAAAAAAAAAAEAIAAAACIAAABkcnMvZG93bnJldi54bWxQSwECFAAU&#10;AAAACACHTuJA8dkLgLwBAABtAwAADgAAAAAAAAABACAAAAAjAQAAZHJzL2Uyb0RvYy54bWxQSwUG&#10;AAAAAAYABgBZAQAAUQUAAAAA&#10;">
                <v:fill on="f" focussize="0,0"/>
                <v:stroke on="f"/>
                <v:imagedata o:title=""/>
                <o:lock v:ext="edit" aspectratio="f"/>
                <v:textbox>
                  <w:txbxContent>
                    <w:p w14:paraId="0E952EAA">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承包人提出工程变更建议</w:t>
                      </w:r>
                    </w:p>
                  </w:txbxContent>
                </v:textbox>
              </v:shape>
            </w:pict>
          </mc:Fallback>
        </mc:AlternateContent>
      </w:r>
      <w:r>
        <w:rPr>
          <w:rFonts w:hint="default" w:ascii="Times New Roman" w:hAnsi="Times New Roman" w:cs="Times New Roman"/>
          <w:color w:val="auto"/>
          <w:sz w:val="22"/>
          <w:szCs w:val="22"/>
          <w:highlight w:val="none"/>
        </w:rPr>
        <w:t>合同履行期间，承包人可提出工程变更建议。变更建议应以书面形式向监理工程师提出，同时抄送发包人，详细说明变更的原因、变更方案及合同价格的增减情况，并附必要的施工设计图纸及其说明等资料。变更建议被采纳的，监理工程师应按照第56.3款规定向承包人发出变更指令。</w:t>
      </w:r>
    </w:p>
    <w:p w14:paraId="716952C8">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发包人采纳承包人的建议，给发包人带来降低合同价款、缩短工期或提交工程经济效益等利益的，发包人应按照国家有关规定并在专用条款中约定的计算方法予以奖励。</w:t>
      </w:r>
    </w:p>
    <w:p w14:paraId="33E93154">
      <w:pPr>
        <w:pStyle w:val="15"/>
        <w:adjustRightInd w:val="0"/>
        <w:snapToGrid w:val="0"/>
        <w:spacing w:line="420" w:lineRule="exact"/>
        <w:rPr>
          <w:rFonts w:hint="default" w:ascii="Times New Roman" w:hAnsi="Times New Roman" w:cs="Times New Roman"/>
          <w:b/>
          <w:bCs/>
          <w:color w:val="auto"/>
          <w:sz w:val="22"/>
          <w:szCs w:val="22"/>
          <w:highlight w:val="none"/>
          <w:u w:val="dotted"/>
        </w:rPr>
      </w:pPr>
      <w:r>
        <w:rPr>
          <w:rFonts w:hint="default" w:ascii="Times New Roman" w:hAnsi="Times New Roman" w:cs="Times New Roman"/>
          <w:b/>
          <w:bCs/>
          <w:color w:val="auto"/>
          <w:sz w:val="22"/>
          <w:szCs w:val="22"/>
          <w:highlight w:val="none"/>
        </w:rPr>
        <w:t xml:space="preserve">56.5  </w:t>
      </w:r>
      <w:r>
        <w:rPr>
          <w:rFonts w:hint="default" w:ascii="Times New Roman" w:hAnsi="Times New Roman" w:cs="Times New Roman"/>
          <w:b/>
          <w:bCs/>
          <w:color w:val="auto"/>
          <w:sz w:val="22"/>
          <w:szCs w:val="22"/>
          <w:highlight w:val="none"/>
          <w:u w:val="dotted"/>
        </w:rPr>
        <w:t xml:space="preserve">                                                                                </w:t>
      </w:r>
    </w:p>
    <w:p w14:paraId="7DB87AFF">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97856" behindDoc="0" locked="0" layoutInCell="1" allowOverlap="1">
                <wp:simplePos x="0" y="0"/>
                <wp:positionH relativeFrom="column">
                  <wp:posOffset>-114300</wp:posOffset>
                </wp:positionH>
                <wp:positionV relativeFrom="paragraph">
                  <wp:posOffset>15240</wp:posOffset>
                </wp:positionV>
                <wp:extent cx="914400" cy="588010"/>
                <wp:effectExtent l="0" t="0" r="0" b="0"/>
                <wp:wrapNone/>
                <wp:docPr id="239" name="文本框 239"/>
                <wp:cNvGraphicFramePr/>
                <a:graphic xmlns:a="http://schemas.openxmlformats.org/drawingml/2006/main">
                  <a:graphicData uri="http://schemas.microsoft.com/office/word/2010/wordprocessingShape">
                    <wps:wsp>
                      <wps:cNvSpPr txBox="1"/>
                      <wps:spPr>
                        <a:xfrm>
                          <a:off x="0" y="0"/>
                          <a:ext cx="914400" cy="588010"/>
                        </a:xfrm>
                        <a:prstGeom prst="rect">
                          <a:avLst/>
                        </a:prstGeom>
                        <a:noFill/>
                        <a:ln>
                          <a:noFill/>
                        </a:ln>
                        <a:effectLst/>
                      </wps:spPr>
                      <wps:txbx>
                        <w:txbxContent>
                          <w:p w14:paraId="1A1606FB">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工程变更导致合同价款和工期的调整</w:t>
                            </w:r>
                          </w:p>
                        </w:txbxContent>
                      </wps:txbx>
                      <wps:bodyPr wrap="square" upright="1"/>
                    </wps:wsp>
                  </a:graphicData>
                </a:graphic>
              </wp:anchor>
            </w:drawing>
          </mc:Choice>
          <mc:Fallback>
            <w:pict>
              <v:shape id="_x0000_s1026" o:spid="_x0000_s1026" o:spt="202" type="#_x0000_t202" style="position:absolute;left:0pt;margin-left:-9pt;margin-top:1.2pt;height:46.3pt;width:72pt;z-index:251897856;mso-width-relative:page;mso-height-relative:page;" filled="f" stroked="f" coordsize="21600,21600" o:gfxdata="UEsDBAoAAAAAAIdO4kAAAAAAAAAAAAAAAAAEAAAAZHJzL1BLAwQUAAAACACHTuJALzKxEtUAAAAI&#10;AQAADwAAAGRycy9kb3ducmV2LnhtbE2PwW7CMBBE75X4B2uRuIGdCBCk2XCg6pWqlFbqzcRLEhGv&#10;o9iQ9O9rTu1xNKOZN/lutK24U+8bxwjJQoEgLp1puEI4fbzONyB80Gx065gQfsjDrpg85TozbuB3&#10;uh9DJWIJ+0wj1CF0mZS+rMlqv3AdcfQurrc6RNlX0vR6iOW2lalSa2l1w3Gh1h3tayqvx5tF+Dxc&#10;vr+W6q16satucKOSbLcScTZN1DOIQGP4C8MDP6JDEZnO7sbGixZhnmzil4CQLkE8/HQd9Rlhu1Ig&#10;i1z+P1D8AlBLAwQUAAAACACHTuJArmFgOLwBAABtAwAADgAAAGRycy9lMm9Eb2MueG1srVNLbtsw&#10;EN0XyB0I7mPKblI4guUAhZFuirRA2gPQ1NAiIH7KoS35Au0Nuuqm+57L5+hQUtw03WTRDTWcz+O8&#10;N6PVbW9bdoCIxruKz2cFZ+CUr43bVfzzp7vLJWeYpKtl6x1U/AjIb9cXr1ZdKGHhG9/WEBmBOCy7&#10;UPEmpVAKgaoBK3HmAzgKah+tTHSNO1FH2RG6bcWiKN6Izsc6RK8AkbybMcgnxPgSQK+1UbDxam/B&#10;pRE1QisTUcLGBOTroVutQaUPWiMk1lacmKbhpEfI3uZTrFey3EUZGqOmFuRLWnjGyUrj6NEz1EYm&#10;yfbR/ANljYoevU4z5a0YiQyKEIt58Uybh0YGGLiQ1BjOouP/g1X3h4+Rmbrii9c3nDlpaeSn799O&#10;P36dfn5l2UkSdQFLynwIlJv6t76nxXn0Izkz815Hm7/EiVGcBD6eBYY+MUXOm/nVVUERRaHr5ZIY&#10;ZxTxpzhETO/AW5aNikea3yCrPLzHNKY+puS3nL8zbTvMsHV/OQhz9MCwBFN15jH2m63Ub/uJ3NbX&#10;R+LW0SJUHL/sZQTO9iGaXUNtDFxFLqEpDP1OG5PH/PRO9tO/ZP0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LzKxEtUAAAAIAQAADwAAAAAAAAABACAAAAAiAAAAZHJzL2Rvd25yZXYueG1sUEsBAhQA&#10;FAAAAAgAh07iQK5hYDi8AQAAbQMAAA4AAAAAAAAAAQAgAAAAJAEAAGRycy9lMm9Eb2MueG1sUEsF&#10;BgAAAAAGAAYAWQEAAFIFAAAAAA==&#10;">
                <v:fill on="f" focussize="0,0"/>
                <v:stroke on="f"/>
                <v:imagedata o:title=""/>
                <o:lock v:ext="edit" aspectratio="f"/>
                <v:textbox>
                  <w:txbxContent>
                    <w:p w14:paraId="1A1606FB">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工程变更导致合同价款和工期的调整</w:t>
                      </w:r>
                    </w:p>
                  </w:txbxContent>
                </v:textbox>
              </v:shape>
            </w:pict>
          </mc:Fallback>
        </mc:AlternateContent>
      </w:r>
      <w:r>
        <w:rPr>
          <w:rFonts w:hint="default" w:ascii="Times New Roman" w:hAnsi="Times New Roman" w:cs="Times New Roman"/>
          <w:color w:val="auto"/>
          <w:sz w:val="22"/>
          <w:szCs w:val="22"/>
          <w:highlight w:val="none"/>
        </w:rPr>
        <w:t>工程变更不应使合同作废或无效。工程变更应按照第72条规定确定变更的工程款；影响工期的，工期应相应调整。但由于下列原因引起的变更，承包人无权要求任何额外或附加的费用，工期不予顺延：</w:t>
      </w:r>
    </w:p>
    <w:p w14:paraId="5AB053EC">
      <w:pPr>
        <w:pStyle w:val="15"/>
        <w:numPr>
          <w:ilvl w:val="0"/>
          <w:numId w:val="22"/>
        </w:numPr>
        <w:adjustRightInd w:val="0"/>
        <w:snapToGrid w:val="0"/>
        <w:spacing w:line="420" w:lineRule="exact"/>
        <w:ind w:left="1620"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为了便于组织施工而采取的技术措施变更或临时工程变更；</w:t>
      </w:r>
    </w:p>
    <w:p w14:paraId="06D3CF96">
      <w:pPr>
        <w:pStyle w:val="15"/>
        <w:adjustRightInd w:val="0"/>
        <w:snapToGrid w:val="0"/>
        <w:spacing w:line="420" w:lineRule="exact"/>
        <w:ind w:firstLine="1430" w:firstLineChars="65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（2）为了施工安全、避免干扰等原因而采取的技术措施变更或临时工程变</w:t>
      </w:r>
    </w:p>
    <w:p w14:paraId="1A8691E3">
      <w:pPr>
        <w:pStyle w:val="15"/>
        <w:adjustRightInd w:val="0"/>
        <w:snapToGrid w:val="0"/>
        <w:spacing w:line="420" w:lineRule="exact"/>
        <w:ind w:left="1619" w:firstLine="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更；</w:t>
      </w:r>
    </w:p>
    <w:p w14:paraId="3F176DEB">
      <w:pPr>
        <w:pStyle w:val="15"/>
        <w:numPr>
          <w:ilvl w:val="0"/>
          <w:numId w:val="22"/>
        </w:numPr>
        <w:adjustRightInd w:val="0"/>
        <w:snapToGrid w:val="0"/>
        <w:spacing w:line="420" w:lineRule="exact"/>
        <w:ind w:left="1620"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因承包人违约、过错或承包人引起的其他变更。</w:t>
      </w:r>
    </w:p>
    <w:p w14:paraId="5DE00FC2">
      <w:pPr>
        <w:pStyle w:val="15"/>
        <w:adjustRightInd w:val="0"/>
        <w:snapToGrid w:val="0"/>
        <w:spacing w:line="420" w:lineRule="exact"/>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15FC2BD7">
      <w:pPr>
        <w:pStyle w:val="15"/>
        <w:tabs>
          <w:tab w:val="left" w:pos="540"/>
        </w:tabs>
        <w:adjustRightInd w:val="0"/>
        <w:snapToGrid w:val="0"/>
        <w:spacing w:before="240" w:beforeLines="100" w:line="420" w:lineRule="exact"/>
        <w:outlineLvl w:val="2"/>
        <w:rPr>
          <w:rFonts w:hint="default" w:ascii="Times New Roman" w:hAnsi="Times New Roman" w:cs="Times New Roman"/>
          <w:b/>
          <w:bCs/>
          <w:color w:val="auto"/>
          <w:sz w:val="22"/>
          <w:szCs w:val="22"/>
          <w:highlight w:val="none"/>
        </w:rPr>
      </w:pPr>
      <w:bookmarkStart w:id="212" w:name="_Toc17212"/>
      <w:bookmarkStart w:id="213" w:name="_Toc469384040"/>
      <w:r>
        <w:rPr>
          <w:rFonts w:hint="default" w:ascii="Times New Roman" w:hAnsi="Times New Roman" w:cs="Times New Roman"/>
          <w:b/>
          <w:bCs/>
          <w:color w:val="auto"/>
          <w:sz w:val="22"/>
          <w:szCs w:val="22"/>
          <w:highlight w:val="none"/>
        </w:rPr>
        <w:t>57  竣工验收条件</w:t>
      </w:r>
      <w:bookmarkEnd w:id="212"/>
      <w:bookmarkEnd w:id="213"/>
    </w:p>
    <w:p w14:paraId="48B66335">
      <w:pPr>
        <w:pStyle w:val="7"/>
        <w:adjustRightInd w:val="0"/>
        <w:snapToGrid w:val="0"/>
        <w:spacing w:line="420" w:lineRule="exact"/>
        <w:ind w:firstLine="0"/>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57.1</w:t>
      </w:r>
    </w:p>
    <w:p w14:paraId="0817270E">
      <w:pPr>
        <w:spacing w:line="420" w:lineRule="exact"/>
        <w:ind w:left="1618" w:hanging="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98880" behindDoc="0" locked="0" layoutInCell="1" allowOverlap="1">
                <wp:simplePos x="0" y="0"/>
                <wp:positionH relativeFrom="column">
                  <wp:posOffset>-114300</wp:posOffset>
                </wp:positionH>
                <wp:positionV relativeFrom="paragraph">
                  <wp:posOffset>12700</wp:posOffset>
                </wp:positionV>
                <wp:extent cx="914400" cy="422910"/>
                <wp:effectExtent l="0" t="0" r="0" b="0"/>
                <wp:wrapNone/>
                <wp:docPr id="240" name="文本框 240"/>
                <wp:cNvGraphicFramePr/>
                <a:graphic xmlns:a="http://schemas.openxmlformats.org/drawingml/2006/main">
                  <a:graphicData uri="http://schemas.microsoft.com/office/word/2010/wordprocessingShape">
                    <wps:wsp>
                      <wps:cNvSpPr txBox="1"/>
                      <wps:spPr>
                        <a:xfrm>
                          <a:off x="0" y="0"/>
                          <a:ext cx="914400" cy="422910"/>
                        </a:xfrm>
                        <a:prstGeom prst="rect">
                          <a:avLst/>
                        </a:prstGeom>
                        <a:noFill/>
                        <a:ln>
                          <a:noFill/>
                        </a:ln>
                        <a:effectLst/>
                      </wps:spPr>
                      <wps:txbx>
                        <w:txbxContent>
                          <w:p w14:paraId="6BCDC3F0">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竣工验收条件</w:t>
                            </w:r>
                          </w:p>
                        </w:txbxContent>
                      </wps:txbx>
                      <wps:bodyPr wrap="square" upright="1"/>
                    </wps:wsp>
                  </a:graphicData>
                </a:graphic>
              </wp:anchor>
            </w:drawing>
          </mc:Choice>
          <mc:Fallback>
            <w:pict>
              <v:shape id="_x0000_s1026" o:spid="_x0000_s1026" o:spt="202" type="#_x0000_t202" style="position:absolute;left:0pt;margin-left:-9pt;margin-top:1pt;height:33.3pt;width:72pt;z-index:251898880;mso-width-relative:page;mso-height-relative:page;" filled="f" stroked="f" coordsize="21600,21600" o:gfxdata="UEsDBAoAAAAAAIdO4kAAAAAAAAAAAAAAAAAEAAAAZHJzL1BLAwQUAAAACACHTuJAKOh5TdUAAAAI&#10;AQAADwAAAGRycy9kb3ducmV2LnhtbE2PzU7DQAyE70i8w8pIvbW7iSAKIU4PIK5UlB+J2zZxk4is&#10;N8pum/D2uCc42daMxt+U28UN6kxT6D0jJBsDirj2Tc8twvvb8zoHFaLlxg6eCeGHAmyr66vSFo2f&#10;+ZXO+9gqCeFQWIQuxrHQOtQdORs2fiQW7egnZ6OcU6ubyc4S7gadGpNpZ3uWD50d6bGj+nt/cggf&#10;L8evz1uza5/c3Tj7xWh29xpxdZOYB1CRlvhnhgu+oEMlTAd/4iaoAWGd5NIlIqQyLnqayXJAyPIM&#10;dFXq/wWqX1BLAwQUAAAACACHTuJA54rk3rwBAABtAwAADgAAAGRycy9lMm9Eb2MueG1srVNLbtsw&#10;EN0X6B0I7mvKglE0guUAgZFuirZA2gPQ1MgiIH7KoS35Au0Nuuqm+57L5+iQUpw03WSRDTWcz+O8&#10;N6P19Wh6doSA2tmaLxcFZ2CVa7Td1/zrl9s37zjDKG0je2eh5idAfr15/Wo9+ApK17m+gcAIxGI1&#10;+Jp3MfpKCFQdGIkL58FSsHXByEjXsBdNkAOhm16URfFWDC40PjgFiOTdTkE+I4bnALq21Qq2Th0M&#10;2DihBuhlJErYaY98k7ttW1DxU9siRNbXnJjGfNIjZO/SKTZrWe2D9J1WcwvyOS084WSktvToBWor&#10;o2SHoP+DMloFh66NC+WMmIhkRYjFsniizV0nPWQuJDX6i+j4crDq4/FzYLqpebkiTaw0NPLzzx/n&#10;X3/Ov7+z5CSJBo8VZd55yo3jjRtpce79SM7EfGyDSV/ixChOYKeLwDBGpsh5tVytCoooCq3K8mqZ&#10;0cVDsQ8Y34MzLBk1DzS/LKs8fsBIjVDqfUp6y7pb3fd5hr39x0GJkwfyEszVicfUb7LiuBtncjvX&#10;nIjbQItQc/x2kAE4O/ig9x21kbmKVEJTyE3MG5PG/PhO9uO/ZPMX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KOh5TdUAAAAIAQAADwAAAAAAAAABACAAAAAiAAAAZHJzL2Rvd25yZXYueG1sUEsBAhQA&#10;FAAAAAgAh07iQOeK5N68AQAAbQMAAA4AAAAAAAAAAQAgAAAAJAEAAGRycy9lMm9Eb2MueG1sUEsF&#10;BgAAAAAGAAYAWQEAAFIFAAAAAA==&#10;">
                <v:fill on="f" focussize="0,0"/>
                <v:stroke on="f"/>
                <v:imagedata o:title=""/>
                <o:lock v:ext="edit" aspectratio="f"/>
                <v:textbox>
                  <w:txbxContent>
                    <w:p w14:paraId="6BCDC3F0">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竣工验收条件</w:t>
                      </w:r>
                    </w:p>
                  </w:txbxContent>
                </v:textbox>
              </v:shape>
            </w:pict>
          </mc:Fallback>
        </mc:AlternateContent>
      </w:r>
      <w:r>
        <w:rPr>
          <w:rFonts w:hint="default" w:ascii="Times New Roman" w:hAnsi="Times New Roman" w:cs="Times New Roman"/>
          <w:color w:val="auto"/>
          <w:sz w:val="22"/>
          <w:szCs w:val="22"/>
          <w:highlight w:val="none"/>
        </w:rPr>
        <w:t>承包人实施、完成合同工程的全部工作内容，经自检评定并符合下列条件的，则认为合同工程已具备竣工验收条件。</w:t>
      </w:r>
    </w:p>
    <w:p w14:paraId="7CFC1CDE">
      <w:pPr>
        <w:spacing w:line="420" w:lineRule="exact"/>
        <w:ind w:left="1618" w:hanging="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lang w:eastAsia="zh-CN"/>
        </w:rPr>
        <w:t>（</w:t>
      </w:r>
      <w:r>
        <w:rPr>
          <w:rFonts w:hint="default" w:ascii="Times New Roman" w:hAnsi="Times New Roman" w:cs="Times New Roman"/>
          <w:color w:val="auto"/>
          <w:sz w:val="22"/>
          <w:szCs w:val="22"/>
          <w:highlight w:val="none"/>
        </w:rPr>
        <w:t>1）除监理工程师同意列入缺陷责任期内完成的尾工（甩项）工程和缺陷修补工作外，包括合同约定的试验、检验和验收等工作在内的合同范围内全部工作均已完成，并符合施工设计图纸和合同约定的要求；</w:t>
      </w:r>
    </w:p>
    <w:p w14:paraId="6D17047E">
      <w:pPr>
        <w:spacing w:line="420" w:lineRule="exact"/>
        <w:ind w:left="1680" w:leftChars="8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lang w:eastAsia="zh-CN"/>
        </w:rPr>
        <w:t>（</w:t>
      </w:r>
      <w:r>
        <w:rPr>
          <w:rFonts w:hint="default" w:ascii="Times New Roman" w:hAnsi="Times New Roman" w:cs="Times New Roman"/>
          <w:color w:val="auto"/>
          <w:sz w:val="22"/>
          <w:szCs w:val="22"/>
          <w:highlight w:val="none"/>
        </w:rPr>
        <w:t>2）已按照合同约定的内容和份数备齐了符合国家或行业、省要求的竣工资料（质量控制资料、竣工结算文件等）；</w:t>
      </w:r>
    </w:p>
    <w:p w14:paraId="43C071BC">
      <w:pPr>
        <w:spacing w:line="420" w:lineRule="exact"/>
        <w:ind w:left="1618" w:hanging="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lang w:eastAsia="zh-CN"/>
        </w:rPr>
        <w:t>（</w:t>
      </w:r>
      <w:r>
        <w:rPr>
          <w:rFonts w:hint="default" w:ascii="Times New Roman" w:hAnsi="Times New Roman" w:cs="Times New Roman"/>
          <w:color w:val="auto"/>
          <w:sz w:val="22"/>
          <w:szCs w:val="22"/>
          <w:highlight w:val="none"/>
        </w:rPr>
        <w:t>3）已按照监理工程师的指令编制了在缺陷责任期内完成的尾工（甩项）工程和缺陷修补工作清单，以及相应的实施计划；</w:t>
      </w:r>
    </w:p>
    <w:p w14:paraId="04020E2C">
      <w:pPr>
        <w:spacing w:line="420" w:lineRule="exact"/>
        <w:ind w:firstLine="1485" w:firstLineChars="675"/>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lang w:eastAsia="zh-CN"/>
        </w:rPr>
        <w:t>（</w:t>
      </w:r>
      <w:r>
        <w:rPr>
          <w:rFonts w:hint="default" w:ascii="Times New Roman" w:hAnsi="Times New Roman" w:cs="Times New Roman"/>
          <w:color w:val="auto"/>
          <w:sz w:val="22"/>
          <w:szCs w:val="22"/>
          <w:highlight w:val="none"/>
        </w:rPr>
        <w:t>4）监理工程师要求在竣工验收前应完成的其他工作：</w:t>
      </w:r>
    </w:p>
    <w:p w14:paraId="0FA5FCB9">
      <w:pPr>
        <w:spacing w:line="420" w:lineRule="exact"/>
        <w:ind w:firstLine="1485" w:firstLineChars="675"/>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lang w:eastAsia="zh-CN"/>
        </w:rPr>
        <w:t>（</w:t>
      </w:r>
      <w:r>
        <w:rPr>
          <w:rFonts w:hint="default" w:ascii="Times New Roman" w:hAnsi="Times New Roman" w:cs="Times New Roman"/>
          <w:color w:val="auto"/>
          <w:sz w:val="22"/>
          <w:szCs w:val="22"/>
          <w:highlight w:val="none"/>
        </w:rPr>
        <w:t>5）监理工程师要求提交的竣工验收资料清单。</w:t>
      </w:r>
    </w:p>
    <w:p w14:paraId="7016B7E0">
      <w:pPr>
        <w:pStyle w:val="7"/>
        <w:adjustRightInd w:val="0"/>
        <w:snapToGrid w:val="0"/>
        <w:spacing w:line="420" w:lineRule="exact"/>
        <w:ind w:firstLine="0"/>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 xml:space="preserve">57.2 </w:t>
      </w:r>
      <w:r>
        <w:rPr>
          <w:rFonts w:hint="default" w:ascii="Times New Roman" w:hAnsi="Times New Roman" w:cs="Times New Roman"/>
          <w:color w:val="auto"/>
          <w:sz w:val="22"/>
          <w:szCs w:val="22"/>
          <w:highlight w:val="none"/>
        </w:rPr>
        <w:t xml:space="preserve"> </w:t>
      </w:r>
      <w:r>
        <w:rPr>
          <w:rFonts w:hint="default" w:ascii="Times New Roman" w:hAnsi="Times New Roman" w:cs="Times New Roman"/>
          <w:color w:val="auto"/>
          <w:sz w:val="22"/>
          <w:szCs w:val="22"/>
          <w:highlight w:val="none"/>
          <w:u w:val="dotted"/>
        </w:rPr>
        <w:t xml:space="preserve">                                                                              </w:t>
      </w:r>
    </w:p>
    <w:p w14:paraId="7E59C16C">
      <w:pPr>
        <w:pStyle w:val="7"/>
        <w:adjustRightInd w:val="0"/>
        <w:snapToGrid w:val="0"/>
        <w:spacing w:line="420" w:lineRule="exact"/>
        <w:ind w:left="1619" w:leftChars="771"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承包人</w:t>
      </w: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899904" behindDoc="0" locked="0" layoutInCell="1" allowOverlap="1">
                <wp:simplePos x="0" y="0"/>
                <wp:positionH relativeFrom="column">
                  <wp:posOffset>-114300</wp:posOffset>
                </wp:positionH>
                <wp:positionV relativeFrom="paragraph">
                  <wp:posOffset>12700</wp:posOffset>
                </wp:positionV>
                <wp:extent cx="914400" cy="422910"/>
                <wp:effectExtent l="0" t="0" r="0" b="0"/>
                <wp:wrapNone/>
                <wp:docPr id="241" name="文本框 241"/>
                <wp:cNvGraphicFramePr/>
                <a:graphic xmlns:a="http://schemas.openxmlformats.org/drawingml/2006/main">
                  <a:graphicData uri="http://schemas.microsoft.com/office/word/2010/wordprocessingShape">
                    <wps:wsp>
                      <wps:cNvSpPr txBox="1"/>
                      <wps:spPr>
                        <a:xfrm>
                          <a:off x="0" y="0"/>
                          <a:ext cx="914400" cy="422910"/>
                        </a:xfrm>
                        <a:prstGeom prst="rect">
                          <a:avLst/>
                        </a:prstGeom>
                        <a:noFill/>
                        <a:ln>
                          <a:noFill/>
                        </a:ln>
                        <a:effectLst/>
                      </wps:spPr>
                      <wps:txbx>
                        <w:txbxContent>
                          <w:p w14:paraId="6005B6F2">
                            <w:pPr>
                              <w:spacing w:line="240" w:lineRule="exact"/>
                              <w:rPr>
                                <w:rFonts w:ascii="宋体" w:cs="Times New Roman"/>
                                <w:sz w:val="18"/>
                                <w:szCs w:val="18"/>
                              </w:rPr>
                            </w:pPr>
                            <w:r>
                              <w:rPr>
                                <w:rFonts w:hint="eastAsia" w:ascii="楷体_GB2312" w:hAnsi="宋体" w:eastAsia="楷体_GB2312" w:cs="楷体_GB2312"/>
                                <w:b/>
                                <w:bCs/>
                                <w:color w:val="000000"/>
                                <w:sz w:val="18"/>
                                <w:szCs w:val="18"/>
                              </w:rPr>
                              <w:t>提交竣工验收申请报告</w:t>
                            </w:r>
                          </w:p>
                        </w:txbxContent>
                      </wps:txbx>
                      <wps:bodyPr wrap="square" upright="1"/>
                    </wps:wsp>
                  </a:graphicData>
                </a:graphic>
              </wp:anchor>
            </w:drawing>
          </mc:Choice>
          <mc:Fallback>
            <w:pict>
              <v:shape id="_x0000_s1026" o:spid="_x0000_s1026" o:spt="202" type="#_x0000_t202" style="position:absolute;left:0pt;margin-left:-9pt;margin-top:1pt;height:33.3pt;width:72pt;z-index:251899904;mso-width-relative:page;mso-height-relative:page;" filled="f" stroked="f" coordsize="21600,21600" o:gfxdata="UEsDBAoAAAAAAIdO4kAAAAAAAAAAAAAAAAAEAAAAZHJzL1BLAwQUAAAACACHTuJAKOh5TdUAAAAI&#10;AQAADwAAAGRycy9kb3ducmV2LnhtbE2PzU7DQAyE70i8w8pIvbW7iSAKIU4PIK5UlB+J2zZxk4is&#10;N8pum/D2uCc42daMxt+U28UN6kxT6D0jJBsDirj2Tc8twvvb8zoHFaLlxg6eCeGHAmyr66vSFo2f&#10;+ZXO+9gqCeFQWIQuxrHQOtQdORs2fiQW7egnZ6OcU6ubyc4S7gadGpNpZ3uWD50d6bGj+nt/cggf&#10;L8evz1uza5/c3Tj7xWh29xpxdZOYB1CRlvhnhgu+oEMlTAd/4iaoAWGd5NIlIqQyLnqayXJAyPIM&#10;dFXq/wWqX1BLAwQUAAAACACHTuJAFXUmIrwBAABtAwAADgAAAGRycy9lMm9Eb2MueG1srVNLbtsw&#10;EN0X6B0I7mt9YBSNYDlAYKSbIC2Q9gA0NbIIiJ9yaEu+QHuDrrrpvufyOTqkFOe3ySIbajifx3lv&#10;RqvLUffsAB6VNTUvFjlnYKRtlNnV/Pu36w+fOMMgTCN6a6DmR0B+uX7/bjW4Ckrb2b4BzwjEYDW4&#10;mnchuCrLUHagBS6sA0PB1notAl39Lmu8GAhd91mZ5x+zwfrGeSsBkbybKchnRP8aQNu2SsLGyr0G&#10;EyZUD70IRAk75ZCvU7dtCzJ8aVuEwPqaE9OQTnqE7G08s/VKVDsvXKfk3IJ4TQvPOGmhDD16htqI&#10;INjeqxdQWklv0bZhIa3OJiJJEWJR5M+0ueuEg8SFpEZ3Fh3fDlbeHr56ppqal8uCMyM0jfz0+9fp&#10;z7/T358sOkmiwWFFmXeOcsN4ZUdanHs/kjMyH1uv45c4MYqTwMezwDAGJsl5USyXOUUkhZZleVGk&#10;AWQPxc5j+AxWs2jU3NP8kqzicIOBGqHU+5T4lrHXqu/TDHvzxEGJkwfSEszVkcfUb7TCuB1nclvb&#10;HInbQItQc/yxFx442zuvdh21kbhmsYSmkJqYNyaO+fGd7Md/yfo/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KOh5TdUAAAAIAQAADwAAAAAAAAABACAAAAAiAAAAZHJzL2Rvd25yZXYueG1sUEsBAhQA&#10;FAAAAAgAh07iQBV1JiK8AQAAbQMAAA4AAAAAAAAAAQAgAAAAJAEAAGRycy9lMm9Eb2MueG1sUEsF&#10;BgAAAAAGAAYAWQEAAFIFAAAAAA==&#10;">
                <v:fill on="f" focussize="0,0"/>
                <v:stroke on="f"/>
                <v:imagedata o:title=""/>
                <o:lock v:ext="edit" aspectratio="f"/>
                <v:textbox>
                  <w:txbxContent>
                    <w:p w14:paraId="6005B6F2">
                      <w:pPr>
                        <w:spacing w:line="240" w:lineRule="exact"/>
                        <w:rPr>
                          <w:rFonts w:ascii="宋体" w:cs="Times New Roman"/>
                          <w:sz w:val="18"/>
                          <w:szCs w:val="18"/>
                        </w:rPr>
                      </w:pPr>
                      <w:r>
                        <w:rPr>
                          <w:rFonts w:hint="eastAsia" w:ascii="楷体_GB2312" w:hAnsi="宋体" w:eastAsia="楷体_GB2312" w:cs="楷体_GB2312"/>
                          <w:b/>
                          <w:bCs/>
                          <w:color w:val="000000"/>
                          <w:sz w:val="18"/>
                          <w:szCs w:val="18"/>
                        </w:rPr>
                        <w:t>提交竣工验收申请报告</w:t>
                      </w:r>
                    </w:p>
                  </w:txbxContent>
                </v:textbox>
              </v:shape>
            </w:pict>
          </mc:Fallback>
        </mc:AlternateContent>
      </w:r>
      <w:r>
        <w:rPr>
          <w:rFonts w:hint="default" w:ascii="Times New Roman" w:hAnsi="Times New Roman" w:cs="Times New Roman"/>
          <w:color w:val="auto"/>
          <w:sz w:val="22"/>
          <w:szCs w:val="22"/>
          <w:highlight w:val="none"/>
        </w:rPr>
        <w:t>认为合同工程具备竣工验收条件的，应按照国家或行业、省规定的工程竣工验收技术资料格式和要求，及时向发包人提交竣工验收申请报告和符合要求的完整竣工资料，合同双方当事人应按照第58条规定进行验收。</w:t>
      </w:r>
    </w:p>
    <w:p w14:paraId="5A06682C">
      <w:pPr>
        <w:pStyle w:val="7"/>
        <w:adjustRightInd w:val="0"/>
        <w:snapToGrid w:val="0"/>
        <w:spacing w:line="420" w:lineRule="exact"/>
        <w:ind w:firstLine="0"/>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57.3  </w:t>
      </w:r>
      <w:r>
        <w:rPr>
          <w:rFonts w:hint="default" w:ascii="Times New Roman" w:hAnsi="Times New Roman" w:cs="Times New Roman"/>
          <w:b/>
          <w:bCs/>
          <w:color w:val="auto"/>
          <w:sz w:val="22"/>
          <w:szCs w:val="22"/>
          <w:highlight w:val="none"/>
          <w:u w:val="dotted"/>
        </w:rPr>
        <w:t xml:space="preserve">                                                                                                        </w:t>
      </w:r>
    </w:p>
    <w:p w14:paraId="4AA8B932">
      <w:pPr>
        <w:pStyle w:val="7"/>
        <w:adjustRightInd w:val="0"/>
        <w:snapToGrid w:val="0"/>
        <w:spacing w:line="420" w:lineRule="exact"/>
        <w:ind w:left="1619" w:leftChars="771"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00928" behindDoc="0" locked="0" layoutInCell="1" allowOverlap="1">
                <wp:simplePos x="0" y="0"/>
                <wp:positionH relativeFrom="column">
                  <wp:posOffset>-114300</wp:posOffset>
                </wp:positionH>
                <wp:positionV relativeFrom="paragraph">
                  <wp:posOffset>38735</wp:posOffset>
                </wp:positionV>
                <wp:extent cx="873760" cy="407035"/>
                <wp:effectExtent l="0" t="0" r="0" b="0"/>
                <wp:wrapNone/>
                <wp:docPr id="242" name="文本框 242"/>
                <wp:cNvGraphicFramePr/>
                <a:graphic xmlns:a="http://schemas.openxmlformats.org/drawingml/2006/main">
                  <a:graphicData uri="http://schemas.microsoft.com/office/word/2010/wordprocessingShape">
                    <wps:wsp>
                      <wps:cNvSpPr txBox="1"/>
                      <wps:spPr>
                        <a:xfrm>
                          <a:off x="0" y="0"/>
                          <a:ext cx="873760" cy="407035"/>
                        </a:xfrm>
                        <a:prstGeom prst="rect">
                          <a:avLst/>
                        </a:prstGeom>
                        <a:noFill/>
                        <a:ln>
                          <a:noFill/>
                        </a:ln>
                        <a:effectLst/>
                      </wps:spPr>
                      <wps:txbx>
                        <w:txbxContent>
                          <w:p w14:paraId="071AE4F1">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竣工验收条件的限制</w:t>
                            </w:r>
                          </w:p>
                        </w:txbxContent>
                      </wps:txbx>
                      <wps:bodyPr wrap="square" upright="1"/>
                    </wps:wsp>
                  </a:graphicData>
                </a:graphic>
              </wp:anchor>
            </w:drawing>
          </mc:Choice>
          <mc:Fallback>
            <w:pict>
              <v:shape id="_x0000_s1026" o:spid="_x0000_s1026" o:spt="202" type="#_x0000_t202" style="position:absolute;left:0pt;margin-left:-9pt;margin-top:3.05pt;height:32.05pt;width:68.8pt;z-index:251900928;mso-width-relative:page;mso-height-relative:page;" filled="f" stroked="f" coordsize="21600,21600" o:gfxdata="UEsDBAoAAAAAAIdO4kAAAAAAAAAAAAAAAAAEAAAAZHJzL1BLAwQUAAAACACHTuJA3B/ETdUAAAAI&#10;AQAADwAAAGRycy9kb3ducmV2LnhtbE2PwU7DMBBE70j9B2srcWttV5C2IZseQFxBFIrEzY23SUS8&#10;jmK3CX+Pe4LjaEYzb4rd5DpxoSG0nhH0UoEgrrxtuUb4eH9ebECEaNiazjMh/FCAXTm7KUxu/chv&#10;dNnHWqQSDrlBaGLscylD1ZAzYel74uSd/OBMTHKopR3MmMpdJ1dKZdKZltNCY3p6bKj63p8dwuHl&#10;9PV5p17rJ3ffj35Skt1WIt7OtXoAEWmKf2G44id0KBPT0Z/ZBtEhLPQmfYkImQZx9fU2A3FEWKsV&#10;yLKQ/w+Uv1BLAwQUAAAACACHTuJAohO0fL0BAABtAwAADgAAAGRycy9lMm9Eb2MueG1srVNLbtsw&#10;EN0X6B0I7mspThoHguUAhZFuijZA2gPQ1MgiwF85tCVfoL1BV91kn3P5HBlSipummyy6oYbzeZz3&#10;ZrS8HoxmewionK352azkDKx0jbLbmn/7evPuijOMwjZCOws1PwDy69XbN8veVzB3ndMNBEYgFqve&#10;17yL0VdFgbIDI3DmPFgKti4YEekatkUTRE/oRhfzsrwsehcaH5wERPKuxyCfEMNrAF3bKglrJ3cG&#10;bBxRA2gRiRJ2yiNf5W7bFmT80rYIkemaE9OYT3qE7E06i9VSVNsgfKfk1IJ4TQsvOBmhLD16glqL&#10;KNguqH+gjJLBoWvjTDpTjESyIsTirHyhzV0nPGQuJDX6k+j4/2Dl5/1tYKqp+fxizpkVhkZ+/PXz&#10;+PvheP+DJSdJ1HusKPPOU24cPriBFufJj+RMzIc2mPQlToziJPDhJDAMkUlyXi3OF5cUkRS6KBfl&#10;+fuEUvwp9gHjR3CGJaPmgeaXZRX7TxjH1KeU9JZ1N0rrPENt/3IQ5uiBvARTdeIx9pusOGyGidzG&#10;NQfi1tMi1By/70QAznY+qG1HbWSuRSqhKeR+p41JY35+J/v5X7J6B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NwfxE3VAAAACAEAAA8AAAAAAAAAAQAgAAAAIgAAAGRycy9kb3ducmV2LnhtbFBLAQIU&#10;ABQAAAAIAIdO4kCiE7R8vQEAAG0DAAAOAAAAAAAAAAEAIAAAACQBAABkcnMvZTJvRG9jLnhtbFBL&#10;BQYAAAAABgAGAFkBAABTBQAAAAA=&#10;">
                <v:fill on="f" focussize="0,0"/>
                <v:stroke on="f"/>
                <v:imagedata o:title=""/>
                <o:lock v:ext="edit" aspectratio="f"/>
                <v:textbox>
                  <w:txbxContent>
                    <w:p w14:paraId="071AE4F1">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竣工验收条件的限制</w:t>
                      </w:r>
                    </w:p>
                  </w:txbxContent>
                </v:textbox>
              </v:shape>
            </w:pict>
          </mc:Fallback>
        </mc:AlternateContent>
      </w:r>
      <w:r>
        <w:rPr>
          <w:rFonts w:hint="default" w:ascii="Times New Roman" w:hAnsi="Times New Roman" w:cs="Times New Roman"/>
          <w:color w:val="auto"/>
          <w:sz w:val="22"/>
          <w:szCs w:val="22"/>
          <w:highlight w:val="none"/>
        </w:rPr>
        <w:t>如果承包人不按照规定提交竣工资料或提交的资料不符合要求，则认为合同工程尚未具备竣工验收条件。</w:t>
      </w:r>
    </w:p>
    <w:p w14:paraId="7793A03B">
      <w:pPr>
        <w:adjustRightInd w:val="0"/>
        <w:snapToGrid w:val="0"/>
        <w:spacing w:line="420" w:lineRule="exact"/>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2C33BB6A">
      <w:pPr>
        <w:pStyle w:val="15"/>
        <w:tabs>
          <w:tab w:val="left" w:pos="540"/>
        </w:tabs>
        <w:adjustRightInd w:val="0"/>
        <w:snapToGrid w:val="0"/>
        <w:spacing w:before="240" w:beforeLines="100" w:line="420" w:lineRule="exact"/>
        <w:outlineLvl w:val="2"/>
        <w:rPr>
          <w:rFonts w:hint="default" w:ascii="Times New Roman" w:hAnsi="Times New Roman" w:cs="Times New Roman"/>
          <w:b/>
          <w:bCs/>
          <w:color w:val="auto"/>
          <w:sz w:val="22"/>
          <w:szCs w:val="22"/>
          <w:highlight w:val="none"/>
        </w:rPr>
      </w:pPr>
      <w:bookmarkStart w:id="214" w:name="_Toc27609"/>
      <w:bookmarkStart w:id="215" w:name="_Toc469384041"/>
      <w:r>
        <w:rPr>
          <w:rFonts w:hint="default" w:ascii="Times New Roman" w:hAnsi="Times New Roman" w:cs="Times New Roman"/>
          <w:b/>
          <w:bCs/>
          <w:color w:val="auto"/>
          <w:sz w:val="22"/>
          <w:szCs w:val="22"/>
          <w:highlight w:val="none"/>
        </w:rPr>
        <w:t>58  竣工验收</w:t>
      </w:r>
      <w:bookmarkEnd w:id="214"/>
      <w:bookmarkEnd w:id="215"/>
    </w:p>
    <w:p w14:paraId="3E8336B5">
      <w:pPr>
        <w:tabs>
          <w:tab w:val="left" w:pos="1620"/>
        </w:tabs>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w:t>
      </w: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01952" behindDoc="0" locked="0" layoutInCell="1" allowOverlap="1">
                <wp:simplePos x="0" y="0"/>
                <wp:positionH relativeFrom="column">
                  <wp:posOffset>-114300</wp:posOffset>
                </wp:positionH>
                <wp:positionV relativeFrom="paragraph">
                  <wp:posOffset>257810</wp:posOffset>
                </wp:positionV>
                <wp:extent cx="873760" cy="407670"/>
                <wp:effectExtent l="0" t="0" r="0" b="0"/>
                <wp:wrapNone/>
                <wp:docPr id="243" name="文本框 243"/>
                <wp:cNvGraphicFramePr/>
                <a:graphic xmlns:a="http://schemas.openxmlformats.org/drawingml/2006/main">
                  <a:graphicData uri="http://schemas.microsoft.com/office/word/2010/wordprocessingShape">
                    <wps:wsp>
                      <wps:cNvSpPr txBox="1"/>
                      <wps:spPr>
                        <a:xfrm>
                          <a:off x="0" y="0"/>
                          <a:ext cx="873760" cy="407670"/>
                        </a:xfrm>
                        <a:prstGeom prst="rect">
                          <a:avLst/>
                        </a:prstGeom>
                        <a:noFill/>
                        <a:ln>
                          <a:noFill/>
                        </a:ln>
                        <a:effectLst/>
                      </wps:spPr>
                      <wps:txbx>
                        <w:txbxContent>
                          <w:p w14:paraId="67F3E2C4">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竣工验收标准</w:t>
                            </w:r>
                          </w:p>
                        </w:txbxContent>
                      </wps:txbx>
                      <wps:bodyPr wrap="square" upright="1"/>
                    </wps:wsp>
                  </a:graphicData>
                </a:graphic>
              </wp:anchor>
            </w:drawing>
          </mc:Choice>
          <mc:Fallback>
            <w:pict>
              <v:shape id="_x0000_s1026" o:spid="_x0000_s1026" o:spt="202" type="#_x0000_t202" style="position:absolute;left:0pt;margin-left:-9pt;margin-top:20.3pt;height:32.1pt;width:68.8pt;z-index:251901952;mso-width-relative:page;mso-height-relative:page;" filled="f" stroked="f" coordsize="21600,21600" o:gfxdata="UEsDBAoAAAAAAIdO4kAAAAAAAAAAAAAAAAAEAAAAZHJzL1BLAwQUAAAACACHTuJACeyRCNYAAAAK&#10;AQAADwAAAGRycy9kb3ducmV2LnhtbE2PwW7CMBBE75X4B2uRuIGdKkUhjcOBqteiUlqpNxMvSUS8&#10;jmJD0r/vcmpvM9rR7JtiO7lO3HAIrScNyUqBQKq8banWcPx4XWYgQjRkTecJNfxggG05eyhMbv1I&#10;73g7xFpwCYXcaGhi7HMpQ9WgM2HleyS+nf3gTGQ71NIOZuRy18lHpdbSmZb4Q2N63DVYXQ5Xp+Hz&#10;7fz9lap9/eKe+tFPSpLbSK0X80Q9g4g4xb8w3PEZHUpmOvkr2SA6Dcsk4y1RQ6rWIO6BZMPixEKl&#10;GciykP8nlL9QSwMEFAAAAAgAh07iQNqB7uK+AQAAbQMAAA4AAABkcnMvZTJvRG9jLnhtbK1TS27b&#10;MBDdF+gdCO5rKU5gB4LlAIGRboq2QNoD0NTIIsBfObQlX6C9QVfddN9z+RwdUoqTppsssqGG83mc&#10;92a0uhmMZgcIqJyt+cWs5AysdI2yu5p//XL37pozjMI2QjsLNT8C8pv12zer3lcwd53TDQRGIBar&#10;3te8i9FXRYGyAyNw5jxYCrYuGBHpGnZFE0RP6EYX87JcFL0LjQ9OAiJ5N2OQT4jhJYCubZWEjZN7&#10;AzaOqAG0iEQJO+WRr3O3bQsyfmpbhMh0zYlpzCc9QvY2ncV6JapdEL5TcmpBvKSFZ5yMUJYePUNt&#10;RBRsH9R/UEbJ4NC1cSadKUYiWRFicVE+0+a+Ex4yF5Ia/Vl0fD1Y+fHwOTDV1Hx+dcmZFYZGfvr5&#10;4/Trz+n3d5acJFHvsaLMe0+5cbh1Ay3Ogx/JmZgPbTDpS5wYxUng41lgGCKT5LxeXi4XFJEUuiqX&#10;i2UeQPFY7APG9+AMS0bNA80vyyoOHzBSI5T6kJLesu5OaZ1nqO0/DkocPZCXYKpOPMZ+kxWH7TCR&#10;27rmSNx6WoSa47e9CMDZ3ge166iNzLVIJTSF3MS0MWnMT+9kP/1L1n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CeyRCNYAAAAKAQAADwAAAAAAAAABACAAAAAiAAAAZHJzL2Rvd25yZXYueG1sUEsB&#10;AhQAFAAAAAgAh07iQNqB7uK+AQAAbQMAAA4AAAAAAAAAAQAgAAAAJQEAAGRycy9lMm9Eb2MueG1s&#10;UEsFBgAAAAAGAAYAWQEAAFUFAAAAAA==&#10;">
                <v:fill on="f" focussize="0,0"/>
                <v:stroke on="f"/>
                <v:imagedata o:title=""/>
                <o:lock v:ext="edit" aspectratio="f"/>
                <v:textbox>
                  <w:txbxContent>
                    <w:p w14:paraId="67F3E2C4">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竣工验收标准</w:t>
                      </w:r>
                    </w:p>
                  </w:txbxContent>
                </v:textbox>
              </v:shape>
            </w:pict>
          </mc:Fallback>
        </mc:AlternateContent>
      </w:r>
      <w:r>
        <w:rPr>
          <w:rFonts w:hint="default" w:ascii="Times New Roman" w:hAnsi="Times New Roman" w:cs="Times New Roman"/>
          <w:b/>
          <w:bCs/>
          <w:color w:val="auto"/>
          <w:sz w:val="22"/>
          <w:szCs w:val="22"/>
          <w:highlight w:val="none"/>
        </w:rPr>
        <w:t>58.1</w:t>
      </w:r>
    </w:p>
    <w:p w14:paraId="59F13F4C">
      <w:pPr>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合同双方当事人应在专用条款中约定合同工程竣工验收标准，但约定的竣工验收标准应符合国家或行业、省的有关规定。</w:t>
      </w:r>
    </w:p>
    <w:p w14:paraId="476BF915">
      <w:pPr>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合同工程需要进行国家验收的，竣工验收是国家验收的一部分。</w:t>
      </w:r>
    </w:p>
    <w:p w14:paraId="3CC0CE58">
      <w:pPr>
        <w:tabs>
          <w:tab w:val="left" w:pos="1620"/>
        </w:tabs>
        <w:adjustRightInd w:val="0"/>
        <w:snapToGrid w:val="0"/>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02976" behindDoc="0" locked="0" layoutInCell="1" allowOverlap="1">
                <wp:simplePos x="0" y="0"/>
                <wp:positionH relativeFrom="column">
                  <wp:posOffset>-114300</wp:posOffset>
                </wp:positionH>
                <wp:positionV relativeFrom="paragraph">
                  <wp:posOffset>257810</wp:posOffset>
                </wp:positionV>
                <wp:extent cx="873760" cy="407670"/>
                <wp:effectExtent l="0" t="0" r="0" b="0"/>
                <wp:wrapNone/>
                <wp:docPr id="244" name="文本框 244"/>
                <wp:cNvGraphicFramePr/>
                <a:graphic xmlns:a="http://schemas.openxmlformats.org/drawingml/2006/main">
                  <a:graphicData uri="http://schemas.microsoft.com/office/word/2010/wordprocessingShape">
                    <wps:wsp>
                      <wps:cNvSpPr txBox="1"/>
                      <wps:spPr>
                        <a:xfrm>
                          <a:off x="0" y="0"/>
                          <a:ext cx="873760" cy="407670"/>
                        </a:xfrm>
                        <a:prstGeom prst="rect">
                          <a:avLst/>
                        </a:prstGeom>
                        <a:noFill/>
                        <a:ln>
                          <a:noFill/>
                        </a:ln>
                        <a:effectLst/>
                      </wps:spPr>
                      <wps:txbx>
                        <w:txbxContent>
                          <w:p w14:paraId="4ABEEABC">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核查竣工验收条件</w:t>
                            </w:r>
                          </w:p>
                        </w:txbxContent>
                      </wps:txbx>
                      <wps:bodyPr wrap="square" upright="1"/>
                    </wps:wsp>
                  </a:graphicData>
                </a:graphic>
              </wp:anchor>
            </w:drawing>
          </mc:Choice>
          <mc:Fallback>
            <w:pict>
              <v:shape id="_x0000_s1026" o:spid="_x0000_s1026" o:spt="202" type="#_x0000_t202" style="position:absolute;left:0pt;margin-left:-9pt;margin-top:20.3pt;height:32.1pt;width:68.8pt;z-index:251902976;mso-width-relative:page;mso-height-relative:page;" filled="f" stroked="f" coordsize="21600,21600" o:gfxdata="UEsDBAoAAAAAAIdO4kAAAAAAAAAAAAAAAAAEAAAAZHJzL1BLAwQUAAAACACHTuJACeyRCNYAAAAK&#10;AQAADwAAAGRycy9kb3ducmV2LnhtbE2PwW7CMBBE75X4B2uRuIGdKkUhjcOBqteiUlqpNxMvSUS8&#10;jmJD0r/vcmpvM9rR7JtiO7lO3HAIrScNyUqBQKq8banWcPx4XWYgQjRkTecJNfxggG05eyhMbv1I&#10;73g7xFpwCYXcaGhi7HMpQ9WgM2HleyS+nf3gTGQ71NIOZuRy18lHpdbSmZb4Q2N63DVYXQ5Xp+Hz&#10;7fz9lap9/eKe+tFPSpLbSK0X80Q9g4g4xb8w3PEZHUpmOvkr2SA6Dcsk4y1RQ6rWIO6BZMPixEKl&#10;GciykP8nlL9QSwMEFAAAAAgAh07iQMd0MXm9AQAAbQMAAA4AAABkcnMvZTJvRG9jLnhtbK1TS27b&#10;MBDdF+gdCO5rKa5hB4LlAIWRboq2QNoD0NTIIsBfObQlX6C9QVfddN9z+RwdUoqbJpsssqGG83mc&#10;92a0vhmMZkcIqJyt+dWs5AysdI2y+5p//XL75pozjMI2QjsLNT8B8pvN61fr3lcwd53TDQRGIBar&#10;3te8i9FXRYGyAyNw5jxYCrYuGBHpGvZFE0RP6EYX87JcFr0LjQ9OAiJ5t2OQT4jhOYCubZWErZMH&#10;AzaOqAG0iEQJO+WRb3K3bQsyfmpbhMh0zYlpzCc9QvYuncVmLap9EL5TcmpBPKeFR5yMUJYevUBt&#10;RRTsENQTKKNkcOjaOJPOFCORrAixuCofaXPXCQ+ZC0mN/iI6vhys/Hj8HJhqaj5fLDizwtDIzz9/&#10;nH/9Of/+zpKTJOo9VpR55yk3Du/cQItz70dyJuZDG0z6EidGcRL4dBEYhsgkOa9Xb1dLikgKLcrV&#10;cpUHUPwr9gHje3CGJaPmgeaXZRXHDxipEUq9T0lvWXertM4z1PY/ByWOHshLMFUnHmO/yYrDbpjI&#10;7VxzIm49LULN8dtBBODs4IPad9RG5lqkEppCbmLamDTmh3eyH/4lm7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J7JEI1gAAAAoBAAAPAAAAAAAAAAEAIAAAACIAAABkcnMvZG93bnJldi54bWxQSwEC&#10;FAAUAAAACACHTuJAx3Qxeb0BAABtAwAADgAAAAAAAAABACAAAAAlAQAAZHJzL2Uyb0RvYy54bWxQ&#10;SwUGAAAAAAYABgBZAQAAVAUAAAAA&#10;">
                <v:fill on="f" focussize="0,0"/>
                <v:stroke on="f"/>
                <v:imagedata o:title=""/>
                <o:lock v:ext="edit" aspectratio="f"/>
                <v:textbox>
                  <w:txbxContent>
                    <w:p w14:paraId="4ABEEABC">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核查竣工验收条件</w:t>
                      </w:r>
                    </w:p>
                  </w:txbxContent>
                </v:textbox>
              </v:shape>
            </w:pict>
          </mc:Fallback>
        </mc:AlternateContent>
      </w:r>
      <w:r>
        <w:rPr>
          <w:rFonts w:hint="default" w:ascii="Times New Roman" w:hAnsi="Times New Roman" w:cs="Times New Roman"/>
          <w:b/>
          <w:bCs/>
          <w:color w:val="auto"/>
          <w:sz w:val="22"/>
          <w:szCs w:val="22"/>
          <w:highlight w:val="none"/>
        </w:rPr>
        <w:t>58.2</w:t>
      </w:r>
      <w:r>
        <w:rPr>
          <w:rFonts w:hint="default" w:ascii="Times New Roman" w:hAnsi="Times New Roman" w:cs="Times New Roman"/>
          <w:color w:val="auto"/>
          <w:sz w:val="22"/>
          <w:szCs w:val="22"/>
          <w:highlight w:val="none"/>
          <w:u w:val="dotted"/>
        </w:rPr>
        <w:t xml:space="preserve">                                                                             </w:t>
      </w:r>
    </w:p>
    <w:p w14:paraId="1507F549">
      <w:pPr>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发包人收到承包人按照第57.2 款规定提交的竣工验收申请报告后，应及时通知监理工程师核查合同工程是否具备竣工验收条件。</w:t>
      </w:r>
    </w:p>
    <w:p w14:paraId="153EF1FD">
      <w:pPr>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lang w:eastAsia="zh-CN"/>
        </w:rPr>
        <w:t>（</w:t>
      </w:r>
      <w:r>
        <w:rPr>
          <w:rFonts w:hint="default" w:ascii="Times New Roman" w:hAnsi="Times New Roman" w:cs="Times New Roman"/>
          <w:color w:val="auto"/>
          <w:sz w:val="22"/>
          <w:szCs w:val="22"/>
          <w:highlight w:val="none"/>
        </w:rPr>
        <w:t>1）经核查未具备竣工验收条件的，监理工程师应在收到竣工验收申请报告后的14天内通知承包人，指出在颁发接收证书前承包人应进一步完成的工作内容。承包人完成监理工程师通知的全部工作内容后，应再次提交竣工验收申请报告，直至监理工程师同意为止。</w:t>
      </w:r>
    </w:p>
    <w:p w14:paraId="353D88EF">
      <w:pPr>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lang w:eastAsia="zh-CN"/>
        </w:rPr>
        <w:t>（</w:t>
      </w:r>
      <w:r>
        <w:rPr>
          <w:rFonts w:hint="default" w:ascii="Times New Roman" w:hAnsi="Times New Roman" w:cs="Times New Roman"/>
          <w:color w:val="auto"/>
          <w:sz w:val="22"/>
          <w:szCs w:val="22"/>
          <w:highlight w:val="none"/>
        </w:rPr>
        <w:t>2）经核查已具备竣工验收条件的，监理工程师应在收到竣工验收申请报告后的14天内书面提请发包人组织合同工程验收。</w:t>
      </w:r>
    </w:p>
    <w:p w14:paraId="76AB7CBF">
      <w:pPr>
        <w:tabs>
          <w:tab w:val="left" w:pos="1620"/>
        </w:tabs>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04000" behindDoc="0" locked="0" layoutInCell="1" allowOverlap="1">
                <wp:simplePos x="0" y="0"/>
                <wp:positionH relativeFrom="column">
                  <wp:posOffset>-114300</wp:posOffset>
                </wp:positionH>
                <wp:positionV relativeFrom="paragraph">
                  <wp:posOffset>257810</wp:posOffset>
                </wp:positionV>
                <wp:extent cx="873760" cy="407670"/>
                <wp:effectExtent l="0" t="0" r="0" b="0"/>
                <wp:wrapNone/>
                <wp:docPr id="245" name="文本框 245"/>
                <wp:cNvGraphicFramePr/>
                <a:graphic xmlns:a="http://schemas.openxmlformats.org/drawingml/2006/main">
                  <a:graphicData uri="http://schemas.microsoft.com/office/word/2010/wordprocessingShape">
                    <wps:wsp>
                      <wps:cNvSpPr txBox="1"/>
                      <wps:spPr>
                        <a:xfrm>
                          <a:off x="0" y="0"/>
                          <a:ext cx="873760" cy="407670"/>
                        </a:xfrm>
                        <a:prstGeom prst="rect">
                          <a:avLst/>
                        </a:prstGeom>
                        <a:noFill/>
                        <a:ln>
                          <a:noFill/>
                        </a:ln>
                        <a:effectLst/>
                      </wps:spPr>
                      <wps:txbx>
                        <w:txbxContent>
                          <w:p w14:paraId="02D6DB26">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完成验收和确认</w:t>
                            </w:r>
                          </w:p>
                        </w:txbxContent>
                      </wps:txbx>
                      <wps:bodyPr wrap="square" upright="1"/>
                    </wps:wsp>
                  </a:graphicData>
                </a:graphic>
              </wp:anchor>
            </w:drawing>
          </mc:Choice>
          <mc:Fallback>
            <w:pict>
              <v:shape id="_x0000_s1026" o:spid="_x0000_s1026" o:spt="202" type="#_x0000_t202" style="position:absolute;left:0pt;margin-left:-9pt;margin-top:20.3pt;height:32.1pt;width:68.8pt;z-index:251904000;mso-width-relative:page;mso-height-relative:page;" filled="f" stroked="f" coordsize="21600,21600" o:gfxdata="UEsDBAoAAAAAAIdO4kAAAAAAAAAAAAAAAAAEAAAAZHJzL1BLAwQUAAAACACHTuJACeyRCNYAAAAK&#10;AQAADwAAAGRycy9kb3ducmV2LnhtbE2PwW7CMBBE75X4B2uRuIGdKkUhjcOBqteiUlqpNxMvSUS8&#10;jmJD0r/vcmpvM9rR7JtiO7lO3HAIrScNyUqBQKq8banWcPx4XWYgQjRkTecJNfxggG05eyhMbv1I&#10;73g7xFpwCYXcaGhi7HMpQ9WgM2HleyS+nf3gTGQ71NIOZuRy18lHpdbSmZb4Q2N63DVYXQ5Xp+Hz&#10;7fz9lap9/eKe+tFPSpLbSK0X80Q9g4g4xb8w3PEZHUpmOvkr2SA6Dcsk4y1RQ6rWIO6BZMPixEKl&#10;GciykP8nlL9QSwMEFAAAAAgAh07iQDWL84W+AQAAbQMAAA4AAABkcnMvZTJvRG9jLnhtbK1TS27b&#10;MBDdF+gdCO5rKm5qB4LlAIWRboq2QJoD0NTIIiB+yqEt+QLtDbrqpvuey+fokFLcNNlkkQ01nM/j&#10;vDej1fVgOnaAgNrZil/MCs7AKldru6v43debN1ecYZS2lp2zUPEjIL9ev3616n0Jc9e6robACMRi&#10;2fuKtzH6UghULRiJM+fBUrBxwchI17ATdZA9oZtOzItiIXoXah+cAkTybsYgnxDDcwBd02gFG6f2&#10;BmwcUQN0MhIlbLVHvs7dNg2o+LlpECLrKk5MYz7pEbK36RTrlSx3QfpWq6kF+ZwWHnEyUlt69Ay1&#10;kVGyfdBPoIxWwaFr4kw5I0YiWRFicVE80ua2lR4yF5Ia/Vl0fDlY9enwJTBdV3x++Y4zKw2N/PTz&#10;x+nXn9Pv7yw5SaLeY0mZt55y4/DeDbQ4934kZ2I+NMGkL3FiFCeBj2eBYYhMkfNq+Xa5oIii0GWx&#10;XCzzAMS/Yh8wfgBnWDIqHmh+WVZ5+IiRGqHU+5T0lnU3uuvyDDv7n4MSRw/kJZiqE4+x32TFYTtM&#10;5LauPhK3nhah4vhtLwNwtvdB71pqI3MVqYSmkJuYNiaN+eGd7Id/yfov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CeyRCNYAAAAKAQAADwAAAAAAAAABACAAAAAiAAAAZHJzL2Rvd25yZXYueG1sUEsB&#10;AhQAFAAAAAgAh07iQDWL84W+AQAAbQMAAA4AAAAAAAAAAQAgAAAAJQEAAGRycy9lMm9Eb2MueG1s&#10;UEsFBgAAAAAGAAYAWQEAAFUFAAAAAA==&#10;">
                <v:fill on="f" focussize="0,0"/>
                <v:stroke on="f"/>
                <v:imagedata o:title=""/>
                <o:lock v:ext="edit" aspectratio="f"/>
                <v:textbox>
                  <w:txbxContent>
                    <w:p w14:paraId="02D6DB26">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完成验收和确认</w:t>
                      </w:r>
                    </w:p>
                  </w:txbxContent>
                </v:textbox>
              </v:shape>
            </w:pict>
          </mc:Fallback>
        </mc:AlternateContent>
      </w:r>
      <w:r>
        <w:rPr>
          <w:rFonts w:hint="default" w:ascii="Times New Roman" w:hAnsi="Times New Roman" w:cs="Times New Roman"/>
          <w:b/>
          <w:bCs/>
          <w:color w:val="auto"/>
          <w:sz w:val="22"/>
          <w:szCs w:val="22"/>
          <w:highlight w:val="none"/>
        </w:rPr>
        <w:t xml:space="preserve">58.3 </w:t>
      </w:r>
      <w:r>
        <w:rPr>
          <w:rFonts w:hint="default" w:ascii="Times New Roman" w:hAnsi="Times New Roman" w:cs="Times New Roman"/>
          <w:b/>
          <w:bCs/>
          <w:color w:val="auto"/>
          <w:sz w:val="22"/>
          <w:szCs w:val="22"/>
          <w:highlight w:val="none"/>
          <w:u w:val="dotted"/>
        </w:rPr>
        <w:t xml:space="preserve">                                                                             </w:t>
      </w:r>
    </w:p>
    <w:p w14:paraId="5A22C0AB">
      <w:pPr>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经监理工程师按照第58.2 款规定核查合同工程已具备竣工验收条件的，发包人应在收到监理工程师书面提请后的28天内，根据合同约定的竣工验收标准和施工设计图纸等文件，按照第19.5款规定组织参加验收各方完成合同工程验收，并在竣工验收后14天内予以确认或提出修改意见。</w:t>
      </w:r>
    </w:p>
    <w:p w14:paraId="2A1BAC14">
      <w:pPr>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竣工验收完成后，承包人应及时向发包人提交竣工验收记录。竣工验收合格的，发包人及参加验收各方应及时在竣工验收记录上签字，并由监理工程师会同参加验收各方形成合同工程竣工验收报告。</w:t>
      </w:r>
    </w:p>
    <w:p w14:paraId="0B1332FA">
      <w:pPr>
        <w:adjustRightInd w:val="0"/>
        <w:snapToGrid w:val="0"/>
        <w:spacing w:line="420" w:lineRule="exact"/>
        <w:ind w:left="1491" w:leftChars="1" w:hanging="1489" w:hangingChars="674"/>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58.4</w:t>
      </w:r>
      <w:r>
        <w:rPr>
          <w:rFonts w:hint="default" w:ascii="Times New Roman" w:hAnsi="Times New Roman" w:cs="Times New Roman"/>
          <w:color w:val="auto"/>
          <w:sz w:val="22"/>
          <w:szCs w:val="22"/>
          <w:highlight w:val="none"/>
        </w:rPr>
        <w:t xml:space="preserve">  </w:t>
      </w:r>
      <w:r>
        <w:rPr>
          <w:rFonts w:hint="default" w:ascii="Times New Roman" w:hAnsi="Times New Roman" w:cs="Times New Roman"/>
          <w:color w:val="auto"/>
          <w:sz w:val="22"/>
          <w:szCs w:val="22"/>
          <w:highlight w:val="none"/>
          <w:u w:val="dotted"/>
        </w:rPr>
        <w:t xml:space="preserve">                                                                                                        </w:t>
      </w:r>
    </w:p>
    <w:p w14:paraId="482F0CF0">
      <w:pPr>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05024" behindDoc="0" locked="0" layoutInCell="1" allowOverlap="1">
                <wp:simplePos x="0" y="0"/>
                <wp:positionH relativeFrom="column">
                  <wp:posOffset>-114300</wp:posOffset>
                </wp:positionH>
                <wp:positionV relativeFrom="paragraph">
                  <wp:posOffset>19685</wp:posOffset>
                </wp:positionV>
                <wp:extent cx="873760" cy="451485"/>
                <wp:effectExtent l="0" t="0" r="0" b="0"/>
                <wp:wrapNone/>
                <wp:docPr id="246" name="文本框 246"/>
                <wp:cNvGraphicFramePr/>
                <a:graphic xmlns:a="http://schemas.openxmlformats.org/drawingml/2006/main">
                  <a:graphicData uri="http://schemas.microsoft.com/office/word/2010/wordprocessingShape">
                    <wps:wsp>
                      <wps:cNvSpPr txBox="1"/>
                      <wps:spPr>
                        <a:xfrm>
                          <a:off x="0" y="0"/>
                          <a:ext cx="873760" cy="451485"/>
                        </a:xfrm>
                        <a:prstGeom prst="rect">
                          <a:avLst/>
                        </a:prstGeom>
                        <a:noFill/>
                        <a:ln>
                          <a:noFill/>
                        </a:ln>
                        <a:effectLst/>
                      </wps:spPr>
                      <wps:txbx>
                        <w:txbxContent>
                          <w:p w14:paraId="527E4119">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组织验收的限制</w:t>
                            </w:r>
                          </w:p>
                        </w:txbxContent>
                      </wps:txbx>
                      <wps:bodyPr wrap="square" upright="1"/>
                    </wps:wsp>
                  </a:graphicData>
                </a:graphic>
              </wp:anchor>
            </w:drawing>
          </mc:Choice>
          <mc:Fallback>
            <w:pict>
              <v:shape id="_x0000_s1026" o:spid="_x0000_s1026" o:spt="202" type="#_x0000_t202" style="position:absolute;left:0pt;margin-left:-9pt;margin-top:1.55pt;height:35.55pt;width:68.8pt;z-index:251905024;mso-width-relative:page;mso-height-relative:page;" filled="f" stroked="f" coordsize="21600,21600" o:gfxdata="UEsDBAoAAAAAAIdO4kAAAAAAAAAAAAAAAAAEAAAAZHJzL1BLAwQUAAAACACHTuJAJbWK7dYAAAAI&#10;AQAADwAAAGRycy9kb3ducmV2LnhtbE2PzW7CMBCE75X6DtYi9Qa2KaUQsuHQqtdWpT8SNxMvSUS8&#10;jmJD0revObXH0Yxmvsm3o2vFhfrQeEbQMwWCuPS24Qrh8+NlugIRomFrWs+E8EMBtsXtTW4y6wd+&#10;p8suViKVcMgMQh1jl0kZypqcCTPfESfv6HtnYpJ9JW1vhlTuWjlXaimdaTgt1Kajp5rK0+7sEL5e&#10;j/vvhXqrnt1DN/hRSXZriXg30WoDItIY/8JwxU/oUCSmgz+zDaJFmOpV+hIR7jWIq6/XSxAHhMfF&#10;HGSRy/8Hil9QSwMEFAAAAAgAh07iQAcfDSG9AQAAbQMAAA4AAABkcnMvZTJvRG9jLnhtbK1TS27b&#10;MBDdF+gdCO5r2q7jGILlAIGRboq2QNoD0NTQIiB+yqEt+QLtDbrqpvuey+foUFLcNN1kkQ01nM/j&#10;vDej9U1nG3aEiMa7ks8mU87AKV8Zty/5l893b1acYZKuko13UPITIL/ZvH61bkMBc1/7poLICMRh&#10;0YaS1ymFQghUNViJEx/AUVD7aGWia9yLKsqW0G0j5tPpUrQ+ViF6BYjk3Q5BPiLG5wB6rY2CrVcH&#10;Cy4NqBEamYgS1iYg3/Tdag0qfdQaIbGm5MQ09Sc9QvYun2KzlsU+ylAbNbYgn9PCE05WGkePXqC2&#10;Mkl2iOY/KGtU9Oh1mihvxUCkV4RYzKZPtLmvZYCeC0mN4SI6vhys+nD8FJmpSj5fLDlz0tLIzz++&#10;n3/+Pv/6xrKTJGoDFpR5Hyg3dbe+o8V58CM5M/NOR5u/xIlRnAQ+XQSGLjFFztX12+slRRSFFlez&#10;xeoqo4i/xSFiegfesmyUPNL8elnl8T2mIfUhJb/l/J1pmn6GjfvHQZiDB/olGKszj6HfbKVu143k&#10;dr46EbeWFqHk+PUgI3B2CNHsa2qj5ypyCU2h73fcmDzmx3eyH/8lmz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ltYrt1gAAAAgBAAAPAAAAAAAAAAEAIAAAACIAAABkcnMvZG93bnJldi54bWxQSwEC&#10;FAAUAAAACACHTuJABx8NIb0BAABtAwAADgAAAAAAAAABACAAAAAlAQAAZHJzL2Uyb0RvYy54bWxQ&#10;SwUGAAAAAAYABgBZAQAAVAUAAAAA&#10;">
                <v:fill on="f" focussize="0,0"/>
                <v:stroke on="f"/>
                <v:imagedata o:title=""/>
                <o:lock v:ext="edit" aspectratio="f"/>
                <v:textbox>
                  <w:txbxContent>
                    <w:p w14:paraId="527E4119">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组织验收的限制</w:t>
                      </w:r>
                    </w:p>
                  </w:txbxContent>
                </v:textbox>
              </v:shape>
            </w:pict>
          </mc:Fallback>
        </mc:AlternateContent>
      </w:r>
      <w:r>
        <w:rPr>
          <w:rFonts w:hint="default" w:ascii="Times New Roman" w:hAnsi="Times New Roman" w:cs="Times New Roman"/>
          <w:color w:val="auto"/>
          <w:sz w:val="22"/>
          <w:szCs w:val="22"/>
          <w:highlight w:val="none"/>
        </w:rPr>
        <w:t>发包人未按照第58.3款规定完成合同工程验收，或验收后14天内未予确认也未提出修改意见，视为承包人提交的竣工验收申请报告已被认可。</w:t>
      </w:r>
    </w:p>
    <w:p w14:paraId="53B03F4A">
      <w:pPr>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竣工验收申请报告被认可，则表明已完成合同工程，视为竣工验收合格，但由于不可抗力事件致使发包人不能完成验收的除外。</w:t>
      </w:r>
    </w:p>
    <w:p w14:paraId="701D794C">
      <w:pPr>
        <w:tabs>
          <w:tab w:val="left" w:pos="1620"/>
        </w:tabs>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58.5 </w:t>
      </w:r>
      <w:r>
        <w:rPr>
          <w:rFonts w:hint="default" w:ascii="Times New Roman" w:hAnsi="Times New Roman" w:cs="Times New Roman"/>
          <w:b/>
          <w:bCs/>
          <w:color w:val="auto"/>
          <w:sz w:val="22"/>
          <w:szCs w:val="22"/>
          <w:highlight w:val="none"/>
          <w:u w:val="dotted"/>
        </w:rPr>
        <w:t xml:space="preserve">                                                                                                        </w:t>
      </w:r>
    </w:p>
    <w:p w14:paraId="7AA7B31E">
      <w:pPr>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06048" behindDoc="0" locked="0" layoutInCell="1" allowOverlap="1">
                <wp:simplePos x="0" y="0"/>
                <wp:positionH relativeFrom="column">
                  <wp:posOffset>-114300</wp:posOffset>
                </wp:positionH>
                <wp:positionV relativeFrom="paragraph">
                  <wp:posOffset>19685</wp:posOffset>
                </wp:positionV>
                <wp:extent cx="914400" cy="396240"/>
                <wp:effectExtent l="0" t="0" r="0" b="0"/>
                <wp:wrapNone/>
                <wp:docPr id="247" name="文本框 247"/>
                <wp:cNvGraphicFramePr/>
                <a:graphic xmlns:a="http://schemas.openxmlformats.org/drawingml/2006/main">
                  <a:graphicData uri="http://schemas.microsoft.com/office/word/2010/wordprocessingShape">
                    <wps:wsp>
                      <wps:cNvSpPr txBox="1"/>
                      <wps:spPr>
                        <a:xfrm>
                          <a:off x="0" y="0"/>
                          <a:ext cx="914400" cy="396240"/>
                        </a:xfrm>
                        <a:prstGeom prst="rect">
                          <a:avLst/>
                        </a:prstGeom>
                        <a:noFill/>
                        <a:ln>
                          <a:noFill/>
                        </a:ln>
                        <a:effectLst/>
                      </wps:spPr>
                      <wps:txbx>
                        <w:txbxContent>
                          <w:p w14:paraId="4C0B5AA6">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不组织验收的责任</w:t>
                            </w:r>
                          </w:p>
                        </w:txbxContent>
                      </wps:txbx>
                      <wps:bodyPr wrap="square" upright="1"/>
                    </wps:wsp>
                  </a:graphicData>
                </a:graphic>
              </wp:anchor>
            </w:drawing>
          </mc:Choice>
          <mc:Fallback>
            <w:pict>
              <v:shape id="_x0000_s1026" o:spid="_x0000_s1026" o:spt="202" type="#_x0000_t202" style="position:absolute;left:0pt;margin-left:-9pt;margin-top:1.55pt;height:31.2pt;width:72pt;z-index:251906048;mso-width-relative:page;mso-height-relative:page;" filled="f" stroked="f" coordsize="21600,21600" o:gfxdata="UEsDBAoAAAAAAIdO4kAAAAAAAAAAAAAAAAAEAAAAZHJzL1BLAwQUAAAACACHTuJApqv+TdUAAAAI&#10;AQAADwAAAGRycy9kb3ducmV2LnhtbE2PzW7CMBCE75V4B2uRegM7tIlomg0HUK9FpT9SbyZekqjx&#10;OooNCW9fc2qPoxnNfFNsJtuJCw2+dYyQLBUI4sqZlmuEj/eXxRqED5qN7hwTwpU8bMrZXaFz40Z+&#10;o8sh1CKWsM81QhNCn0vpq4as9kvXE0fv5AarQ5RDLc2gx1huO7lSKpNWtxwXGt3TtqHq53C2CJ+v&#10;p++vR7WvdzbtRzcpyfZJIt7PE/UMItAU/sJww4/oUEamozuz8aJDWCTr+CUgPCQgbv4qi/qIkKUp&#10;yLKQ/w+Uv1BLAwQUAAAACACHTuJAh5vi974BAABtAwAADgAAAGRycy9lMm9Eb2MueG1srVNLbtsw&#10;EN0XyB0I7mPJrpE2guUAhZFuirZAmgPQ1MgiwF85tCVfoL1BV91033P5HB1SipOmmyy6oYbzeZz3&#10;ZrS6GYxmBwionK35fFZyBla6Rtldze+/3F6+5QyjsI3QzkLNj4D8Zn3xatX7Chauc7qBwAjEYtX7&#10;mncx+qooUHZgBM6cB0vB1gUjIl3DrmiC6And6GJRlldF70Ljg5OASN7NGOQTYngJoGtbJWHj5N6A&#10;jSNqAC0iUcJOeeTr3G3bgoyf2hYhMl1zYhrzSY+QvU1nsV6JaheE75ScWhAvaeEZJyOUpUfPUBsR&#10;BdsH9Q+UUTI4dG2cSWeKkUhWhFjMy2fa3HXCQ+ZCUqM/i47/D1Z+PHwOTDU1XyzfcGaFoZGffnw/&#10;/fx9+vWNJSdJ1HusKPPOU24c3rmBFufBj+RMzIc2mPQlToziJPDxLDAMkUlyXs+Xy5IikkKvr68W&#10;yzyA4rHYB4zvwRmWjJoHml+WVRw+YKRGKPUhJb1l3a3SOs9Q278clDh6IC/BVJ14jP0mKw7bYSK3&#10;dc2RuPW0CDXHr3sRgLO9D2rXURuZa5FKaAq5iWlj0pif3sl++pes/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mq/5N1QAAAAgBAAAPAAAAAAAAAAEAIAAAACIAAABkcnMvZG93bnJldi54bWxQSwEC&#10;FAAUAAAACACHTuJAh5vi974BAABtAwAADgAAAAAAAAABACAAAAAkAQAAZHJzL2Uyb0RvYy54bWxQ&#10;SwUGAAAAAAYABgBZAQAAVAUAAAAA&#10;">
                <v:fill on="f" focussize="0,0"/>
                <v:stroke on="f"/>
                <v:imagedata o:title=""/>
                <o:lock v:ext="edit" aspectratio="f"/>
                <v:textbox>
                  <w:txbxContent>
                    <w:p w14:paraId="4C0B5AA6">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不组织验收的责任</w:t>
                      </w:r>
                    </w:p>
                  </w:txbxContent>
                </v:textbox>
              </v:shape>
            </w:pict>
          </mc:Fallback>
        </mc:AlternateContent>
      </w:r>
      <w:r>
        <w:rPr>
          <w:rFonts w:hint="default" w:ascii="Times New Roman" w:hAnsi="Times New Roman" w:cs="Times New Roman"/>
          <w:color w:val="auto"/>
          <w:sz w:val="22"/>
          <w:szCs w:val="22"/>
          <w:highlight w:val="none"/>
        </w:rPr>
        <w:t>发包人未按照第58.3款规定完成合同工程验收，从收到监理工程师书面提请后的第29天起承担合同工程照管责任和其他一切意外责任。</w:t>
      </w:r>
    </w:p>
    <w:p w14:paraId="0A013777">
      <w:pPr>
        <w:tabs>
          <w:tab w:val="left" w:pos="1620"/>
        </w:tabs>
        <w:adjustRightInd w:val="0"/>
        <w:snapToGrid w:val="0"/>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58.6</w:t>
      </w:r>
      <w:r>
        <w:rPr>
          <w:rFonts w:hint="default" w:ascii="Times New Roman" w:hAnsi="Times New Roman" w:cs="Times New Roman"/>
          <w:color w:val="auto"/>
          <w:sz w:val="22"/>
          <w:szCs w:val="22"/>
          <w:highlight w:val="none"/>
        </w:rPr>
        <w:t xml:space="preserve"> </w:t>
      </w:r>
      <w:r>
        <w:rPr>
          <w:rFonts w:hint="default" w:ascii="Times New Roman" w:hAnsi="Times New Roman" w:cs="Times New Roman"/>
          <w:color w:val="auto"/>
          <w:sz w:val="22"/>
          <w:szCs w:val="22"/>
          <w:highlight w:val="none"/>
          <w:u w:val="dotted"/>
        </w:rPr>
        <w:t xml:space="preserve">                                                                                                        </w:t>
      </w:r>
    </w:p>
    <w:p w14:paraId="0090C9B6">
      <w:pPr>
        <w:spacing w:line="420" w:lineRule="exact"/>
        <w:ind w:left="1620" w:leftChars="771" w:hanging="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竣工</w:t>
      </w: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07072" behindDoc="0" locked="0" layoutInCell="1" allowOverlap="1">
                <wp:simplePos x="0" y="0"/>
                <wp:positionH relativeFrom="column">
                  <wp:posOffset>-114300</wp:posOffset>
                </wp:positionH>
                <wp:positionV relativeFrom="paragraph">
                  <wp:posOffset>4445</wp:posOffset>
                </wp:positionV>
                <wp:extent cx="914400" cy="395605"/>
                <wp:effectExtent l="0" t="0" r="0" b="0"/>
                <wp:wrapNone/>
                <wp:docPr id="248" name="文本框 248"/>
                <wp:cNvGraphicFramePr/>
                <a:graphic xmlns:a="http://schemas.openxmlformats.org/drawingml/2006/main">
                  <a:graphicData uri="http://schemas.microsoft.com/office/word/2010/wordprocessingShape">
                    <wps:wsp>
                      <wps:cNvSpPr txBox="1"/>
                      <wps:spPr>
                        <a:xfrm>
                          <a:off x="0" y="0"/>
                          <a:ext cx="914400" cy="395605"/>
                        </a:xfrm>
                        <a:prstGeom prst="rect">
                          <a:avLst/>
                        </a:prstGeom>
                        <a:noFill/>
                        <a:ln>
                          <a:noFill/>
                        </a:ln>
                        <a:effectLst/>
                      </wps:spPr>
                      <wps:txbx>
                        <w:txbxContent>
                          <w:p w14:paraId="09FC73B7">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接收工程</w:t>
                            </w:r>
                          </w:p>
                        </w:txbxContent>
                      </wps:txbx>
                      <wps:bodyPr wrap="square" upright="1"/>
                    </wps:wsp>
                  </a:graphicData>
                </a:graphic>
              </wp:anchor>
            </w:drawing>
          </mc:Choice>
          <mc:Fallback>
            <w:pict>
              <v:shape id="_x0000_s1026" o:spid="_x0000_s1026" o:spt="202" type="#_x0000_t202" style="position:absolute;left:0pt;margin-left:-9pt;margin-top:0.35pt;height:31.15pt;width:72pt;z-index:251907072;mso-width-relative:page;mso-height-relative:page;" filled="f" stroked="f" coordsize="21600,21600" o:gfxdata="UEsDBAoAAAAAAIdO4kAAAAAAAAAAAAAAAAAEAAAAZHJzL1BLAwQUAAAACACHTuJAH4CQv9QAAAAH&#10;AQAADwAAAGRycy9kb3ducmV2LnhtbE2PzU7DMBCE70i8g7VI3Np1CoQSsukBxBVE+ZG4ufE2iYjX&#10;Uew24e1xT3AczWjmm3Izu14deQydF4JsqUGx1N520hC8vz0t1qBCNGJN74UJfjjApjo/K01h/SSv&#10;fNzGRqUSCYUhaGMcCsRQt+xMWPqBJXl7PzoTkxwbtKOZUrnrcaV1js50khZaM/BDy/X39uAIPp73&#10;X5/X+qV5dDfD5GeN4u6Q6PIi0/egIs/xLwwn/IQOVWLa+YPYoHqCRbZOXyLBLaiTvcqT3BHkVxqw&#10;KvE/f/ULUEsDBBQAAAAIAIdO4kCKOLQyvQEAAG0DAAAOAAAAZHJzL2Uyb0RvYy54bWytU0tu2zAQ&#10;3RfoHQjua8muEzSC5QCFkW6KtkCaA9DU0CIgfsqhLfkC7Q266qb7nsvn6JBS3DTZZJENNZzP47w3&#10;o9X1YDp2gIDa2ZrPZyVnYKVrtN3V/O7rzZt3nGEUthGds1DzIyC/Xr9+tep9BQvXuq6BwAjEYtX7&#10;mrcx+qooULZgBM6cB0tB5YIRka5hVzRB9IRuumJRlpdF70Ljg5OASN7NGOQTYngOoFNKS9g4uTdg&#10;44gaoBORKGGrPfJ17lYpkPGzUgiRdTUnpjGf9AjZ23QW65WodkH4VsupBfGcFh5xMkJbevQMtRFR&#10;sH3QT6CMlsGhU3EmnSlGIlkRYjEvH2lz2woPmQtJjf4sOr4crPx0+BKYbmq+WNLgrTA08tPPH6df&#10;f06/v7PkJIl6jxVl3nrKjcN7N9Di3PuRnIn5oIJJX+LEKE4CH88CwxCZJOfVfLksKSIp9Pbq4rK8&#10;SCjFv2IfMH4AZ1gyah5ofllWcfiIcUy9T0lvWXejuy7PsLP/OQhz9EBegqk68Rj7TVYctsNEbuua&#10;I3HraRFqjt/2IgBnex/0rqU2MtcildAUcr/TxqQxP7yT/fAvWf8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H4CQv9QAAAAHAQAADwAAAAAAAAABACAAAAAiAAAAZHJzL2Rvd25yZXYueG1sUEsBAhQA&#10;FAAAAAgAh07iQIo4tDK9AQAAbQMAAA4AAAAAAAAAAQAgAAAAIwEAAGRycy9lMm9Eb2MueG1sUEsF&#10;BgAAAAAGAAYAWQEAAFIFAAAAAA==&#10;">
                <v:fill on="f" focussize="0,0"/>
                <v:stroke on="f"/>
                <v:imagedata o:title=""/>
                <o:lock v:ext="edit" aspectratio="f"/>
                <v:textbox>
                  <w:txbxContent>
                    <w:p w14:paraId="09FC73B7">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接收工程</w:t>
                      </w:r>
                    </w:p>
                  </w:txbxContent>
                </v:textbox>
              </v:shape>
            </w:pict>
          </mc:Fallback>
        </mc:AlternateContent>
      </w:r>
      <w:r>
        <w:rPr>
          <w:rFonts w:hint="default" w:ascii="Times New Roman" w:hAnsi="Times New Roman" w:cs="Times New Roman"/>
          <w:color w:val="auto"/>
          <w:sz w:val="22"/>
          <w:szCs w:val="22"/>
          <w:highlight w:val="none"/>
        </w:rPr>
        <w:t>验收合格的，发包人应接收工程，并在收到承包人提交的竣工验收申请报告后的56天内向承包人颁发工程接收证书。</w:t>
      </w:r>
    </w:p>
    <w:p w14:paraId="6757141B">
      <w:pPr>
        <w:spacing w:line="420" w:lineRule="exact"/>
        <w:ind w:left="1620" w:leftChars="771" w:hanging="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竣工验收后，发包人同意接收工程但提出限期整修和完善要求的，发包人应缓发工程接收证书。承包人整修和完善工作完成后，监理工程师核查达到要求的，发包人应向承包人颁发工程接收证书。</w:t>
      </w:r>
    </w:p>
    <w:p w14:paraId="1332AD10">
      <w:pPr>
        <w:spacing w:line="420" w:lineRule="exact"/>
        <w:ind w:left="1619" w:leftChars="771" w:firstLine="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竣工验收后，发包人不同意接收工程的，监理工程师应按照竣工验收提出的修改意见发出指令，要求承包人对合同工程不合格部分返工重做或补救处理，并承担由此产生的费用。承包人在完成合同工程不合格部分的返工重做或补救处理后，应再次提交竣工验收申请报告。</w:t>
      </w:r>
    </w:p>
    <w:p w14:paraId="7C419C5D">
      <w:pPr>
        <w:tabs>
          <w:tab w:val="left" w:pos="1620"/>
        </w:tabs>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58.7 </w:t>
      </w:r>
      <w:r>
        <w:rPr>
          <w:rFonts w:hint="default" w:ascii="Times New Roman" w:hAnsi="Times New Roman" w:cs="Times New Roman"/>
          <w:b/>
          <w:bCs/>
          <w:color w:val="auto"/>
          <w:sz w:val="22"/>
          <w:szCs w:val="22"/>
          <w:highlight w:val="none"/>
          <w:u w:val="dotted"/>
        </w:rPr>
        <w:t xml:space="preserve">                                                                                                        </w:t>
      </w:r>
    </w:p>
    <w:p w14:paraId="7509B85E">
      <w:pPr>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08096" behindDoc="0" locked="0" layoutInCell="1" allowOverlap="1">
                <wp:simplePos x="0" y="0"/>
                <wp:positionH relativeFrom="column">
                  <wp:posOffset>-114300</wp:posOffset>
                </wp:positionH>
                <wp:positionV relativeFrom="paragraph">
                  <wp:posOffset>4445</wp:posOffset>
                </wp:positionV>
                <wp:extent cx="914400" cy="395605"/>
                <wp:effectExtent l="0" t="0" r="0" b="0"/>
                <wp:wrapNone/>
                <wp:docPr id="249" name="文本框 249"/>
                <wp:cNvGraphicFramePr/>
                <a:graphic xmlns:a="http://schemas.openxmlformats.org/drawingml/2006/main">
                  <a:graphicData uri="http://schemas.microsoft.com/office/word/2010/wordprocessingShape">
                    <wps:wsp>
                      <wps:cNvSpPr txBox="1"/>
                      <wps:spPr>
                        <a:xfrm>
                          <a:off x="0" y="0"/>
                          <a:ext cx="914400" cy="395605"/>
                        </a:xfrm>
                        <a:prstGeom prst="rect">
                          <a:avLst/>
                        </a:prstGeom>
                        <a:noFill/>
                        <a:ln>
                          <a:noFill/>
                        </a:ln>
                        <a:effectLst/>
                      </wps:spPr>
                      <wps:txbx>
                        <w:txbxContent>
                          <w:p w14:paraId="1043ADF3">
                            <w:pPr>
                              <w:spacing w:line="240" w:lineRule="exact"/>
                              <w:rPr>
                                <w:rFonts w:ascii="宋体" w:cs="Times New Roman"/>
                                <w:sz w:val="18"/>
                                <w:szCs w:val="18"/>
                              </w:rPr>
                            </w:pPr>
                            <w:r>
                              <w:rPr>
                                <w:rFonts w:hint="eastAsia" w:ascii="楷体_GB2312" w:hAnsi="宋体" w:eastAsia="楷体_GB2312" w:cs="楷体_GB2312"/>
                                <w:b/>
                                <w:bCs/>
                                <w:color w:val="000000"/>
                                <w:sz w:val="18"/>
                                <w:szCs w:val="18"/>
                              </w:rPr>
                              <w:t>竣工日期的写明</w:t>
                            </w:r>
                          </w:p>
                        </w:txbxContent>
                      </wps:txbx>
                      <wps:bodyPr wrap="square" upright="1"/>
                    </wps:wsp>
                  </a:graphicData>
                </a:graphic>
              </wp:anchor>
            </w:drawing>
          </mc:Choice>
          <mc:Fallback>
            <w:pict>
              <v:shape id="_x0000_s1026" o:spid="_x0000_s1026" o:spt="202" type="#_x0000_t202" style="position:absolute;left:0pt;margin-left:-9pt;margin-top:0.35pt;height:31.15pt;width:72pt;z-index:251908096;mso-width-relative:page;mso-height-relative:page;" filled="f" stroked="f" coordsize="21600,21600" o:gfxdata="UEsDBAoAAAAAAIdO4kAAAAAAAAAAAAAAAAAEAAAAZHJzL1BLAwQUAAAACACHTuJAH4CQv9QAAAAH&#10;AQAADwAAAGRycy9kb3ducmV2LnhtbE2PzU7DMBCE70i8g7VI3Np1CoQSsukBxBVE+ZG4ufE2iYjX&#10;Uew24e1xT3AczWjmm3Izu14deQydF4JsqUGx1N520hC8vz0t1qBCNGJN74UJfjjApjo/K01h/SSv&#10;fNzGRqUSCYUhaGMcCsRQt+xMWPqBJXl7PzoTkxwbtKOZUrnrcaV1js50khZaM/BDy/X39uAIPp73&#10;X5/X+qV5dDfD5GeN4u6Q6PIi0/egIs/xLwwn/IQOVWLa+YPYoHqCRbZOXyLBLaiTvcqT3BHkVxqw&#10;KvE/f/ULUEsDBBQAAAAIAIdO4kB4x3bOvAEAAG0DAAAOAAAAZHJzL2Uyb0RvYy54bWytU82O0zAQ&#10;viPxDpbvNGnprmjUdCVULRcESMs+gOtMGkv+w+M26QvAG3Diwp3n6nMwdrJlWS574OKM5+fzfN9M&#10;1jeD0ewIAZWzNZ/PSs7AStcou6/5/efbV284wyhsI7SzUPMTIL/ZvHyx7n0FC9c53UBgBGKx6n3N&#10;uxh9VRQoOzACZ86DpWDrghGRrmFfNEH0hG50sSjL66J3ofHBSUAk73YM8gkxPAfQta2SsHXyYMDG&#10;ETWAFpEoYac88k3utm1Bxo9tixCZrjkxjfmkR8jepbPYrEW1D8J3Sk4tiOe08ISTEcrSoxeorYiC&#10;HYL6B8ooGRy6Ns6kM8VIJCtCLOblE23uOuEhcyGp0V9Ex/8HKz8cPwWmmpovlivOrDA08vP3b+cf&#10;v84/v7LkJIl6jxVl3nnKjcNbN9DiPPiRnIn50AaTvsSJUZwEPl0EhiEySc7VfLksKSIp9Hp1dV1e&#10;JZTiT7EPGN+BMywZNQ80vyyrOL7HOKY+pKS3rLtVWucZavuXgzBHD+QlmKoTj7HfZMVhN0zkdq45&#10;EbeeFqHm+OUgAnB28EHtO2ojcy1SCU0h9zttTBrz4zvZj/+Sz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fgJC/1AAAAAcBAAAPAAAAAAAAAAEAIAAAACIAAABkcnMvZG93bnJldi54bWxQSwECFAAU&#10;AAAACACHTuJAeMd2zrwBAABtAwAADgAAAAAAAAABACAAAAAjAQAAZHJzL2Uyb0RvYy54bWxQSwUG&#10;AAAAAAYABgBZAQAAUQUAAAAA&#10;">
                <v:fill on="f" focussize="0,0"/>
                <v:stroke on="f"/>
                <v:imagedata o:title=""/>
                <o:lock v:ext="edit" aspectratio="f"/>
                <v:textbox>
                  <w:txbxContent>
                    <w:p w14:paraId="1043ADF3">
                      <w:pPr>
                        <w:spacing w:line="240" w:lineRule="exact"/>
                        <w:rPr>
                          <w:rFonts w:ascii="宋体" w:cs="Times New Roman"/>
                          <w:sz w:val="18"/>
                          <w:szCs w:val="18"/>
                        </w:rPr>
                      </w:pPr>
                      <w:r>
                        <w:rPr>
                          <w:rFonts w:hint="eastAsia" w:ascii="楷体_GB2312" w:hAnsi="宋体" w:eastAsia="楷体_GB2312" w:cs="楷体_GB2312"/>
                          <w:b/>
                          <w:bCs/>
                          <w:color w:val="000000"/>
                          <w:sz w:val="18"/>
                          <w:szCs w:val="18"/>
                        </w:rPr>
                        <w:t>竣工日期的写明</w:t>
                      </w:r>
                    </w:p>
                  </w:txbxContent>
                </v:textbox>
              </v:shape>
            </w:pict>
          </mc:Fallback>
        </mc:AlternateContent>
      </w:r>
      <w:r>
        <w:rPr>
          <w:rFonts w:hint="default" w:ascii="Times New Roman" w:hAnsi="Times New Roman" w:cs="Times New Roman"/>
          <w:color w:val="auto"/>
          <w:sz w:val="22"/>
          <w:szCs w:val="22"/>
          <w:highlight w:val="none"/>
        </w:rPr>
        <w:t>竣工验收合格的合同工程，发包人应按照第38.2款规定在工程接收证书上写明合同工程的实际竣工日期。</w:t>
      </w:r>
    </w:p>
    <w:p w14:paraId="66484941">
      <w:pPr>
        <w:tabs>
          <w:tab w:val="left" w:pos="1620"/>
        </w:tabs>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58.8  </w:t>
      </w:r>
      <w:r>
        <w:rPr>
          <w:rFonts w:hint="default" w:ascii="Times New Roman" w:hAnsi="Times New Roman" w:cs="Times New Roman"/>
          <w:b/>
          <w:bCs/>
          <w:color w:val="auto"/>
          <w:sz w:val="22"/>
          <w:szCs w:val="22"/>
          <w:highlight w:val="none"/>
          <w:u w:val="dotted"/>
        </w:rPr>
        <w:t xml:space="preserve">                                                                                                        </w:t>
      </w:r>
    </w:p>
    <w:p w14:paraId="6B6C1837">
      <w:pPr>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09120" behindDoc="0" locked="0" layoutInCell="1" allowOverlap="1">
                <wp:simplePos x="0" y="0"/>
                <wp:positionH relativeFrom="column">
                  <wp:posOffset>-114300</wp:posOffset>
                </wp:positionH>
                <wp:positionV relativeFrom="paragraph">
                  <wp:posOffset>4445</wp:posOffset>
                </wp:positionV>
                <wp:extent cx="914400" cy="1252855"/>
                <wp:effectExtent l="0" t="0" r="0" b="0"/>
                <wp:wrapNone/>
                <wp:docPr id="250" name="文本框 250"/>
                <wp:cNvGraphicFramePr/>
                <a:graphic xmlns:a="http://schemas.openxmlformats.org/drawingml/2006/main">
                  <a:graphicData uri="http://schemas.microsoft.com/office/word/2010/wordprocessingShape">
                    <wps:wsp>
                      <wps:cNvSpPr txBox="1"/>
                      <wps:spPr>
                        <a:xfrm>
                          <a:off x="0" y="0"/>
                          <a:ext cx="914400" cy="1252855"/>
                        </a:xfrm>
                        <a:prstGeom prst="rect">
                          <a:avLst/>
                        </a:prstGeom>
                        <a:noFill/>
                        <a:ln>
                          <a:noFill/>
                        </a:ln>
                        <a:effectLst/>
                      </wps:spPr>
                      <wps:txbx>
                        <w:txbxContent>
                          <w:p w14:paraId="16A942C3">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单位工程或工程部位验收</w:t>
                            </w:r>
                          </w:p>
                        </w:txbxContent>
                      </wps:txbx>
                      <wps:bodyPr wrap="square" upright="1"/>
                    </wps:wsp>
                  </a:graphicData>
                </a:graphic>
              </wp:anchor>
            </w:drawing>
          </mc:Choice>
          <mc:Fallback>
            <w:pict>
              <v:shape id="_x0000_s1026" o:spid="_x0000_s1026" o:spt="202" type="#_x0000_t202" style="position:absolute;left:0pt;margin-left:-9pt;margin-top:0.35pt;height:98.65pt;width:72pt;z-index:251909120;mso-width-relative:page;mso-height-relative:page;" filled="f" stroked="f" coordsize="21600,21600" o:gfxdata="UEsDBAoAAAAAAIdO4kAAAAAAAAAAAAAAAAAEAAAAZHJzL1BLAwQUAAAACACHTuJADo/crNUAAAAI&#10;AQAADwAAAGRycy9kb3ducmV2LnhtbE2PT0/DMAzF70h8h8hI3LakE4ytNN0BxJWJ8Ufi5jVeW9E4&#10;VZOt3bfHO8HNz896/r1iM/lOnWiIbWAL2dyAIq6Ca7m28PH+MluBignZYReYLJwpwqa8viowd2Hk&#10;NzrtUq0khGOOFpqU+lzrWDXkMc5DTyzeIQwek8ih1m7AUcJ9pxfGLLXHluVDgz09NVT97I7ewufr&#10;4fvrzmzrZ3/fj2Eymv1aW3t7k5lHUImm9HcMF3xBh1KY9uHILqrOwixbSZdk4QHUxV4sRe5lWMte&#10;l4X+X6D8BVBLAwQUAAAACACHTuJAOmBaZLwBAABuAwAADgAAAGRycy9lMm9Eb2MueG1srVPNjtMw&#10;EL4j8Q6W79RptEVL1HQlVC0XBEgLD+A648ZS/IPHbdIXgDfgxIU7z9XnYJxku8ty2QMXZzw/n+f7&#10;ZrK+GWzHjhDReFfz5aLgDJzyjXH7mn/5fPvqmjNM0jWy8w5qfgLkN5uXL9Z9qKD0re8aiIxAHFZ9&#10;qHmbUqiEQNWClbjwARwFtY9WJrrGvWii7AnddqIsitei97EJ0StAJO92CvIZMT4H0GttFGy9Olhw&#10;aUKN0MlElLA1Aflm7FZrUOmj1giJdTUnpmk86RGyd/kUm7Ws9lGG1qi5BfmcFp5wstI4evQCtZVJ&#10;skM0/0BZo6JHr9NCeSsmIqMixGJZPNHmrpUBRi4kNYaL6Pj/YNWH46fITFPzckWaOGlp5Ocf388/&#10;f59/fWPZSRL1ASvKvAuUm4a3fqDFufcjOTPzQUebv8SJUZzATheBYUhMkfPN8uqqoIii0LJclder&#10;VYYRD9UhYnoH3rJs1DzSAEdd5fE9pin1PiU/5vyt6bpxiJ37y0GYkwfGLZirM5Gp4WylYTfM7Ha+&#10;ORG5njah5vj1ICNwdgjR7FtqYyQrcgmNYex3Xpk858d3sh//Jps/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Do/crNUAAAAIAQAADwAAAAAAAAABACAAAAAiAAAAZHJzL2Rvd25yZXYueG1sUEsBAhQA&#10;FAAAAAgAh07iQDpgWmS8AQAAbgMAAA4AAAAAAAAAAQAgAAAAJAEAAGRycy9lMm9Eb2MueG1sUEsF&#10;BgAAAAAGAAYAWQEAAFIFAAAAAA==&#10;">
                <v:fill on="f" focussize="0,0"/>
                <v:stroke on="f"/>
                <v:imagedata o:title=""/>
                <o:lock v:ext="edit" aspectratio="f"/>
                <v:textbox>
                  <w:txbxContent>
                    <w:p w14:paraId="16A942C3">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单位工程或工程部位验收</w:t>
                      </w:r>
                    </w:p>
                  </w:txbxContent>
                </v:textbox>
              </v:shape>
            </w:pict>
          </mc:Fallback>
        </mc:AlternateContent>
      </w:r>
      <w:r>
        <w:rPr>
          <w:rFonts w:hint="default" w:ascii="Times New Roman" w:hAnsi="Times New Roman" w:cs="Times New Roman"/>
          <w:color w:val="auto"/>
          <w:sz w:val="22"/>
          <w:szCs w:val="22"/>
          <w:highlight w:val="none"/>
        </w:rPr>
        <w:t>发包人要求某一单位工程或任一工程部位提前办理竣工验收的，应与承包人签订单位工程或工程部位竣工验收协议，作为本合同的附件。</w:t>
      </w:r>
    </w:p>
    <w:p w14:paraId="20E8249A">
      <w:pPr>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1）发包人根据合同进度计划安排，在全部工程竣工前需要使用已经竣工的单位工程或工程部位时，或承包人提出经发包人同意时，可进行单位工程或工程部位验收。验收的程序可参照第57条和本条上述相关条款规定进行。验收合格后，发包人应向承包人颁发单位工程或工程部位接收证书，并负责照管。单位工程或工程部位的验收成果和结论，作为全部工程竣工验收申请报告的附件。</w:t>
      </w:r>
    </w:p>
    <w:p w14:paraId="08015333">
      <w:pPr>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（2）发包人在全部工程竣工前，使用已接收的单位工程或工程部位导致承包人费用增加的，发包人应承担由此增加的费用和（或）延误的工期，并向承包人支付合理利润。</w:t>
      </w:r>
    </w:p>
    <w:p w14:paraId="0FA35328">
      <w:pPr>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58.9  </w:t>
      </w:r>
      <w:r>
        <w:rPr>
          <w:rFonts w:hint="default" w:ascii="Times New Roman" w:hAnsi="Times New Roman" w:cs="Times New Roman"/>
          <w:b/>
          <w:bCs/>
          <w:color w:val="auto"/>
          <w:sz w:val="22"/>
          <w:szCs w:val="22"/>
          <w:highlight w:val="none"/>
          <w:u w:val="dotted"/>
        </w:rPr>
        <w:t xml:space="preserve">                                                                                                        </w:t>
      </w:r>
    </w:p>
    <w:p w14:paraId="4BC7B29D">
      <w:pPr>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10144" behindDoc="0" locked="0" layoutInCell="1" allowOverlap="1">
                <wp:simplePos x="0" y="0"/>
                <wp:positionH relativeFrom="column">
                  <wp:posOffset>-114300</wp:posOffset>
                </wp:positionH>
                <wp:positionV relativeFrom="paragraph">
                  <wp:posOffset>3810</wp:posOffset>
                </wp:positionV>
                <wp:extent cx="914400" cy="590550"/>
                <wp:effectExtent l="0" t="0" r="0" b="0"/>
                <wp:wrapNone/>
                <wp:docPr id="251" name="文本框 251"/>
                <wp:cNvGraphicFramePr/>
                <a:graphic xmlns:a="http://schemas.openxmlformats.org/drawingml/2006/main">
                  <a:graphicData uri="http://schemas.microsoft.com/office/word/2010/wordprocessingShape">
                    <wps:wsp>
                      <wps:cNvSpPr txBox="1"/>
                      <wps:spPr>
                        <a:xfrm>
                          <a:off x="0" y="0"/>
                          <a:ext cx="914400" cy="590550"/>
                        </a:xfrm>
                        <a:prstGeom prst="rect">
                          <a:avLst/>
                        </a:prstGeom>
                        <a:noFill/>
                        <a:ln>
                          <a:noFill/>
                        </a:ln>
                        <a:effectLst/>
                      </wps:spPr>
                      <wps:txbx>
                        <w:txbxContent>
                          <w:p w14:paraId="1814EA40">
                            <w:pPr>
                              <w:spacing w:line="240" w:lineRule="exact"/>
                              <w:rPr>
                                <w:rFonts w:ascii="楷体_GB2312" w:hAnsi="宋体" w:eastAsia="楷体_GB2312" w:cs="Times New Roman"/>
                                <w:sz w:val="18"/>
                                <w:szCs w:val="18"/>
                              </w:rPr>
                            </w:pPr>
                            <w:r>
                              <w:rPr>
                                <w:rFonts w:hint="eastAsia" w:ascii="楷体_GB2312" w:hAnsi="宋体" w:eastAsia="楷体_GB2312" w:cs="楷体_GB2312"/>
                                <w:b/>
                                <w:bCs/>
                                <w:color w:val="000000"/>
                                <w:sz w:val="18"/>
                                <w:szCs w:val="18"/>
                              </w:rPr>
                              <w:t>施工期运行</w:t>
                            </w:r>
                          </w:p>
                        </w:txbxContent>
                      </wps:txbx>
                      <wps:bodyPr wrap="square" upright="1"/>
                    </wps:wsp>
                  </a:graphicData>
                </a:graphic>
              </wp:anchor>
            </w:drawing>
          </mc:Choice>
          <mc:Fallback>
            <w:pict>
              <v:shape id="_x0000_s1026" o:spid="_x0000_s1026" o:spt="202" type="#_x0000_t202" style="position:absolute;left:0pt;margin-left:-9pt;margin-top:0.3pt;height:46.5pt;width:72pt;z-index:251910144;mso-width-relative:page;mso-height-relative:page;" filled="f" stroked="f" coordsize="21600,21600" o:gfxdata="UEsDBAoAAAAAAIdO4kAAAAAAAAAAAAAAAAAEAAAAZHJzL1BLAwQUAAAACACHTuJAt9Ap+9QAAAAH&#10;AQAADwAAAGRycy9kb3ducmV2LnhtbE2PzU7DMBCE70i8g7VI3Fo7BaI2ZNMDiCuI8iNx28bbJCJe&#10;R7HbhLfHPcFxNKOZb8rt7Hp14jF0XhCypQHFUnvbSYPw/va0WIMKkcRS74URfjjAtrq8KKmwfpJX&#10;Pu1io1KJhIIQ2hiHQutQt+woLP3AkryDHx3FJMdG25GmVO56vTIm1446SQstDfzQcv29OzqEj+fD&#10;1+eteWke3d0w+dlocRuNeH2VmXtQkef4F4YzfkKHKjHt/VFsUD3CIlunLxEhB3W2V3mSe4TNTQ66&#10;KvV//uoXUEsDBBQAAAAIAIdO4kB7yXdDvQEAAG0DAAAOAAAAZHJzL2Uyb0RvYy54bWytU0tu2zAQ&#10;3RfIHQjua8lGXDSC5QCFkWyKtkDaA9DUyCLAXzm0JV+gvUFX3XTfc/kcHVKK89tk0Q01nM/jvDej&#10;1fVgNDtAQOVszeezkjOw0jXK7mr+7evN2/ecYRS2EdpZqPkRkF+vL96sel/BwnVONxAYgVisel/z&#10;LkZfFQXKDozAmfNgKdi6YESka9gVTRA9oRtdLMryXdG70PjgJCCSdzMG+YQYXgPo2lZJ2Di5N2Dj&#10;iBpAi0iUsFMe+Tp327Yg4+e2RYhM15yYxnzSI2Rv01msV6LaBeE7JacWxGtaeMbJCGXp0TPURkTB&#10;9kG9gDJKBoeujTPpTDESyYoQi3n5TJu7TnjIXEhq9GfR8f/Byk+HL4GppuaL5ZwzKwyN/PTr5+n3&#10;39OfHyw5SaLeY0WZd55y4/DBDbQ4934kZ2I+tMGkL3FiFCeBj2eBYYhMkvNqfnlZUkRSaHlVLpd5&#10;AMVDsQ8Yb8EZloyaB5pfllUcPmKkRij1PiW9Zd2N0jrPUNsnDkocPZCXYKpOPMZ+kxWH7TCR27rm&#10;SNx6WoSa4/e9CMDZ3ge166iNzLVIJTSF3MS0MWnMj+9kP/5L1v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t9Ap+9QAAAAHAQAADwAAAAAAAAABACAAAAAiAAAAZHJzL2Rvd25yZXYueG1sUEsBAhQA&#10;FAAAAAgAh07iQHvJd0O9AQAAbQMAAA4AAAAAAAAAAQAgAAAAIwEAAGRycy9lMm9Eb2MueG1sUEsF&#10;BgAAAAAGAAYAWQEAAFIFAAAAAA==&#10;">
                <v:fill on="f" focussize="0,0"/>
                <v:stroke on="f"/>
                <v:imagedata o:title=""/>
                <o:lock v:ext="edit" aspectratio="f"/>
                <v:textbox>
                  <w:txbxContent>
                    <w:p w14:paraId="1814EA40">
                      <w:pPr>
                        <w:spacing w:line="240" w:lineRule="exact"/>
                        <w:rPr>
                          <w:rFonts w:ascii="楷体_GB2312" w:hAnsi="宋体" w:eastAsia="楷体_GB2312" w:cs="Times New Roman"/>
                          <w:sz w:val="18"/>
                          <w:szCs w:val="18"/>
                        </w:rPr>
                      </w:pPr>
                      <w:r>
                        <w:rPr>
                          <w:rFonts w:hint="eastAsia" w:ascii="楷体_GB2312" w:hAnsi="宋体" w:eastAsia="楷体_GB2312" w:cs="楷体_GB2312"/>
                          <w:b/>
                          <w:bCs/>
                          <w:color w:val="000000"/>
                          <w:sz w:val="18"/>
                          <w:szCs w:val="18"/>
                        </w:rPr>
                        <w:t>施工期运行</w:t>
                      </w:r>
                    </w:p>
                  </w:txbxContent>
                </v:textbox>
              </v:shape>
            </w:pict>
          </mc:Fallback>
        </mc:AlternateContent>
      </w:r>
      <w:r>
        <w:rPr>
          <w:rFonts w:hint="default" w:ascii="Times New Roman" w:hAnsi="Times New Roman" w:cs="Times New Roman"/>
          <w:color w:val="auto"/>
          <w:sz w:val="22"/>
          <w:szCs w:val="22"/>
          <w:highlight w:val="none"/>
        </w:rPr>
        <w:t>合同工程尚未全部竣工（其中某项或某几项单位工程或工程部位已竣工），根据合同约定需要在施工期运行的，应由发包人按照第58.8款规定验收合格，并确保安全后，才能投入施工期运行。</w:t>
      </w:r>
    </w:p>
    <w:p w14:paraId="35FC63E0">
      <w:pPr>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在施工期运行中，发现单位工程或工程部位存在缺陷或损坏的，由承包人按照第59.3款规定进行修复。</w:t>
      </w:r>
    </w:p>
    <w:p w14:paraId="0ACB6A1D">
      <w:pPr>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58.10  </w:t>
      </w:r>
      <w:r>
        <w:rPr>
          <w:rFonts w:hint="default" w:ascii="Times New Roman" w:hAnsi="Times New Roman" w:cs="Times New Roman"/>
          <w:b/>
          <w:bCs/>
          <w:color w:val="auto"/>
          <w:sz w:val="22"/>
          <w:szCs w:val="22"/>
          <w:highlight w:val="none"/>
          <w:u w:val="dotted"/>
        </w:rPr>
        <w:t xml:space="preserve">                                                                                                        </w:t>
      </w:r>
    </w:p>
    <w:p w14:paraId="133F215F">
      <w:pPr>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11168" behindDoc="0" locked="0" layoutInCell="1" allowOverlap="1">
                <wp:simplePos x="0" y="0"/>
                <wp:positionH relativeFrom="column">
                  <wp:posOffset>-114300</wp:posOffset>
                </wp:positionH>
                <wp:positionV relativeFrom="paragraph">
                  <wp:posOffset>3810</wp:posOffset>
                </wp:positionV>
                <wp:extent cx="914400" cy="590550"/>
                <wp:effectExtent l="0" t="0" r="0" b="0"/>
                <wp:wrapNone/>
                <wp:docPr id="252" name="文本框 252"/>
                <wp:cNvGraphicFramePr/>
                <a:graphic xmlns:a="http://schemas.openxmlformats.org/drawingml/2006/main">
                  <a:graphicData uri="http://schemas.microsoft.com/office/word/2010/wordprocessingShape">
                    <wps:wsp>
                      <wps:cNvSpPr txBox="1"/>
                      <wps:spPr>
                        <a:xfrm>
                          <a:off x="0" y="0"/>
                          <a:ext cx="914400" cy="590550"/>
                        </a:xfrm>
                        <a:prstGeom prst="rect">
                          <a:avLst/>
                        </a:prstGeom>
                        <a:noFill/>
                        <a:ln>
                          <a:noFill/>
                        </a:ln>
                        <a:effectLst/>
                      </wps:spPr>
                      <wps:txbx>
                        <w:txbxContent>
                          <w:p w14:paraId="1FC0A0E2">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竣工清场</w:t>
                            </w:r>
                          </w:p>
                        </w:txbxContent>
                      </wps:txbx>
                      <wps:bodyPr wrap="square" upright="1"/>
                    </wps:wsp>
                  </a:graphicData>
                </a:graphic>
              </wp:anchor>
            </w:drawing>
          </mc:Choice>
          <mc:Fallback>
            <w:pict>
              <v:shape id="_x0000_s1026" o:spid="_x0000_s1026" o:spt="202" type="#_x0000_t202" style="position:absolute;left:0pt;margin-left:-9pt;margin-top:0.3pt;height:46.5pt;width:72pt;z-index:251911168;mso-width-relative:page;mso-height-relative:page;" filled="f" stroked="f" coordsize="21600,21600" o:gfxdata="UEsDBAoAAAAAAIdO4kAAAAAAAAAAAAAAAAAEAAAAZHJzL1BLAwQUAAAACACHTuJAt9Ap+9QAAAAH&#10;AQAADwAAAGRycy9kb3ducmV2LnhtbE2PzU7DMBCE70i8g7VI3Fo7BaI2ZNMDiCuI8iNx28bbJCJe&#10;R7HbhLfHPcFxNKOZb8rt7Hp14jF0XhCypQHFUnvbSYPw/va0WIMKkcRS74URfjjAtrq8KKmwfpJX&#10;Pu1io1KJhIIQ2hiHQutQt+woLP3AkryDHx3FJMdG25GmVO56vTIm1446SQstDfzQcv29OzqEj+fD&#10;1+eteWke3d0w+dlocRuNeH2VmXtQkef4F4YzfkKHKjHt/VFsUD3CIlunLxEhB3W2V3mSe4TNTQ66&#10;KvV//uoXUEsDBBQAAAAIAIdO4kAsz0GdvgEAAG0DAAAOAAAAZHJzL2Uyb0RvYy54bWytU0tu2zAQ&#10;3RfoHQjua8lGXDSC5QCFkW6KtkDSA9DU0CIgfsqhLfkC7Q26yib7nsvnyJBSnDTdZNENNZzP47w3&#10;o9XVYDp2gIDa2ZrPZyVnYKVrtN3V/Pvt9bsPnGEUthGds1DzIyC/Wr99s+p9BQvXuq6BwAjEYtX7&#10;mrcx+qooULZgBM6cB0tB5YIRka5hVzRB9IRuumJRlu+L3oXGBycBkbybMcgnxPAaQKeUlrBxcm/A&#10;xhE1QCciUcJWe+Tr3K1SIONXpRAi62pOTGM+6RGyt+ks1itR7YLwrZZTC+I1LbzgZIS29OgZaiOi&#10;YPug/4EyWgaHTsWZdKYYiWRFiMW8fKHNTSs8ZC4kNfqz6Pj/YOWXw7fAdFPzxXLBmRWGRn76/et0&#10;9+d0/5MlJ0nUe6wo88ZTbhw+uoEW59GP5EzMBxVM+hInRnES+HgWGIbIJDkv5xcXJUUkhZaX5XKZ&#10;B1A8FfuA8RM4w5JR80Dzy7KKw2eM1AilPqakt6y71l2XZ9jZvxyUOHogL8FUnXiM/SYrDtthIrd1&#10;zZG49bQINccfexGAs70PetdSG5lrkUpoCrmJaWPSmJ/fyX7+l6wf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LfQKfvUAAAABwEAAA8AAAAAAAAAAQAgAAAAIgAAAGRycy9kb3ducmV2LnhtbFBLAQIU&#10;ABQAAAAIAIdO4kAsz0GdvgEAAG0DAAAOAAAAAAAAAAEAIAAAACMBAABkcnMvZTJvRG9jLnhtbFBL&#10;BQYAAAAABgAGAFkBAABTBQAAAAA=&#10;">
                <v:fill on="f" focussize="0,0"/>
                <v:stroke on="f"/>
                <v:imagedata o:title=""/>
                <o:lock v:ext="edit" aspectratio="f"/>
                <v:textbox>
                  <w:txbxContent>
                    <w:p w14:paraId="1FC0A0E2">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竣工清场</w:t>
                      </w:r>
                    </w:p>
                  </w:txbxContent>
                </v:textbox>
              </v:shape>
            </w:pict>
          </mc:Fallback>
        </mc:AlternateContent>
      </w:r>
      <w:r>
        <w:rPr>
          <w:rFonts w:hint="default" w:ascii="Times New Roman" w:hAnsi="Times New Roman" w:cs="Times New Roman"/>
          <w:color w:val="auto"/>
          <w:sz w:val="22"/>
          <w:szCs w:val="22"/>
          <w:highlight w:val="none"/>
        </w:rPr>
        <w:t>专用条款没有约定的，工程接收证书颁发后，承包人应按照下列要求对施工场地进行清理，直至监理工程师检验合格为止。竣工清场费用由承包人承担。</w:t>
      </w:r>
    </w:p>
    <w:p w14:paraId="1EF7EF6E">
      <w:pPr>
        <w:spacing w:line="420" w:lineRule="exact"/>
        <w:ind w:firstLine="1485" w:firstLineChars="675"/>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（1）施工场地内残留的垃圾已全部清除出场；</w:t>
      </w:r>
    </w:p>
    <w:p w14:paraId="7F4F5E60">
      <w:pPr>
        <w:spacing w:line="420" w:lineRule="exact"/>
        <w:ind w:firstLine="1485" w:firstLineChars="675"/>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（2）临时设施已拆除，场地已按照合同要求进行清理、平整或复原；</w:t>
      </w:r>
    </w:p>
    <w:p w14:paraId="751E493C">
      <w:pPr>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（3）按照合同约定应撤离的承包人设备和剩余的材料，包括废弃的施工设备和材料，已按照计划撤离施工场地；</w:t>
      </w:r>
    </w:p>
    <w:p w14:paraId="0DA852B2">
      <w:pPr>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（4）建筑物周边及其附近道路、河道的施工堆积物，已按照监理工程师指令全部清理；</w:t>
      </w:r>
    </w:p>
    <w:p w14:paraId="61A7BDD9">
      <w:pPr>
        <w:spacing w:line="420" w:lineRule="exact"/>
        <w:ind w:firstLine="1485" w:firstLineChars="675"/>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（5）监理工程师指令的其他场地清理工作已全部完成。</w:t>
      </w:r>
    </w:p>
    <w:p w14:paraId="1DFA939F">
      <w:pPr>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如承包人未按照监理工程师的要求恢复临时占地，或者场地清理未达到合同约定的，发包人可自行或委托第三方恢复或清理，所发生的费用从应支付或将支付给承包人的款项中扣除。</w:t>
      </w:r>
    </w:p>
    <w:p w14:paraId="036E3691">
      <w:pPr>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58.11 </w:t>
      </w:r>
      <w:r>
        <w:rPr>
          <w:rFonts w:hint="default" w:ascii="Times New Roman" w:hAnsi="Times New Roman" w:cs="Times New Roman"/>
          <w:b/>
          <w:bCs/>
          <w:color w:val="auto"/>
          <w:sz w:val="22"/>
          <w:szCs w:val="22"/>
          <w:highlight w:val="none"/>
          <w:u w:val="dotted"/>
        </w:rPr>
        <w:t xml:space="preserve">                                                                                                        </w:t>
      </w:r>
    </w:p>
    <w:p w14:paraId="3C51F22A">
      <w:pPr>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12192" behindDoc="0" locked="0" layoutInCell="1" allowOverlap="1">
                <wp:simplePos x="0" y="0"/>
                <wp:positionH relativeFrom="column">
                  <wp:posOffset>-114300</wp:posOffset>
                </wp:positionH>
                <wp:positionV relativeFrom="paragraph">
                  <wp:posOffset>3810</wp:posOffset>
                </wp:positionV>
                <wp:extent cx="914400" cy="590550"/>
                <wp:effectExtent l="0" t="0" r="0" b="0"/>
                <wp:wrapNone/>
                <wp:docPr id="253" name="文本框 253"/>
                <wp:cNvGraphicFramePr/>
                <a:graphic xmlns:a="http://schemas.openxmlformats.org/drawingml/2006/main">
                  <a:graphicData uri="http://schemas.microsoft.com/office/word/2010/wordprocessingShape">
                    <wps:wsp>
                      <wps:cNvSpPr txBox="1"/>
                      <wps:spPr>
                        <a:xfrm>
                          <a:off x="0" y="0"/>
                          <a:ext cx="914400" cy="590550"/>
                        </a:xfrm>
                        <a:prstGeom prst="rect">
                          <a:avLst/>
                        </a:prstGeom>
                        <a:noFill/>
                        <a:ln>
                          <a:noFill/>
                        </a:ln>
                        <a:effectLst/>
                      </wps:spPr>
                      <wps:txbx>
                        <w:txbxContent>
                          <w:p w14:paraId="71CA9C3B">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施工队伍的撤离</w:t>
                            </w:r>
                          </w:p>
                        </w:txbxContent>
                      </wps:txbx>
                      <wps:bodyPr wrap="square" upright="1"/>
                    </wps:wsp>
                  </a:graphicData>
                </a:graphic>
              </wp:anchor>
            </w:drawing>
          </mc:Choice>
          <mc:Fallback>
            <w:pict>
              <v:shape id="_x0000_s1026" o:spid="_x0000_s1026" o:spt="202" type="#_x0000_t202" style="position:absolute;left:0pt;margin-left:-9pt;margin-top:0.3pt;height:46.5pt;width:72pt;z-index:251912192;mso-width-relative:page;mso-height-relative:page;" filled="f" stroked="f" coordsize="21600,21600" o:gfxdata="UEsDBAoAAAAAAIdO4kAAAAAAAAAAAAAAAAAEAAAAZHJzL1BLAwQUAAAACACHTuJAt9Ap+9QAAAAH&#10;AQAADwAAAGRycy9kb3ducmV2LnhtbE2PzU7DMBCE70i8g7VI3Fo7BaI2ZNMDiCuI8iNx28bbJCJe&#10;R7HbhLfHPcFxNKOZb8rt7Hp14jF0XhCypQHFUnvbSYPw/va0WIMKkcRS74URfjjAtrq8KKmwfpJX&#10;Pu1io1KJhIIQ2hiHQutQt+woLP3AkryDHx3FJMdG25GmVO56vTIm1446SQstDfzQcv29OzqEj+fD&#10;1+eteWke3d0w+dlocRuNeH2VmXtQkef4F4YzfkKHKjHt/VFsUD3CIlunLxEhB3W2V3mSe4TNTQ66&#10;KvV//uoXUEsDBBQAAAAIAIdO4kDeMINhvgEAAG0DAAAOAAAAZHJzL2Uyb0RvYy54bWytU0tu2zAQ&#10;3RfIHQjuY8puXDSC5QCFkW6KtEDaA9DUyCIgfsqhLfkC6Q266qb7nsvn6JBS3DTdZNENNZzP47w3&#10;o9XNYDp2gIDa2YrPZwVnYJWrtd1V/Mvn28u3nGGUtpads1DxIyC/WV+8WvW+hIVrXVdDYARisex9&#10;xdsYfSkEqhaMxJnzYCnYuGBkpGvYiTrIntBNJxZF8Ub0LtQ+OAWI5N2MQT4hhpcAuqbRCjZO7Q3Y&#10;OKIG6GQkSthqj3ydu20aUPFj0yBE1lWcmMZ80iNkb9Mp1itZ7oL0rVZTC/IlLTzjZKS29OgZaiOj&#10;ZPug/4EyWgWHrokz5YwYiWRFiMW8eKbNfSs9ZC4kNfqz6Pj/YNXd4VNguq74YvmaMysNjfz0/dvp&#10;x6/TzweWnCRR77GkzHtPuXF45wZanEc/kjMxH5pg0pc4MYqTwMezwDBEpsh5Pb+6KiiiKLS8LpbL&#10;PADxp9gHjO/BGZaMigeaX5ZVHj5gpEYo9TElvWXdre66PMPO/uWgxNEDeQmm6sRj7DdZcdgOE7mt&#10;q4/EradFqDh+3csAnO190LuW2shcRSqhKeQmpo1JY356J/vpX7L+D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LfQKfvUAAAABwEAAA8AAAAAAAAAAQAgAAAAIgAAAGRycy9kb3ducmV2LnhtbFBLAQIU&#10;ABQAAAAIAIdO4kDeMINhvgEAAG0DAAAOAAAAAAAAAAEAIAAAACMBAABkcnMvZTJvRG9jLnhtbFBL&#10;BQYAAAAABgAGAFkBAABTBQAAAAA=&#10;">
                <v:fill on="f" focussize="0,0"/>
                <v:stroke on="f"/>
                <v:imagedata o:title=""/>
                <o:lock v:ext="edit" aspectratio="f"/>
                <v:textbox>
                  <w:txbxContent>
                    <w:p w14:paraId="71CA9C3B">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施工队伍的撤离</w:t>
                      </w:r>
                    </w:p>
                  </w:txbxContent>
                </v:textbox>
              </v:shape>
            </w:pict>
          </mc:Fallback>
        </mc:AlternateContent>
      </w:r>
      <w:r>
        <w:rPr>
          <w:rFonts w:hint="default" w:ascii="Times New Roman" w:hAnsi="Times New Roman" w:cs="Times New Roman"/>
          <w:color w:val="auto"/>
          <w:sz w:val="22"/>
          <w:szCs w:val="22"/>
          <w:highlight w:val="none"/>
        </w:rPr>
        <w:t>工程接收证书颁发后的56天内，除经监理工程师同意需在缺陷责任期内继续工作的人员、使用的施工设备和临时设施外，其余的人员、施工设备和临时设备均应撤离施工场地或拆除。除专用条款另有约定外，缺陷责任期满时，承包人的人员和施工设备应全部撤离施工场地。</w:t>
      </w:r>
    </w:p>
    <w:p w14:paraId="426603CF">
      <w:pPr>
        <w:tabs>
          <w:tab w:val="left" w:pos="1620"/>
        </w:tabs>
        <w:adjustRightInd w:val="0"/>
        <w:snapToGrid w:val="0"/>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13216" behindDoc="0" locked="0" layoutInCell="1" allowOverlap="1">
                <wp:simplePos x="0" y="0"/>
                <wp:positionH relativeFrom="column">
                  <wp:posOffset>-66675</wp:posOffset>
                </wp:positionH>
                <wp:positionV relativeFrom="paragraph">
                  <wp:posOffset>299085</wp:posOffset>
                </wp:positionV>
                <wp:extent cx="914400" cy="591185"/>
                <wp:effectExtent l="0" t="0" r="0" b="0"/>
                <wp:wrapNone/>
                <wp:docPr id="254" name="文本框 254"/>
                <wp:cNvGraphicFramePr/>
                <a:graphic xmlns:a="http://schemas.openxmlformats.org/drawingml/2006/main">
                  <a:graphicData uri="http://schemas.microsoft.com/office/word/2010/wordprocessingShape">
                    <wps:wsp>
                      <wps:cNvSpPr txBox="1"/>
                      <wps:spPr>
                        <a:xfrm>
                          <a:off x="0" y="0"/>
                          <a:ext cx="914400" cy="591185"/>
                        </a:xfrm>
                        <a:prstGeom prst="rect">
                          <a:avLst/>
                        </a:prstGeom>
                        <a:noFill/>
                        <a:ln>
                          <a:noFill/>
                        </a:ln>
                        <a:effectLst/>
                      </wps:spPr>
                      <wps:txbx>
                        <w:txbxContent>
                          <w:p w14:paraId="5395327C">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使用未验收或验收未通过工程的责任</w:t>
                            </w:r>
                          </w:p>
                        </w:txbxContent>
                      </wps:txbx>
                      <wps:bodyPr wrap="square" upright="1"/>
                    </wps:wsp>
                  </a:graphicData>
                </a:graphic>
              </wp:anchor>
            </w:drawing>
          </mc:Choice>
          <mc:Fallback>
            <w:pict>
              <v:shape id="_x0000_s1026" o:spid="_x0000_s1026" o:spt="202" type="#_x0000_t202" style="position:absolute;left:0pt;margin-left:-5.25pt;margin-top:23.55pt;height:46.55pt;width:72pt;z-index:251913216;mso-width-relative:page;mso-height-relative:page;" filled="f" stroked="f" coordsize="21600,21600" o:gfxdata="UEsDBAoAAAAAAIdO4kAAAAAAAAAAAAAAAAAEAAAAZHJzL1BLAwQUAAAACACHTuJAFGnFEdcAAAAK&#10;AQAADwAAAGRycy9kb3ducmV2LnhtbE2PTU/CQBCG7yb+h82QeIPdQhEp3XLQeNWISuJt6Q5tQ3e2&#10;6S60/nuHk9zm48k7z+Tb0bXign1oPGlIZgoEUultQ5WGr8/X6ROIEA1Z03pCDb8YYFvc3+Ums36g&#10;D7zsYiU4hEJmNNQxdpmUoazRmTDzHRLvjr53JnLbV9L2ZuBw18q5Uo/SmYb4Qm06fK6xPO3OTsP3&#10;2/Fnn6r36sUtu8GPSpJbS60fJonagIg4xn8YrvqsDgU7HfyZbBCthmmiloxqSFcJiCuwWPDgwEWq&#10;5iCLXN6+UPwBUEsDBBQAAAAIAIdO4kBhG/GEvQEAAG0DAAAOAAAAZHJzL2Uyb0RvYy54bWytU0tu&#10;2zAQ3RfIHQjuY0mGHSSC5QCBkW6KpkDaA9DUyCIgfsKhLfkC7Q266qb7nsvn6JBS3DTdZNENNZzP&#10;47w3o9XtoDt2AI/KmooXs5wzMNLWyuwq/uXz/eU1ZxiEqUVnDVT8CMhv1xfvVr0rYW5b29XgGYEY&#10;LHtX8TYEV2YZyha0wJl1YCjYWK9FoKvfZbUXPaHrLpvn+VXWW187byUgknczBvmE6N8CaJtGSdhY&#10;uddgwojqoROBKGGrHPJ16rZpQIaHpkEIrKs4MQ3ppEfI3sYzW69EufPCtUpOLYi3tPCKkxbK0KNn&#10;qI0Igu29+gdKK+kt2ibMpNXZSCQpQiyK/JU2j61wkLiQ1OjOouP/g5UfD588U3XF58sFZ0ZoGvnp&#10;+7fTj1+nn19ZdJJEvcOSMh8d5Ybhzg60OM9+JGdkPjRexy9xYhQngY9ngWEITJLzplgscopICi1v&#10;iuJ6GVGyP8XOY3gPVrNoVNzT/JKs4vABw5j6nBLfMvZedV2aYWf+chDm6IG0BFN15DH2G60wbIeJ&#10;3NbWR+LW0yJUHJ/2wgNne+fVrqU2EtcsltAUUr/TxsQxv7yT/fIvWf8G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FGnFEdcAAAAKAQAADwAAAAAAAAABACAAAAAiAAAAZHJzL2Rvd25yZXYueG1sUEsB&#10;AhQAFAAAAAgAh07iQGEb8YS9AQAAbQMAAA4AAAAAAAAAAQAgAAAAJgEAAGRycy9lMm9Eb2MueG1s&#10;UEsFBgAAAAAGAAYAWQEAAFUFAAAAAA==&#10;">
                <v:fill on="f" focussize="0,0"/>
                <v:stroke on="f"/>
                <v:imagedata o:title=""/>
                <o:lock v:ext="edit" aspectratio="f"/>
                <v:textbox>
                  <w:txbxContent>
                    <w:p w14:paraId="5395327C">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使用未验收或验收未通过工程的责任</w:t>
                      </w:r>
                    </w:p>
                  </w:txbxContent>
                </v:textbox>
              </v:shape>
            </w:pict>
          </mc:Fallback>
        </mc:AlternateContent>
      </w:r>
      <w:r>
        <w:rPr>
          <w:rFonts w:hint="default" w:ascii="Times New Roman" w:hAnsi="Times New Roman" w:cs="Times New Roman"/>
          <w:b/>
          <w:bCs/>
          <w:color w:val="auto"/>
          <w:sz w:val="22"/>
          <w:szCs w:val="22"/>
          <w:highlight w:val="none"/>
        </w:rPr>
        <w:t>58.12</w:t>
      </w:r>
      <w:r>
        <w:rPr>
          <w:rFonts w:hint="default" w:ascii="Times New Roman" w:hAnsi="Times New Roman" w:cs="Times New Roman"/>
          <w:color w:val="auto"/>
          <w:sz w:val="22"/>
          <w:szCs w:val="22"/>
          <w:highlight w:val="none"/>
          <w:u w:val="dotted"/>
        </w:rPr>
        <w:t xml:space="preserve">                                                                                                       </w:t>
      </w:r>
      <w:r>
        <w:rPr>
          <w:rFonts w:hint="default" w:ascii="Times New Roman" w:hAnsi="Times New Roman" w:cs="Times New Roman"/>
          <w:color w:val="auto"/>
          <w:sz w:val="22"/>
          <w:szCs w:val="22"/>
          <w:highlight w:val="none"/>
        </w:rPr>
        <w:t xml:space="preserve"> </w:t>
      </w:r>
    </w:p>
    <w:p w14:paraId="33AF0D39">
      <w:pPr>
        <w:pStyle w:val="22"/>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合同工程未经竣工验收或竣工验收不合格的，发包人不得使用。发包人强行使用的，由此发生的质量问题及其他问题，由发包人承担责任。</w:t>
      </w:r>
    </w:p>
    <w:p w14:paraId="4E1017CF">
      <w:pPr>
        <w:tabs>
          <w:tab w:val="left" w:pos="1620"/>
        </w:tabs>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58.13</w:t>
      </w:r>
      <w:r>
        <w:rPr>
          <w:rFonts w:hint="default" w:ascii="Times New Roman" w:hAnsi="Times New Roman" w:cs="Times New Roman"/>
          <w:b/>
          <w:bCs/>
          <w:color w:val="auto"/>
          <w:sz w:val="22"/>
          <w:szCs w:val="22"/>
          <w:highlight w:val="none"/>
          <w:u w:val="dotted"/>
        </w:rPr>
        <w:t xml:space="preserve">                                                                                                       </w:t>
      </w:r>
    </w:p>
    <w:p w14:paraId="57929886">
      <w:pPr>
        <w:pStyle w:val="22"/>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14240" behindDoc="0" locked="0" layoutInCell="1" allowOverlap="1">
                <wp:simplePos x="0" y="0"/>
                <wp:positionH relativeFrom="column">
                  <wp:posOffset>-114300</wp:posOffset>
                </wp:positionH>
                <wp:positionV relativeFrom="paragraph">
                  <wp:posOffset>13335</wp:posOffset>
                </wp:positionV>
                <wp:extent cx="914400" cy="406400"/>
                <wp:effectExtent l="0" t="0" r="0" b="0"/>
                <wp:wrapNone/>
                <wp:docPr id="255" name="文本框 255"/>
                <wp:cNvGraphicFramePr/>
                <a:graphic xmlns:a="http://schemas.openxmlformats.org/drawingml/2006/main">
                  <a:graphicData uri="http://schemas.microsoft.com/office/word/2010/wordprocessingShape">
                    <wps:wsp>
                      <wps:cNvSpPr txBox="1"/>
                      <wps:spPr>
                        <a:xfrm>
                          <a:off x="0" y="0"/>
                          <a:ext cx="914400" cy="406400"/>
                        </a:xfrm>
                        <a:prstGeom prst="rect">
                          <a:avLst/>
                        </a:prstGeom>
                        <a:noFill/>
                        <a:ln>
                          <a:noFill/>
                        </a:ln>
                        <a:effectLst/>
                      </wps:spPr>
                      <wps:txbx>
                        <w:txbxContent>
                          <w:p w14:paraId="2718B3F3">
                            <w:pPr>
                              <w:spacing w:line="240" w:lineRule="exact"/>
                              <w:rPr>
                                <w:rFonts w:ascii="楷体_GB2312" w:hAnsi="宋体" w:eastAsia="楷体_GB2312" w:cs="Times New Roman"/>
                                <w:b/>
                                <w:bCs/>
                                <w:color w:val="000000"/>
                                <w:sz w:val="18"/>
                                <w:szCs w:val="18"/>
                              </w:rPr>
                            </w:pPr>
                            <w:r>
                              <w:rPr>
                                <w:rFonts w:hint="eastAsia" w:ascii="楷体_GB2312" w:eastAsia="楷体_GB2312" w:cs="楷体_GB2312"/>
                                <w:b/>
                                <w:bCs/>
                                <w:color w:val="000000"/>
                                <w:sz w:val="18"/>
                                <w:szCs w:val="18"/>
                              </w:rPr>
                              <w:t>工程竣工质量争议的责任</w:t>
                            </w:r>
                          </w:p>
                        </w:txbxContent>
                      </wps:txbx>
                      <wps:bodyPr wrap="square" upright="1"/>
                    </wps:wsp>
                  </a:graphicData>
                </a:graphic>
              </wp:anchor>
            </w:drawing>
          </mc:Choice>
          <mc:Fallback>
            <w:pict>
              <v:shape id="_x0000_s1026" o:spid="_x0000_s1026" o:spt="202" type="#_x0000_t202" style="position:absolute;left:0pt;margin-left:-9pt;margin-top:1.05pt;height:32pt;width:72pt;z-index:251914240;mso-width-relative:page;mso-height-relative:page;" filled="f" stroked="f" coordsize="21600,21600" o:gfxdata="UEsDBAoAAAAAAIdO4kAAAAAAAAAAAAAAAAAEAAAAZHJzL1BLAwQUAAAACACHTuJAkfzPi9UAAAAI&#10;AQAADwAAAGRycy9kb3ducmV2LnhtbE2PzU7DMBCE70h9B2uRuLW2oxKVkE0PRVyLKD8SNzfeJhHx&#10;OordJrw97gmOoxnNfFNuZ9eLC42h84ygVwoEce1txw3C+9vzcgMiRMPW9J4J4YcCbKvFTWkK6yd+&#10;pcshNiKVcCgMQhvjUEgZ6pacCSs/ECfv5EdnYpJjI+1oplTuepkplUtnOk4LrRlo11L9fTg7hI/9&#10;6etzrV6aJ3c/TH5Wkt2DRLy71eoRRKQ5/oXhip/QoUpMR39mG0SPsNSb9CUiZBrE1c/ypI8Iea5B&#10;VqX8f6D6BVBLAwQUAAAACACHTuJAo5fzxboBAABtAwAADgAAAGRycy9lMm9Eb2MueG1srVNLbtsw&#10;EN0XyB0I7mvKhhO0guUAhZFsirZA2gPQ1MgiwF85tCVfoL1BV91033P5HB1KivPbZNENNZzP47w3&#10;o9V1bw07QETtXcXns4IzcMrX2u0q/u3rzdt3nGGSrpbGO6j4EZBfry/erLpQwsK33tQQGYE4LLtQ&#10;8TalUAqBqgUrceYDOAo2PlqZ6Bp3oo6yI3RrxKIorkTnYx2iV4BI3s0Y5BNifA2gbxqtYOPV3oJL&#10;I2oEIxNRwlYH5Ouh26YBlT43DUJipuLENA0nPUL2Np9ivZLlLsrQajW1IF/TwjNOVmpHj56hNjJJ&#10;to/6BZTVKnr0TZopb8VIZFCEWMyLZ9rctTLAwIWkxnAWHf8frPp0+BKZriu+uLzkzElLIz/9+nn6&#10;/ff05wfLTpKoC1hS5l2g3NR/8D0tzr0fyZmZ9020+UucGMVJ4ONZYOgTU+R8P18uC4ooCi2Lq2wT&#10;ungoDhHTLXjLslHxSPMbZJWHj5jG1PuU/JbzN9qYYYbGPXEQ5uiBYQmm6sxj7Ddbqd/2E7mtr4/E&#10;raNFqDh+38sInO1D1LuW2hi4ilxCUxj6nTYmj/nxnezHf8n6H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JH8z4vVAAAACAEAAA8AAAAAAAAAAQAgAAAAIgAAAGRycy9kb3ducmV2LnhtbFBLAQIUABQA&#10;AAAIAIdO4kCjl/PFugEAAG0DAAAOAAAAAAAAAAEAIAAAACQBAABkcnMvZTJvRG9jLnhtbFBLBQYA&#10;AAAABgAGAFkBAABQBQAAAAA=&#10;">
                <v:fill on="f" focussize="0,0"/>
                <v:stroke on="f"/>
                <v:imagedata o:title=""/>
                <o:lock v:ext="edit" aspectratio="f"/>
                <v:textbox>
                  <w:txbxContent>
                    <w:p w14:paraId="2718B3F3">
                      <w:pPr>
                        <w:spacing w:line="240" w:lineRule="exact"/>
                        <w:rPr>
                          <w:rFonts w:ascii="楷体_GB2312" w:hAnsi="宋体" w:eastAsia="楷体_GB2312" w:cs="Times New Roman"/>
                          <w:b/>
                          <w:bCs/>
                          <w:color w:val="000000"/>
                          <w:sz w:val="18"/>
                          <w:szCs w:val="18"/>
                        </w:rPr>
                      </w:pPr>
                      <w:r>
                        <w:rPr>
                          <w:rFonts w:hint="eastAsia" w:ascii="楷体_GB2312" w:eastAsia="楷体_GB2312" w:cs="楷体_GB2312"/>
                          <w:b/>
                          <w:bCs/>
                          <w:color w:val="000000"/>
                          <w:sz w:val="18"/>
                          <w:szCs w:val="18"/>
                        </w:rPr>
                        <w:t>工程竣工质量争议的责任</w:t>
                      </w:r>
                    </w:p>
                  </w:txbxContent>
                </v:textbox>
              </v:shape>
            </w:pict>
          </mc:Fallback>
        </mc:AlternateContent>
      </w:r>
      <w:r>
        <w:rPr>
          <w:rFonts w:hint="default" w:ascii="Times New Roman" w:hAnsi="Times New Roman" w:cs="Times New Roman"/>
          <w:color w:val="auto"/>
          <w:sz w:val="22"/>
          <w:szCs w:val="22"/>
          <w:highlight w:val="none"/>
        </w:rPr>
        <w:t>合同工程竣工验收时发生工程质量争议，经第86.4款规定调解或认定工程质量符合合同要求的，由发包人承担由此增加的费用和（或）延误的工期。</w:t>
      </w:r>
    </w:p>
    <w:p w14:paraId="72E88FD7">
      <w:pPr>
        <w:adjustRightInd w:val="0"/>
        <w:snapToGrid w:val="0"/>
        <w:spacing w:line="420" w:lineRule="exact"/>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134CC008">
      <w:pPr>
        <w:pStyle w:val="15"/>
        <w:tabs>
          <w:tab w:val="left" w:pos="540"/>
        </w:tabs>
        <w:adjustRightInd w:val="0"/>
        <w:snapToGrid w:val="0"/>
        <w:spacing w:before="360" w:beforeLines="150" w:line="420" w:lineRule="exact"/>
        <w:outlineLvl w:val="2"/>
        <w:rPr>
          <w:rFonts w:hint="default" w:ascii="Times New Roman" w:hAnsi="Times New Roman" w:cs="Times New Roman"/>
          <w:b/>
          <w:bCs/>
          <w:color w:val="auto"/>
          <w:sz w:val="22"/>
          <w:szCs w:val="22"/>
          <w:highlight w:val="none"/>
        </w:rPr>
      </w:pPr>
      <w:bookmarkStart w:id="216" w:name="_Toc469384042"/>
      <w:bookmarkStart w:id="217" w:name="_Toc24584"/>
      <w:r>
        <w:rPr>
          <w:rFonts w:hint="default" w:ascii="Times New Roman" w:hAnsi="Times New Roman" w:cs="Times New Roman"/>
          <w:b/>
          <w:bCs/>
          <w:color w:val="auto"/>
          <w:sz w:val="22"/>
          <w:szCs w:val="22"/>
          <w:highlight w:val="none"/>
        </w:rPr>
        <w:t>59  缺陷责任与质量保修</w:t>
      </w:r>
      <w:bookmarkEnd w:id="216"/>
      <w:bookmarkEnd w:id="217"/>
    </w:p>
    <w:p w14:paraId="25C8CF3A">
      <w:pPr>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15264"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256" name="文本框 256"/>
                <wp:cNvGraphicFramePr/>
                <a:graphic xmlns:a="http://schemas.openxmlformats.org/drawingml/2006/main">
                  <a:graphicData uri="http://schemas.microsoft.com/office/word/2010/wordprocessingShape">
                    <wps:wsp>
                      <wps:cNvSpPr txBox="1"/>
                      <wps:spPr>
                        <a:xfrm>
                          <a:off x="0" y="0"/>
                          <a:ext cx="967740" cy="429895"/>
                        </a:xfrm>
                        <a:prstGeom prst="rect">
                          <a:avLst/>
                        </a:prstGeom>
                        <a:noFill/>
                        <a:ln>
                          <a:noFill/>
                        </a:ln>
                        <a:effectLst/>
                      </wps:spPr>
                      <wps:txbx>
                        <w:txbxContent>
                          <w:p w14:paraId="08ECB88B">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缺陷责任期</w:t>
                            </w:r>
                          </w:p>
                          <w:p w14:paraId="4DB73B20">
                            <w:pPr>
                              <w:spacing w:line="240" w:lineRule="exact"/>
                              <w:rPr>
                                <w:rFonts w:ascii="宋体" w:cs="Times New Roman"/>
                                <w:sz w:val="18"/>
                                <w:szCs w:val="18"/>
                              </w:rPr>
                            </w:pPr>
                            <w:r>
                              <w:rPr>
                                <w:rFonts w:hint="eastAsia" w:ascii="楷体_GB2312" w:hAnsi="宋体" w:eastAsia="楷体_GB2312" w:cs="楷体_GB2312"/>
                                <w:b/>
                                <w:bCs/>
                                <w:color w:val="000000"/>
                                <w:sz w:val="18"/>
                                <w:szCs w:val="18"/>
                              </w:rPr>
                              <w:t>计算</w:t>
                            </w:r>
                          </w:p>
                        </w:txbxContent>
                      </wps:txbx>
                      <wps:bodyPr wrap="square" upright="1"/>
                    </wps:wsp>
                  </a:graphicData>
                </a:graphic>
              </wp:anchor>
            </w:drawing>
          </mc:Choice>
          <mc:Fallback>
            <w:pict>
              <v:shape id="_x0000_s1026" o:spid="_x0000_s1026" o:spt="202" type="#_x0000_t202" style="position:absolute;left:0pt;margin-left:-9pt;margin-top:22.6pt;height:33.85pt;width:76.2pt;z-index:251915264;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P2ZLzr0BAABtAwAADgAAAGRycy9lMm9Eb2MueG1srVNL&#10;btswEN0X6B0I7ms5RuLEguUAhZFsgrZAmgPQ1MgiwF85tCVfoL1BV91033P5HB1SivPpJotuqOF8&#10;Hue9GS2ve6PZHgIqZyt+NplyBla6WtltxR++3ny44gyjsLXQzkLFD4D8evX+3bLzJcxc63QNgRGI&#10;xbLzFW9j9GVRoGzBCJw4D5aCjQtGRLqGbVEH0RG60cVsOp0XnQu1D04CInnXQ5CPiOEtgK5plIS1&#10;kzsDNg6oAbSIRAlb5ZGvcrdNAzJ+bhqEyHTFiWnMJz1C9iadxWopym0QvlVybEG8pYVXnIxQlh49&#10;Qa1FFGwX1D9QRsng0DVxIp0pBiJZEWJxNn2lzX0rPGQuJDX6k+j4/2Dlp/2XwFRd8dnFnDMrDI38&#10;+PPH8def4+/vLDlJos5jSZn3nnJj/9H1tDiPfiRnYt43waQvcWIUJ4EPJ4Ghj0ySczG/vDyniKTQ&#10;+WxxtbhIKMVTsQ8Yb8EZloyKB5pfllXs7zAOqY8p6S3rbpTWeYbavnAQ5uCBvARjdeIx9Jus2G/6&#10;kdzG1Qfi1tEiVBy/7UQAznY+qG1LbWSuRSqhKeR+x41JY35+J/v5X7L6C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HFm/p3YAAAACgEAAA8AAAAAAAAAAQAgAAAAIgAAAGRycy9kb3ducmV2LnhtbFBL&#10;AQIUABQAAAAIAIdO4kA/ZkvOvQEAAG0DAAAOAAAAAAAAAAEAIAAAACcBAABkcnMvZTJvRG9jLnht&#10;bFBLBQYAAAAABgAGAFkBAABWBQAAAAA=&#10;">
                <v:fill on="f" focussize="0,0"/>
                <v:stroke on="f"/>
                <v:imagedata o:title=""/>
                <o:lock v:ext="edit" aspectratio="f"/>
                <v:textbox>
                  <w:txbxContent>
                    <w:p w14:paraId="08ECB88B">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缺陷责任期</w:t>
                      </w:r>
                    </w:p>
                    <w:p w14:paraId="4DB73B20">
                      <w:pPr>
                        <w:spacing w:line="240" w:lineRule="exact"/>
                        <w:rPr>
                          <w:rFonts w:ascii="宋体" w:cs="Times New Roman"/>
                          <w:sz w:val="18"/>
                          <w:szCs w:val="18"/>
                        </w:rPr>
                      </w:pPr>
                      <w:r>
                        <w:rPr>
                          <w:rFonts w:hint="eastAsia" w:ascii="楷体_GB2312" w:hAnsi="宋体" w:eastAsia="楷体_GB2312" w:cs="楷体_GB2312"/>
                          <w:b/>
                          <w:bCs/>
                          <w:color w:val="000000"/>
                          <w:sz w:val="18"/>
                          <w:szCs w:val="18"/>
                        </w:rPr>
                        <w:t>计算</w:t>
                      </w:r>
                    </w:p>
                  </w:txbxContent>
                </v:textbox>
              </v:shape>
            </w:pict>
          </mc:Fallback>
        </mc:AlternateContent>
      </w:r>
      <w:r>
        <w:rPr>
          <w:rFonts w:hint="default" w:ascii="Times New Roman" w:hAnsi="Times New Roman" w:cs="Times New Roman"/>
          <w:b/>
          <w:bCs/>
          <w:color w:val="auto"/>
          <w:sz w:val="22"/>
          <w:szCs w:val="22"/>
          <w:highlight w:val="none"/>
        </w:rPr>
        <w:t xml:space="preserve">59.1  </w:t>
      </w:r>
    </w:p>
    <w:p w14:paraId="2AC856CC">
      <w:pPr>
        <w:spacing w:line="420" w:lineRule="exact"/>
        <w:ind w:firstLine="1443" w:firstLineChars="656"/>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合同双方当事人应在专用条款中约定缺陷责任期。</w:t>
      </w:r>
    </w:p>
    <w:p w14:paraId="6C94B715">
      <w:pPr>
        <w:adjustRightInd w:val="0"/>
        <w:snapToGrid w:val="0"/>
        <w:spacing w:line="420" w:lineRule="exact"/>
        <w:ind w:left="1575" w:leftChars="750"/>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w:t>缺陷责任期自实际竣工之日起计算。在全部工程竣工验收前，已经发包人提前验收的单位工程，其缺陷责任期的起算日期相应提前。</w:t>
      </w:r>
    </w:p>
    <w:p w14:paraId="24DB0E2C">
      <w:pPr>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16288"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257" name="文本框 257"/>
                <wp:cNvGraphicFramePr/>
                <a:graphic xmlns:a="http://schemas.openxmlformats.org/drawingml/2006/main">
                  <a:graphicData uri="http://schemas.microsoft.com/office/word/2010/wordprocessingShape">
                    <wps:wsp>
                      <wps:cNvSpPr txBox="1"/>
                      <wps:spPr>
                        <a:xfrm>
                          <a:off x="0" y="0"/>
                          <a:ext cx="967740" cy="429895"/>
                        </a:xfrm>
                        <a:prstGeom prst="rect">
                          <a:avLst/>
                        </a:prstGeom>
                        <a:noFill/>
                        <a:ln>
                          <a:noFill/>
                        </a:ln>
                        <a:effectLst/>
                      </wps:spPr>
                      <wps:txbx>
                        <w:txbxContent>
                          <w:p w14:paraId="3EE8C12F">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缺陷责任期</w:t>
                            </w:r>
                          </w:p>
                          <w:p w14:paraId="4326FF8B">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延长</w:t>
                            </w:r>
                          </w:p>
                        </w:txbxContent>
                      </wps:txbx>
                      <wps:bodyPr wrap="square" upright="1"/>
                    </wps:wsp>
                  </a:graphicData>
                </a:graphic>
              </wp:anchor>
            </w:drawing>
          </mc:Choice>
          <mc:Fallback>
            <w:pict>
              <v:shape id="_x0000_s1026" o:spid="_x0000_s1026" o:spt="202" type="#_x0000_t202" style="position:absolute;left:0pt;margin-left:-9pt;margin-top:22.6pt;height:33.85pt;width:76.2pt;z-index:251916288;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zZmJMr0BAABtAwAADgAAAGRycy9lMm9Eb2MueG1srVNL&#10;btswEN0X6B0I7ms5RhLHguUAhZFsgrZAmgPQ1MgiwF85tCVfoL1BV91033P5HB1SivPpJotuqOF8&#10;Hue9GS2ve6PZHgIqZyt+NplyBla6WtltxR++3ny44gyjsLXQzkLFD4D8evX+3bLzJcxc63QNgRGI&#10;xbLzFW9j9GVRoGzBCJw4D5aCjQtGRLqGbVEH0RG60cVsOr0sOhdqH5wERPKuhyAfEcNbAF3TKAlr&#10;J3cGbBxQA2gRiRK2yiNf5W6bBmT83DQIkemKE9OYT3qE7E06i9VSlNsgfKvk2IJ4SwuvOBmhLD16&#10;glqLKNguqH+gjJLBoWviRDpTDESyIsTibPpKm/tWeMhcSGr0J9Hx/8HKT/svgam64rOLOWdWGBr5&#10;8eeP468/x9/fWXKSRJ3HkjLvPeXG/qPraXEe/UjOxLxvgklf4sQoTgIfTgJDH5kk5+JyPj+niKTQ&#10;+WxxtbhIKMVTsQ8Yb8EZloyKB5pfllXs7zAOqY8p6S3rbpTWeYbavnAQ5uCBvARjdeIx9Jus2G/6&#10;kdzG1Qfi1tEiVBy/7UQAznY+qG1LbWSuRSqhKeR+x41JY35+J/v5X7L6C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HFm/p3YAAAACgEAAA8AAAAAAAAAAQAgAAAAIgAAAGRycy9kb3ducmV2LnhtbFBL&#10;AQIUABQAAAAIAIdO4kDNmYkyvQEAAG0DAAAOAAAAAAAAAAEAIAAAACcBAABkcnMvZTJvRG9jLnht&#10;bFBLBQYAAAAABgAGAFkBAABWBQAAAAA=&#10;">
                <v:fill on="f" focussize="0,0"/>
                <v:stroke on="f"/>
                <v:imagedata o:title=""/>
                <o:lock v:ext="edit" aspectratio="f"/>
                <v:textbox>
                  <w:txbxContent>
                    <w:p w14:paraId="3EE8C12F">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缺陷责任期</w:t>
                      </w:r>
                    </w:p>
                    <w:p w14:paraId="4326FF8B">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延长</w:t>
                      </w:r>
                    </w:p>
                  </w:txbxContent>
                </v:textbox>
              </v:shape>
            </w:pict>
          </mc:Fallback>
        </mc:AlternateContent>
      </w:r>
      <w:r>
        <w:rPr>
          <w:rFonts w:hint="default" w:ascii="Times New Roman" w:hAnsi="Times New Roman" w:cs="Times New Roman"/>
          <w:b/>
          <w:bCs/>
          <w:color w:val="auto"/>
          <w:sz w:val="22"/>
          <w:szCs w:val="22"/>
          <w:highlight w:val="none"/>
        </w:rPr>
        <w:t xml:space="preserve">59.2  </w:t>
      </w:r>
      <w:r>
        <w:rPr>
          <w:rFonts w:hint="default" w:ascii="Times New Roman" w:hAnsi="Times New Roman" w:cs="Times New Roman"/>
          <w:b/>
          <w:bCs/>
          <w:color w:val="auto"/>
          <w:sz w:val="22"/>
          <w:szCs w:val="22"/>
          <w:highlight w:val="none"/>
          <w:u w:val="dotted"/>
        </w:rPr>
        <w:t xml:space="preserve">                                                                              </w:t>
      </w:r>
    </w:p>
    <w:p w14:paraId="2CFF3D01">
      <w:pPr>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由于承包人原因造成某项缺陷或损坏使某项工程或工程设备不能按照原定目标使用而需要再次检查、检验和修复的，发包人有权要求承包人相应延长缺陷责任期，但缺陷责任期最长不超过2年。</w:t>
      </w:r>
    </w:p>
    <w:p w14:paraId="753096B4">
      <w:pPr>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17312"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258" name="文本框 258"/>
                <wp:cNvGraphicFramePr/>
                <a:graphic xmlns:a="http://schemas.openxmlformats.org/drawingml/2006/main">
                  <a:graphicData uri="http://schemas.microsoft.com/office/word/2010/wordprocessingShape">
                    <wps:wsp>
                      <wps:cNvSpPr txBox="1"/>
                      <wps:spPr>
                        <a:xfrm>
                          <a:off x="0" y="0"/>
                          <a:ext cx="967740" cy="429895"/>
                        </a:xfrm>
                        <a:prstGeom prst="rect">
                          <a:avLst/>
                        </a:prstGeom>
                        <a:noFill/>
                        <a:ln>
                          <a:noFill/>
                        </a:ln>
                        <a:effectLst/>
                      </wps:spPr>
                      <wps:txbx>
                        <w:txbxContent>
                          <w:p w14:paraId="076B6BE9">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缺陷责任</w:t>
                            </w:r>
                          </w:p>
                        </w:txbxContent>
                      </wps:txbx>
                      <wps:bodyPr wrap="square" upright="1"/>
                    </wps:wsp>
                  </a:graphicData>
                </a:graphic>
              </wp:anchor>
            </w:drawing>
          </mc:Choice>
          <mc:Fallback>
            <w:pict>
              <v:shape id="_x0000_s1026" o:spid="_x0000_s1026" o:spt="202" type="#_x0000_t202" style="position:absolute;left:0pt;margin-left:-9pt;margin-top:22.6pt;height:33.85pt;width:76.2pt;z-index:251917312;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RIqFIrwBAABtAwAADgAAAGRycy9lMm9Eb2MueG1srVNL&#10;btswEN0XyB0I7mM5Rn4WLAcojGQTtAXSHICmhhYB/sqhLfkC7Q266qb7nsvn6FBS3DTZZJENNZzP&#10;47w3o8VNZw3bQUTtXcXPJlPOwElfa7ep+OPX29NrzjAJVwvjHVR8D8hvlicfFm0oYeYbb2qIjEAc&#10;lm2oeJNSKIsCZQNW4MQHcBRUPlqR6Bo3RR1FS+jWFLPp9LJofaxD9BIQybsagnxEjG8B9EppCSsv&#10;txZcGlAjGJGIEjY6IF/23SoFMn1WCiExU3FimvqTHiF7nc9iuRDlJorQaDm2IN7SwgtOVmhHjx6h&#10;ViIJto36FZTVMnr0Kk2kt8VApFeEWJxNX2jz0IgAPReSGsNRdHw/WPlp9yUyXVd8dkGDd8LSyA8/&#10;fxx+/Tn8/s6ykyRqA5aU+RAoN3UffUeL8+RHcmbmnYo2f4kTozgJvD8KDF1ikpzzy6urc4pICp3P&#10;5tfzi4xS/CsOEdMdeMuyUfFI8+tlFbt7TEPqU0p+y/lbbUw/Q+P+cxDm4IF+CcbqzGPoN1upW3cj&#10;ubWv98StpUWoOH7bigicbUPUm4ba6LkWuYSm0Pc7bkwe8/M72c//kuV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cWb+ndgAAAAKAQAADwAAAAAAAAABACAAAAAiAAAAZHJzL2Rvd25yZXYueG1sUEsB&#10;AhQAFAAAAAgAh07iQESKhSK8AQAAbQMAAA4AAAAAAAAAAQAgAAAAJwEAAGRycy9lMm9Eb2MueG1s&#10;UEsFBgAAAAAGAAYAWQEAAFUFAAAAAA==&#10;">
                <v:fill on="f" focussize="0,0"/>
                <v:stroke on="f"/>
                <v:imagedata o:title=""/>
                <o:lock v:ext="edit" aspectratio="f"/>
                <v:textbox>
                  <w:txbxContent>
                    <w:p w14:paraId="076B6BE9">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缺陷责任</w:t>
                      </w:r>
                    </w:p>
                  </w:txbxContent>
                </v:textbox>
              </v:shape>
            </w:pict>
          </mc:Fallback>
        </mc:AlternateContent>
      </w:r>
      <w:r>
        <w:rPr>
          <w:rFonts w:hint="default" w:ascii="Times New Roman" w:hAnsi="Times New Roman" w:cs="Times New Roman"/>
          <w:b/>
          <w:bCs/>
          <w:color w:val="auto"/>
          <w:sz w:val="22"/>
          <w:szCs w:val="22"/>
          <w:highlight w:val="none"/>
        </w:rPr>
        <w:t xml:space="preserve">59.3  </w:t>
      </w:r>
      <w:r>
        <w:rPr>
          <w:rFonts w:hint="default" w:ascii="Times New Roman" w:hAnsi="Times New Roman" w:cs="Times New Roman"/>
          <w:b/>
          <w:bCs/>
          <w:color w:val="auto"/>
          <w:sz w:val="22"/>
          <w:szCs w:val="22"/>
          <w:highlight w:val="none"/>
          <w:u w:val="dotted"/>
        </w:rPr>
        <w:t xml:space="preserve">                                                                              </w:t>
      </w:r>
    </w:p>
    <w:p w14:paraId="04FD7AF1">
      <w:pPr>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合同工程存在某项缺陷或损坏的，合同双方当事人应按照下列规定承担缺陷责任以及由此产生的费用。</w:t>
      </w:r>
    </w:p>
    <w:p w14:paraId="68AD2F9D">
      <w:pPr>
        <w:pStyle w:val="22"/>
        <w:adjustRightInd w:val="0"/>
        <w:snapToGrid w:val="0"/>
        <w:spacing w:line="420" w:lineRule="exact"/>
        <w:ind w:left="0" w:leftChars="0" w:firstLine="1443" w:firstLineChars="656"/>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（1）承包人应在缺陷责任期内对已交付使用的工程承担缺陷责任。</w:t>
      </w:r>
    </w:p>
    <w:p w14:paraId="1E5B4542">
      <w:pPr>
        <w:spacing w:line="420" w:lineRule="exact"/>
        <w:ind w:left="1575" w:leftChars="75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2）缺陷责任期内，发包人对已接收使用的工程负责日常维护工作。发包人在使用过程中，发现已接收的工程存在新的缺陷或已修复的缺陷部位或部件又遭损坏的，应及时通知承包人修复，承包人应在收到通知后的7天内派人修复，直至检验合格为止。承包人未能在规定时间内修复的，发包人可自行或委托第三方修复，所需费用和利润按照本款第（3）点规定办理。</w:t>
      </w:r>
    </w:p>
    <w:p w14:paraId="43E43365">
      <w:pPr>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3）监理工程师应会同承包人共同查清缺陷和（或）损坏的原因，并由造价工程师提出或核实由此发生的费用。经查明，因承包人原因造成的，由承包人承担修复和查验的费用；因发包人的原因造成的，发包人承担修复和查验的费用，并向承包人支付合理利润。</w:t>
      </w:r>
    </w:p>
    <w:p w14:paraId="58818CBF">
      <w:pPr>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18336"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259" name="文本框 259"/>
                <wp:cNvGraphicFramePr/>
                <a:graphic xmlns:a="http://schemas.openxmlformats.org/drawingml/2006/main">
                  <a:graphicData uri="http://schemas.microsoft.com/office/word/2010/wordprocessingShape">
                    <wps:wsp>
                      <wps:cNvSpPr txBox="1"/>
                      <wps:spPr>
                        <a:xfrm>
                          <a:off x="0" y="0"/>
                          <a:ext cx="967740" cy="429895"/>
                        </a:xfrm>
                        <a:prstGeom prst="rect">
                          <a:avLst/>
                        </a:prstGeom>
                        <a:noFill/>
                        <a:ln>
                          <a:noFill/>
                        </a:ln>
                        <a:effectLst/>
                      </wps:spPr>
                      <wps:txbx>
                        <w:txbxContent>
                          <w:p w14:paraId="6C2D96A6">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重新检（试）验</w:t>
                            </w:r>
                          </w:p>
                        </w:txbxContent>
                      </wps:txbx>
                      <wps:bodyPr wrap="square" upright="1"/>
                    </wps:wsp>
                  </a:graphicData>
                </a:graphic>
              </wp:anchor>
            </w:drawing>
          </mc:Choice>
          <mc:Fallback>
            <w:pict>
              <v:shape id="_x0000_s1026" o:spid="_x0000_s1026" o:spt="202" type="#_x0000_t202" style="position:absolute;left:0pt;margin-left:-9pt;margin-top:22.6pt;height:33.85pt;width:76.2pt;z-index:251918336;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tnVH3r0BAABtAwAADgAAAGRycy9lMm9Eb2MueG1srVNL&#10;btswEN0XyB0I7mM6Rn4WLAcojGQTtAXSHICmRhYB8VMObckXaG/QVTfd91w+R4eU4qbJJotsqOF8&#10;Hue9GS1uetOyHQTUzpb8bDLlDKxylbabkj9+vT295gyjtJVsnYWS7wH5zfLkw6LzBcxc49oKAiMQ&#10;i0XnS97E6AshUDVgJE6cB0vB2gUjI13DRlRBdoRuWjGbTi9F50Llg1OASN7VEOQjYngLoKtrrWDl&#10;1NaAjQNqgFZGooSN9siXudu6BhU/1zVCZG3JiWnMJz1C9jqdYrmQxSZI32g1tiDf0sILTkZqS48e&#10;oVYySrYN+hWU0So4dHWcKGfEQCQrQizOpi+0eWikh8yFpEZ/FB3fD1Z92n0JTFcln13MObPS0MgP&#10;P38cfv05/P7OkpMk6jwWlPngKTf2H11Pi/PkR3Im5n0dTPoSJ0ZxEnh/FBj6yBQ555dXV+cUURQ6&#10;n82v5xcJRfwr9gHjHTjDklHyQPPLssrdPcYh9SklvWXdrW7bPMPW/ucgzMEDeQnG6sRj6DdZsV/3&#10;I7m1q/bEraNFKDl+28oAnG190JuG2shcRSqhKeR+x41JY35+J/v5X7L8C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HFm/p3YAAAACgEAAA8AAAAAAAAAAQAgAAAAIgAAAGRycy9kb3ducmV2LnhtbFBL&#10;AQIUABQAAAAIAIdO4kC2dUfevQEAAG0DAAAOAAAAAAAAAAEAIAAAACcBAABkcnMvZTJvRG9jLnht&#10;bFBLBQYAAAAABgAGAFkBAABWBQAAAAA=&#10;">
                <v:fill on="f" focussize="0,0"/>
                <v:stroke on="f"/>
                <v:imagedata o:title=""/>
                <o:lock v:ext="edit" aspectratio="f"/>
                <v:textbox>
                  <w:txbxContent>
                    <w:p w14:paraId="6C2D96A6">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重新检（试）验</w:t>
                      </w:r>
                    </w:p>
                  </w:txbxContent>
                </v:textbox>
              </v:shape>
            </w:pict>
          </mc:Fallback>
        </mc:AlternateContent>
      </w:r>
      <w:r>
        <w:rPr>
          <w:rFonts w:hint="default" w:ascii="Times New Roman" w:hAnsi="Times New Roman" w:cs="Times New Roman"/>
          <w:b/>
          <w:bCs/>
          <w:color w:val="auto"/>
          <w:sz w:val="22"/>
          <w:szCs w:val="22"/>
          <w:highlight w:val="none"/>
        </w:rPr>
        <w:t xml:space="preserve">59.4  </w:t>
      </w:r>
      <w:r>
        <w:rPr>
          <w:rFonts w:hint="default" w:ascii="Times New Roman" w:hAnsi="Times New Roman" w:cs="Times New Roman"/>
          <w:b/>
          <w:bCs/>
          <w:color w:val="auto"/>
          <w:sz w:val="22"/>
          <w:szCs w:val="22"/>
          <w:highlight w:val="none"/>
          <w:u w:val="dotted"/>
        </w:rPr>
        <w:t xml:space="preserve">                                                                            </w:t>
      </w:r>
    </w:p>
    <w:p w14:paraId="04ADF4A1">
      <w:pPr>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任何一项缺陷或损坏修复后，经检查证明其影响了工程或工程设备的使用性能，承包人应按照第54条规定重新检（试）验，重新检（试）验的费用由责任方承担。</w:t>
      </w:r>
    </w:p>
    <w:p w14:paraId="2EF498C1">
      <w:pPr>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19360"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260" name="文本框 260"/>
                <wp:cNvGraphicFramePr/>
                <a:graphic xmlns:a="http://schemas.openxmlformats.org/drawingml/2006/main">
                  <a:graphicData uri="http://schemas.microsoft.com/office/word/2010/wordprocessingShape">
                    <wps:wsp>
                      <wps:cNvSpPr txBox="1"/>
                      <wps:spPr>
                        <a:xfrm>
                          <a:off x="0" y="0"/>
                          <a:ext cx="967740" cy="429895"/>
                        </a:xfrm>
                        <a:prstGeom prst="rect">
                          <a:avLst/>
                        </a:prstGeom>
                        <a:noFill/>
                        <a:ln>
                          <a:noFill/>
                        </a:ln>
                        <a:effectLst/>
                      </wps:spPr>
                      <wps:txbx>
                        <w:txbxContent>
                          <w:p w14:paraId="1B6F91AD">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承包人的进入权</w:t>
                            </w:r>
                          </w:p>
                        </w:txbxContent>
                      </wps:txbx>
                      <wps:bodyPr wrap="square" upright="1"/>
                    </wps:wsp>
                  </a:graphicData>
                </a:graphic>
              </wp:anchor>
            </w:drawing>
          </mc:Choice>
          <mc:Fallback>
            <w:pict>
              <v:shape id="_x0000_s1026" o:spid="_x0000_s1026" o:spt="202" type="#_x0000_t202" style="position:absolute;left:0pt;margin-left:-9pt;margin-top:22.6pt;height:33.85pt;width:76.2pt;z-index:251919360;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gZ6HXL0BAABtAwAADgAAAGRycy9lMm9Eb2MueG1srVNL&#10;btswEN0XyB0I7ms6RurEguUAgZFsirRA2gPQ1MgiIH7KoS35AukNuuqm+57L5+iQUtw03WSRDTWc&#10;z+O8N6PldW9atoeA2tmSn0+mnIFVrtJ2W/KvX27fX3GGUdpKts5CyQ+A/Hp19m7Z+QJmrnFtBYER&#10;iMWi8yVvYvSFEKgaMBInzoOlYO2CkZGuYSuqIDtCN62YTadz0blQ+eAUIJJ3PQT5iBheA+jqWitY&#10;O7UzYOOAGqCVkShhoz3yVe62rkHFT3WNEFlbcmIa80mPkL1Jp1gtZbEN0jdajS3I17TwgpOR2tKj&#10;J6i1jJLtgv4PymgVHLo6TpQzYiCSFSEW59MX2jw00kPmQlKjP4mObwer7vefA9NVyWdz0sRKQyM/&#10;/vh+/Pn7+OuRJSdJ1HksKPPBU27sb1xPi/PkR3Im5n0dTPoSJ0ZxAjucBIY+MkXOxfzy8oIiikIX&#10;s8XV4kNCEX+LfcB4B86wZJQ80PyyrHL/EeOQ+pSS3rLuVrdtnmFr/3EQ5uCBvARjdeIx9Jus2G/6&#10;kdzGVQfi1tEilBy/7WQAznY+6G1DbWSuIpXQFHK/48akMT+/k/38L1n9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HFm/p3YAAAACgEAAA8AAAAAAAAAAQAgAAAAIgAAAGRycy9kb3ducmV2LnhtbFBL&#10;AQIUABQAAAAIAIdO4kCBnodcvQEAAG0DAAAOAAAAAAAAAAEAIAAAACcBAABkcnMvZTJvRG9jLnht&#10;bFBLBQYAAAAABgAGAFkBAABWBQAAAAA=&#10;">
                <v:fill on="f" focussize="0,0"/>
                <v:stroke on="f"/>
                <v:imagedata o:title=""/>
                <o:lock v:ext="edit" aspectratio="f"/>
                <v:textbox>
                  <w:txbxContent>
                    <w:p w14:paraId="1B6F91AD">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承包人的进入权</w:t>
                      </w:r>
                    </w:p>
                  </w:txbxContent>
                </v:textbox>
              </v:shape>
            </w:pict>
          </mc:Fallback>
        </mc:AlternateContent>
      </w:r>
      <w:r>
        <w:rPr>
          <w:rFonts w:hint="default" w:ascii="Times New Roman" w:hAnsi="Times New Roman" w:cs="Times New Roman"/>
          <w:b/>
          <w:bCs/>
          <w:color w:val="auto"/>
          <w:sz w:val="22"/>
          <w:szCs w:val="22"/>
          <w:highlight w:val="none"/>
        </w:rPr>
        <w:t xml:space="preserve">59.5  </w:t>
      </w:r>
      <w:r>
        <w:rPr>
          <w:rFonts w:hint="default" w:ascii="Times New Roman" w:hAnsi="Times New Roman" w:cs="Times New Roman"/>
          <w:b/>
          <w:bCs/>
          <w:color w:val="auto"/>
          <w:sz w:val="22"/>
          <w:szCs w:val="22"/>
          <w:highlight w:val="none"/>
          <w:u w:val="dotted"/>
        </w:rPr>
        <w:t xml:space="preserve">                                                                            </w:t>
      </w:r>
    </w:p>
    <w:p w14:paraId="78C1D16B">
      <w:pPr>
        <w:spacing w:line="420" w:lineRule="exact"/>
        <w:ind w:left="1619" w:leftChars="771"/>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w:t>缺陷责任期内承包人为缺陷修复工作需要，有权进入工程现场，但应遵守发包人的保安和保密等规定。</w:t>
      </w:r>
    </w:p>
    <w:p w14:paraId="5701D810">
      <w:pPr>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20384"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261" name="文本框 261"/>
                <wp:cNvGraphicFramePr/>
                <a:graphic xmlns:a="http://schemas.openxmlformats.org/drawingml/2006/main">
                  <a:graphicData uri="http://schemas.microsoft.com/office/word/2010/wordprocessingShape">
                    <wps:wsp>
                      <wps:cNvSpPr txBox="1"/>
                      <wps:spPr>
                        <a:xfrm>
                          <a:off x="0" y="0"/>
                          <a:ext cx="967740" cy="429895"/>
                        </a:xfrm>
                        <a:prstGeom prst="rect">
                          <a:avLst/>
                        </a:prstGeom>
                        <a:noFill/>
                        <a:ln>
                          <a:noFill/>
                        </a:ln>
                        <a:effectLst/>
                      </wps:spPr>
                      <wps:txbx>
                        <w:txbxContent>
                          <w:p w14:paraId="2A170D2A">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颁发缺陷责任期终止证书</w:t>
                            </w:r>
                          </w:p>
                        </w:txbxContent>
                      </wps:txbx>
                      <wps:bodyPr wrap="square" upright="1"/>
                    </wps:wsp>
                  </a:graphicData>
                </a:graphic>
              </wp:anchor>
            </w:drawing>
          </mc:Choice>
          <mc:Fallback>
            <w:pict>
              <v:shape id="_x0000_s1026" o:spid="_x0000_s1026" o:spt="202" type="#_x0000_t202" style="position:absolute;left:0pt;margin-left:-9pt;margin-top:22.6pt;height:33.85pt;width:76.2pt;z-index:251920384;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c2FFoL0BAABtAwAADgAAAGRycy9lMm9Eb2MueG1srVNL&#10;btswEN0X6B0I7mvaRurEguUAhZFuiqRA2gPQ1NAiIH7KoS35AskNuuqm+57L5+hQUtw03WTRDTWc&#10;z+O8N6PVdWcbdoCIxruSzyZTzsApXxm3K/nXLzfvrjjDJF0lG++g5EdAfr1++2bVhgLmvvZNBZER&#10;iMOiDSWvUwqFEKhqsBInPoCjoPbRykTXuBNVlC2h20bMp9OFaH2sQvQKEMm7GYJ8RIyvAfRaGwUb&#10;r/YWXBpQIzQyESWsTUC+7rvVGlS60xohsabkxDT1Jz1C9jafYr2SxS7KUBs1tiBf08ILTlYaR4+e&#10;oTYySbaP5h8oa1T06HWaKG/FQKRXhFjMpi+0ua9lgJ4LSY3hLDr+P1h1e/gcmalKPl/MOHPS0shP&#10;3x9PP36dfj6w7CSJ2oAFZd4Hyk3dB9/R4jz5kZyZeaejzV/ixChOAh/PAkOXmCLncnF5eUERRaGL&#10;+fJq+T6jiD/FIWL6CN6ybJQ80vx6WeXhE6Yh9Sklv+X8jWmafoaN+8tBmIMH+iUYqzOPod9spW7b&#10;jeS2vjoSt5YWoeT4bS8jcLYP0exqaqPnKnIJTaHvd9yYPObnd7Kf/yXr3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HFm/p3YAAAACgEAAA8AAAAAAAAAAQAgAAAAIgAAAGRycy9kb3ducmV2LnhtbFBL&#10;AQIUABQAAAAIAIdO4kBzYUWgvQEAAG0DAAAOAAAAAAAAAAEAIAAAACcBAABkcnMvZTJvRG9jLnht&#10;bFBLBQYAAAAABgAGAFkBAABWBQAAAAA=&#10;">
                <v:fill on="f" focussize="0,0"/>
                <v:stroke on="f"/>
                <v:imagedata o:title=""/>
                <o:lock v:ext="edit" aspectratio="f"/>
                <v:textbox>
                  <w:txbxContent>
                    <w:p w14:paraId="2A170D2A">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颁发缺陷责任期终止证书</w:t>
                      </w:r>
                    </w:p>
                  </w:txbxContent>
                </v:textbox>
              </v:shape>
            </w:pict>
          </mc:Fallback>
        </mc:AlternateContent>
      </w:r>
      <w:r>
        <w:rPr>
          <w:rFonts w:hint="default" w:ascii="Times New Roman" w:hAnsi="Times New Roman" w:cs="Times New Roman"/>
          <w:b/>
          <w:bCs/>
          <w:color w:val="auto"/>
          <w:sz w:val="22"/>
          <w:szCs w:val="22"/>
          <w:highlight w:val="none"/>
        </w:rPr>
        <w:t xml:space="preserve">59.6  </w:t>
      </w:r>
      <w:r>
        <w:rPr>
          <w:rFonts w:hint="default" w:ascii="Times New Roman" w:hAnsi="Times New Roman" w:cs="Times New Roman"/>
          <w:b/>
          <w:bCs/>
          <w:color w:val="auto"/>
          <w:sz w:val="22"/>
          <w:szCs w:val="22"/>
          <w:highlight w:val="none"/>
          <w:u w:val="dotted"/>
        </w:rPr>
        <w:t xml:space="preserve">                                                                            </w:t>
      </w:r>
    </w:p>
    <w:p w14:paraId="4626FAE9">
      <w:pPr>
        <w:spacing w:line="420" w:lineRule="exact"/>
        <w:ind w:left="1619" w:leftChars="771"/>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w:t>在专用条款约定的缺陷责任期（包括第59.2款延长的期限）终止后的14天内，发包人应向承包人颁发缺陷责任期终止证书。</w:t>
      </w:r>
    </w:p>
    <w:p w14:paraId="30491EEC">
      <w:pPr>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21408"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262" name="文本框 262"/>
                <wp:cNvGraphicFramePr/>
                <a:graphic xmlns:a="http://schemas.openxmlformats.org/drawingml/2006/main">
                  <a:graphicData uri="http://schemas.microsoft.com/office/word/2010/wordprocessingShape">
                    <wps:wsp>
                      <wps:cNvSpPr txBox="1"/>
                      <wps:spPr>
                        <a:xfrm>
                          <a:off x="0" y="0"/>
                          <a:ext cx="967740" cy="429895"/>
                        </a:xfrm>
                        <a:prstGeom prst="rect">
                          <a:avLst/>
                        </a:prstGeom>
                        <a:noFill/>
                        <a:ln>
                          <a:noFill/>
                        </a:ln>
                        <a:effectLst/>
                      </wps:spPr>
                      <wps:txbx>
                        <w:txbxContent>
                          <w:p w14:paraId="51FFF7AC">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签订工程质量保修书</w:t>
                            </w:r>
                          </w:p>
                        </w:txbxContent>
                      </wps:txbx>
                      <wps:bodyPr wrap="square" upright="1"/>
                    </wps:wsp>
                  </a:graphicData>
                </a:graphic>
              </wp:anchor>
            </w:drawing>
          </mc:Choice>
          <mc:Fallback>
            <w:pict>
              <v:shape id="_x0000_s1026" o:spid="_x0000_s1026" o:spt="202" type="#_x0000_t202" style="position:absolute;left:0pt;margin-left:-9pt;margin-top:22.6pt;height:33.85pt;width:76.2pt;z-index:251921408;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JGdzfr0BAABtAwAADgAAAGRycy9lMm9Eb2MueG1srVNL&#10;btswEN0X6B0I7ms6QurEguUAgZFuirZA2gPQ1MgiIH7KoS35Au0Nuuqm+57L5+iQUtw03WSRDTWc&#10;z+O8N6PVzWA6doCA2tmKX8zmnIFVrtZ2V/Evn+/eXHOGUdpads5CxY+A/Gb9+tWq9yUUrnVdDYER&#10;iMWy9xVvY/SlEKhaMBJnzoOlYOOCkZGuYSfqIHtCN50o5vOF6F2ofXAKEMm7GYN8QgzPAXRNoxVs&#10;nNobsHFEDdDJSJSw1R75OnfbNKDix6ZBiKyrODGN+aRHyN6mU6xXstwF6Vutphbkc1p4wslIbenR&#10;M9RGRsn2Qf8HZbQKDl0TZ8oZMRLJihCLi/kTbe5b6SFzIanRn0XHl4NVHw6fAtN1xYtFwZmVhkZ+&#10;+vH99PP36dc3lpwkUe+xpMx7T7lxuHUDLc6DH8mZmA9NMOlLnBjFSeDjWWAYIlPkXC6uri4poih0&#10;WSyvl28Tivhb7APGd+AMS0bFA80vyyoP7zGOqQ8p6S3r7nTX5Rl29h8HYY4eyEswVSceY7/JisN2&#10;mMhtXX0kbj0tQsXx614G4Gzvg9611EbmKlIJTSH3O21MGvPjO9mP/5L1H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HFm/p3YAAAACgEAAA8AAAAAAAAAAQAgAAAAIgAAAGRycy9kb3ducmV2LnhtbFBL&#10;AQIUABQAAAAIAIdO4kAkZ3N+vQEAAG0DAAAOAAAAAAAAAAEAIAAAACcBAABkcnMvZTJvRG9jLnht&#10;bFBLBQYAAAAABgAGAFkBAABWBQAAAAA=&#10;">
                <v:fill on="f" focussize="0,0"/>
                <v:stroke on="f"/>
                <v:imagedata o:title=""/>
                <o:lock v:ext="edit" aspectratio="f"/>
                <v:textbox>
                  <w:txbxContent>
                    <w:p w14:paraId="51FFF7AC">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签订工程质量保修书</w:t>
                      </w:r>
                    </w:p>
                  </w:txbxContent>
                </v:textbox>
              </v:shape>
            </w:pict>
          </mc:Fallback>
        </mc:AlternateContent>
      </w:r>
      <w:r>
        <w:rPr>
          <w:rFonts w:hint="default" w:ascii="Times New Roman" w:hAnsi="Times New Roman" w:cs="Times New Roman"/>
          <w:b/>
          <w:bCs/>
          <w:color w:val="auto"/>
          <w:sz w:val="22"/>
          <w:szCs w:val="22"/>
          <w:highlight w:val="none"/>
        </w:rPr>
        <w:t xml:space="preserve">59.7  </w:t>
      </w:r>
      <w:r>
        <w:rPr>
          <w:rFonts w:hint="default" w:ascii="Times New Roman" w:hAnsi="Times New Roman" w:cs="Times New Roman"/>
          <w:b/>
          <w:bCs/>
          <w:color w:val="auto"/>
          <w:sz w:val="22"/>
          <w:szCs w:val="22"/>
          <w:highlight w:val="none"/>
          <w:u w:val="dotted"/>
        </w:rPr>
        <w:t xml:space="preserve">                                                                            </w:t>
      </w:r>
    </w:p>
    <w:p w14:paraId="302FEE55">
      <w:pPr>
        <w:pStyle w:val="22"/>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合同双方当事人应根据法律的有关规定，在承包人向发包人提交竣工验收申请报告前，共同签署合同工程质量保修书，作为本合同的附件。工程质量保修书应具体明确质量保修范围、期限、责任和费用等事项。</w:t>
      </w:r>
    </w:p>
    <w:p w14:paraId="7148C3FB">
      <w:pPr>
        <w:adjustRightInd w:val="0"/>
        <w:snapToGrid w:val="0"/>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22432"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263" name="文本框 263"/>
                <wp:cNvGraphicFramePr/>
                <a:graphic xmlns:a="http://schemas.openxmlformats.org/drawingml/2006/main">
                  <a:graphicData uri="http://schemas.microsoft.com/office/word/2010/wordprocessingShape">
                    <wps:wsp>
                      <wps:cNvSpPr txBox="1"/>
                      <wps:spPr>
                        <a:xfrm>
                          <a:off x="0" y="0"/>
                          <a:ext cx="967740" cy="429895"/>
                        </a:xfrm>
                        <a:prstGeom prst="rect">
                          <a:avLst/>
                        </a:prstGeom>
                        <a:noFill/>
                        <a:ln>
                          <a:noFill/>
                        </a:ln>
                        <a:effectLst/>
                      </wps:spPr>
                      <wps:txbx>
                        <w:txbxContent>
                          <w:p w14:paraId="41671F6F">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质量保修期计算</w:t>
                            </w:r>
                          </w:p>
                        </w:txbxContent>
                      </wps:txbx>
                      <wps:bodyPr wrap="square" upright="1"/>
                    </wps:wsp>
                  </a:graphicData>
                </a:graphic>
              </wp:anchor>
            </w:drawing>
          </mc:Choice>
          <mc:Fallback>
            <w:pict>
              <v:shape id="_x0000_s1026" o:spid="_x0000_s1026" o:spt="202" type="#_x0000_t202" style="position:absolute;left:0pt;margin-left:-9pt;margin-top:22.6pt;height:33.85pt;width:76.2pt;z-index:251922432;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1pixgr4BAABtAwAADgAAAGRycy9lMm9Eb2MueG1srVNL&#10;btswEN0XyB0I7mM6burEguUAhZFuirZAkgPQ1NAiIH7KoS35Au0Nuuqm+57L58hQUtw03WTRDTWc&#10;z+O8N6PlTWcbtoeIxruSX0ymnIFTvjJuW/KH+9vza84wSVfJxjso+QGQ36zO3izbUMDM176pIDIC&#10;cVi0oeR1SqEQAlUNVuLEB3AU1D5amegat6KKsiV024jZdDoXrY9ViF4BInnXQ5CPiPE1gF5ro2Dt&#10;1c6CSwNqhEYmooS1CchXfbdag0qftUZIrCk5MU39SY+QvcmnWC1lsY0y1EaNLcjXtPCCk5XG0aMn&#10;qLVMku2i+QfKGhU9ep0mylsxEOkVIRYX0xfa3NUyQM+FpMZwEh3/H6z6tP8SmalKPpu/5cxJSyM/&#10;/vh+/Pn7+Osby06SqA1YUOZdoNzUvfcdLc6TH8mZmXc62vwlToziJPDhJDB0iSlyLuZXV5cUURS6&#10;nC2uF+8yivhTHCKmD+Aty0bJI82vl1XuP2IaUp9S8lvO35qm6WfYuL8chDl4oF+CsTrzGPrNVuo2&#10;3Uhu46sDcWtpEUqOX3cyAme7EM22pjZ6riKX0BT6fseNyWN+fif7+V+yegR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BxZv6d2AAAAAoBAAAPAAAAAAAAAAEAIAAAACIAAABkcnMvZG93bnJldi54bWxQ&#10;SwECFAAUAAAACACHTuJA1pixgr4BAABtAwAADgAAAAAAAAABACAAAAAnAQAAZHJzL2Uyb0RvYy54&#10;bWxQSwUGAAAAAAYABgBZAQAAVwUAAAAA&#10;">
                <v:fill on="f" focussize="0,0"/>
                <v:stroke on="f"/>
                <v:imagedata o:title=""/>
                <o:lock v:ext="edit" aspectratio="f"/>
                <v:textbox>
                  <w:txbxContent>
                    <w:p w14:paraId="41671F6F">
                      <w:pPr>
                        <w:spacing w:line="240" w:lineRule="exact"/>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质量保修期计算</w:t>
                      </w:r>
                    </w:p>
                  </w:txbxContent>
                </v:textbox>
              </v:shape>
            </w:pict>
          </mc:Fallback>
        </mc:AlternateContent>
      </w:r>
      <w:r>
        <w:rPr>
          <w:rFonts w:hint="default" w:ascii="Times New Roman" w:hAnsi="Times New Roman" w:cs="Times New Roman"/>
          <w:b/>
          <w:bCs/>
          <w:color w:val="auto"/>
          <w:sz w:val="22"/>
          <w:szCs w:val="22"/>
          <w:highlight w:val="none"/>
        </w:rPr>
        <w:t xml:space="preserve">59.8 </w:t>
      </w:r>
      <w:r>
        <w:rPr>
          <w:rFonts w:hint="default" w:ascii="Times New Roman" w:hAnsi="Times New Roman" w:cs="Times New Roman"/>
          <w:color w:val="auto"/>
          <w:sz w:val="22"/>
          <w:szCs w:val="22"/>
          <w:highlight w:val="none"/>
        </w:rPr>
        <w:t xml:space="preserve"> </w:t>
      </w:r>
      <w:r>
        <w:rPr>
          <w:rFonts w:hint="default" w:ascii="Times New Roman" w:hAnsi="Times New Roman" w:cs="Times New Roman"/>
          <w:color w:val="auto"/>
          <w:sz w:val="22"/>
          <w:szCs w:val="22"/>
          <w:highlight w:val="none"/>
          <w:u w:val="dotted"/>
        </w:rPr>
        <w:t xml:space="preserve">                                                                            </w:t>
      </w:r>
    </w:p>
    <w:p w14:paraId="6C4EFA62">
      <w:pPr>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合同双方当事人应在专用条款和合同工程质量保修书中约定质量保修期。</w:t>
      </w:r>
    </w:p>
    <w:p w14:paraId="7C426FD9">
      <w:pPr>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质量保修期自实际竣工之日起计算。在全部工程竣工验收前，已经发包人提前验收的单位工程，其质量保修期的起算日期相应提前。</w:t>
      </w:r>
    </w:p>
    <w:p w14:paraId="08C09150">
      <w:pPr>
        <w:tabs>
          <w:tab w:val="left" w:pos="360"/>
          <w:tab w:val="left" w:pos="900"/>
        </w:tabs>
        <w:adjustRightInd w:val="0"/>
        <w:snapToGrid w:val="0"/>
        <w:spacing w:line="420" w:lineRule="exact"/>
        <w:rPr>
          <w:rFonts w:hint="default" w:ascii="Times New Roman" w:hAnsi="Times New Roman" w:cs="Times New Roman"/>
          <w:b/>
          <w:bCs/>
          <w:color w:val="auto"/>
          <w:sz w:val="22"/>
          <w:szCs w:val="22"/>
          <w:highlight w:val="none"/>
          <w:u w:val="dotted"/>
        </w:rPr>
      </w:pPr>
      <w:r>
        <w:rPr>
          <w:rFonts w:hint="default" w:ascii="Times New Roman" w:hAnsi="Times New Roman" w:cs="Times New Roman"/>
          <w:b/>
          <w:bCs/>
          <w:color w:val="auto"/>
          <w:sz w:val="22"/>
          <w:szCs w:val="22"/>
          <w:highlight w:val="none"/>
        </w:rPr>
        <w:t xml:space="preserve">59.9  </w:t>
      </w:r>
      <w:r>
        <w:rPr>
          <w:rFonts w:hint="default" w:ascii="Times New Roman" w:hAnsi="Times New Roman" w:cs="Times New Roman"/>
          <w:b/>
          <w:bCs/>
          <w:color w:val="auto"/>
          <w:sz w:val="22"/>
          <w:szCs w:val="22"/>
          <w:highlight w:val="none"/>
          <w:u w:val="dotted"/>
        </w:rPr>
        <w:t xml:space="preserve">                                                                                                        </w:t>
      </w:r>
    </w:p>
    <w:p w14:paraId="0BBB162C">
      <w:pPr>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23456" behindDoc="0" locked="0" layoutInCell="1" allowOverlap="1">
                <wp:simplePos x="0" y="0"/>
                <wp:positionH relativeFrom="column">
                  <wp:posOffset>-73660</wp:posOffset>
                </wp:positionH>
                <wp:positionV relativeFrom="paragraph">
                  <wp:posOffset>15240</wp:posOffset>
                </wp:positionV>
                <wp:extent cx="988060" cy="365760"/>
                <wp:effectExtent l="0" t="0" r="0" b="0"/>
                <wp:wrapNone/>
                <wp:docPr id="264" name="文本框 264"/>
                <wp:cNvGraphicFramePr/>
                <a:graphic xmlns:a="http://schemas.openxmlformats.org/drawingml/2006/main">
                  <a:graphicData uri="http://schemas.microsoft.com/office/word/2010/wordprocessingShape">
                    <wps:wsp>
                      <wps:cNvSpPr txBox="1"/>
                      <wps:spPr>
                        <a:xfrm>
                          <a:off x="0" y="0"/>
                          <a:ext cx="988060" cy="365760"/>
                        </a:xfrm>
                        <a:prstGeom prst="rect">
                          <a:avLst/>
                        </a:prstGeom>
                        <a:noFill/>
                        <a:ln>
                          <a:noFill/>
                        </a:ln>
                        <a:effectLst/>
                      </wps:spPr>
                      <wps:txbx>
                        <w:txbxContent>
                          <w:p w14:paraId="56727012">
                            <w:pPr>
                              <w:rPr>
                                <w:rFonts w:ascii="楷体_GB2312" w:hAnsi="宋体" w:eastAsia="楷体_GB2312" w:cs="Times New Roman"/>
                                <w:sz w:val="18"/>
                                <w:szCs w:val="18"/>
                              </w:rPr>
                            </w:pPr>
                            <w:r>
                              <w:rPr>
                                <w:rFonts w:hint="eastAsia" w:ascii="楷体_GB2312" w:hAnsi="宋体" w:eastAsia="楷体_GB2312" w:cs="楷体_GB2312"/>
                                <w:b/>
                                <w:bCs/>
                                <w:color w:val="000000"/>
                                <w:sz w:val="18"/>
                                <w:szCs w:val="18"/>
                              </w:rPr>
                              <w:t>工程质量保修</w:t>
                            </w:r>
                          </w:p>
                        </w:txbxContent>
                      </wps:txbx>
                      <wps:bodyPr wrap="square" upright="1"/>
                    </wps:wsp>
                  </a:graphicData>
                </a:graphic>
              </wp:anchor>
            </w:drawing>
          </mc:Choice>
          <mc:Fallback>
            <w:pict>
              <v:shape id="_x0000_s1026" o:spid="_x0000_s1026" o:spt="202" type="#_x0000_t202" style="position:absolute;left:0pt;margin-left:-5.8pt;margin-top:1.2pt;height:28.8pt;width:77.8pt;z-index:251923456;mso-width-relative:page;mso-height-relative:page;" filled="f" stroked="f" coordsize="21600,21600" o:gfxdata="UEsDBAoAAAAAAIdO4kAAAAAAAAAAAAAAAAAEAAAAZHJzL1BLAwQUAAAACACHTuJA1YolDtUAAAAI&#10;AQAADwAAAGRycy9kb3ducmV2LnhtbE2PzU7DMBCE70i8g7VI3Fo7VYggZNMDiCuI8iNx28bbJCJe&#10;R7HbhLfHPcFxNKOZb6rt4gZ14in0XhCytQHF0njbS4vw/va0ugUVIomlwQsj/HCAbX15UVFp/Syv&#10;fNrFVqUSCSUhdDGOpdah6dhRWPuRJXkHPzmKSU6tthPNqdwNemNMoR31khY6Gvmh4+Z7d3QIH8+H&#10;r8/cvLSP7mac/WK0uDuNeH2VmXtQkZf4F4YzfkKHOjHt/VFsUAPCKsuKFEXY5KDOfp6nb3uEwhjQ&#10;daX/H6h/AVBLAwQUAAAACACHTuJAWDc4DrwBAABtAwAADgAAAGRycy9lMm9Eb2MueG1srVPNjtMw&#10;EL4j7TtYvm+TLUspUdOVULVcECAtPIDrTBpL/luP26QvAG/AiQt3nqvPwdjJlmW57IGLM56fz/N9&#10;M1ndDEazAwRUztb8alZyBla6Rtldzb98vr1ccoZR2EZoZ6HmR0B+s754sep9BXPXOd1AYARisep9&#10;zbsYfVUUKDswAmfOg6Vg64IRka5hVzRB9IRudDEvy0XRu9D44CQgknczBvmEGJ4D6NpWSdg4uTdg&#10;44gaQItIlLBTHvk6d9u2IOPHtkWITNecmMZ80iNkb9NZrFei2gXhOyWnFsRzWnjCyQhl6dEz1EZE&#10;wfZB/QNllAwOXRtn0pliJJIVIRZX5RNt7jrhIXMhqdGfRcf/Bys/HD4FppqazxfXnFlhaOSn799O&#10;P36dfn5lyUkS9R4ryrzzlBuHt26gxXnwIzkT86ENJn2JE6M4CXw8CwxDZJKcb5bLckERSaGXi1ev&#10;ySb04k+xDxjfgTMsGTUPNL8sqzi8xzimPqSkt6y7VVrnGWr7l4MwRw/kJZiqE4+x32TFYTtM5Lau&#10;ORK3nhah5ni/FwE42/ugdh21kbkWqYSmkPudNiaN+fGd7Md/yfo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1YolDtUAAAAIAQAADwAAAAAAAAABACAAAAAiAAAAZHJzL2Rvd25yZXYueG1sUEsBAhQA&#10;FAAAAAgAh07iQFg3OA68AQAAbQMAAA4AAAAAAAAAAQAgAAAAJAEAAGRycy9lMm9Eb2MueG1sUEsF&#10;BgAAAAAGAAYAWQEAAFIFAAAAAA==&#10;">
                <v:fill on="f" focussize="0,0"/>
                <v:stroke on="f"/>
                <v:imagedata o:title=""/>
                <o:lock v:ext="edit" aspectratio="f"/>
                <v:textbox>
                  <w:txbxContent>
                    <w:p w14:paraId="56727012">
                      <w:pPr>
                        <w:rPr>
                          <w:rFonts w:ascii="楷体_GB2312" w:hAnsi="宋体" w:eastAsia="楷体_GB2312" w:cs="Times New Roman"/>
                          <w:sz w:val="18"/>
                          <w:szCs w:val="18"/>
                        </w:rPr>
                      </w:pPr>
                      <w:r>
                        <w:rPr>
                          <w:rFonts w:hint="eastAsia" w:ascii="楷体_GB2312" w:hAnsi="宋体" w:eastAsia="楷体_GB2312" w:cs="楷体_GB2312"/>
                          <w:b/>
                          <w:bCs/>
                          <w:color w:val="000000"/>
                          <w:sz w:val="18"/>
                          <w:szCs w:val="18"/>
                        </w:rPr>
                        <w:t>工程质量保修</w:t>
                      </w:r>
                    </w:p>
                  </w:txbxContent>
                </v:textbox>
              </v:shape>
            </w:pict>
          </mc:Fallback>
        </mc:AlternateContent>
      </w:r>
      <w:r>
        <w:rPr>
          <w:rFonts w:hint="default" w:ascii="Times New Roman" w:hAnsi="Times New Roman" w:cs="Times New Roman"/>
          <w:color w:val="auto"/>
          <w:sz w:val="22"/>
          <w:szCs w:val="22"/>
          <w:highlight w:val="none"/>
        </w:rPr>
        <w:t>承包人应在质量保修期内对交付发包人使用的合同工程承担质量保修责任。合同工程出现质量问题的，承包人应立即实施保修；承包人保修工作完成后，发包人应及时组织验收。发生紧急抢修事故的，承包人应在接到通知后立即到达事故现场抢修。</w:t>
      </w:r>
    </w:p>
    <w:p w14:paraId="187C5D9D">
      <w:pPr>
        <w:adjustRightInd w:val="0"/>
        <w:snapToGrid w:val="0"/>
        <w:spacing w:line="420" w:lineRule="exact"/>
        <w:rPr>
          <w:rFonts w:hint="default" w:ascii="Times New Roman" w:hAnsi="Times New Roman" w:cs="Times New Roman"/>
          <w:color w:val="auto"/>
          <w:sz w:val="22"/>
          <w:szCs w:val="22"/>
          <w:highlight w:val="none"/>
          <w:u w:val="dotted"/>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24480" behindDoc="0" locked="0" layoutInCell="1" allowOverlap="1">
                <wp:simplePos x="0" y="0"/>
                <wp:positionH relativeFrom="column">
                  <wp:posOffset>-66675</wp:posOffset>
                </wp:positionH>
                <wp:positionV relativeFrom="paragraph">
                  <wp:posOffset>259080</wp:posOffset>
                </wp:positionV>
                <wp:extent cx="959485" cy="452120"/>
                <wp:effectExtent l="0" t="0" r="0" b="0"/>
                <wp:wrapNone/>
                <wp:docPr id="265" name="文本框 265"/>
                <wp:cNvGraphicFramePr/>
                <a:graphic xmlns:a="http://schemas.openxmlformats.org/drawingml/2006/main">
                  <a:graphicData uri="http://schemas.microsoft.com/office/word/2010/wordprocessingShape">
                    <wps:wsp>
                      <wps:cNvSpPr txBox="1"/>
                      <wps:spPr>
                        <a:xfrm>
                          <a:off x="0" y="0"/>
                          <a:ext cx="959485" cy="452120"/>
                        </a:xfrm>
                        <a:prstGeom prst="rect">
                          <a:avLst/>
                        </a:prstGeom>
                        <a:noFill/>
                        <a:ln>
                          <a:noFill/>
                        </a:ln>
                        <a:effectLst/>
                      </wps:spPr>
                      <wps:txbx>
                        <w:txbxContent>
                          <w:p w14:paraId="10F5A8D1">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修复质量缺陷以外的费用</w:t>
                            </w:r>
                          </w:p>
                        </w:txbxContent>
                      </wps:txbx>
                      <wps:bodyPr wrap="square" upright="1"/>
                    </wps:wsp>
                  </a:graphicData>
                </a:graphic>
              </wp:anchor>
            </w:drawing>
          </mc:Choice>
          <mc:Fallback>
            <w:pict>
              <v:shape id="_x0000_s1026" o:spid="_x0000_s1026" o:spt="202" type="#_x0000_t202" style="position:absolute;left:0pt;margin-left:-5.25pt;margin-top:20.4pt;height:35.6pt;width:75.55pt;z-index:251924480;mso-width-relative:page;mso-height-relative:page;" filled="f" stroked="f" coordsize="21600,21600" o:gfxdata="UEsDBAoAAAAAAIdO4kAAAAAAAAAAAAAAAAAEAAAAZHJzL1BLAwQUAAAACACHTuJAchxmetYAAAAK&#10;AQAADwAAAGRycy9kb3ducmV2LnhtbE2PwU7DMAyG70i8Q2QkblvcqZugNN0BxBXEGEjcssZrKxqn&#10;arK1vD3eCW62/On395fb2ffqTGPsAhvIlgiKuA6u48bA/v15cQcqJsvO9oHJwA9F2FbXV6UtXJj4&#10;jc671CgJ4VhYA21KQ6F1rFvyNi7DQCy3Yxi9TbKOjXajnSTc93qFuNHediwfWjvQY0v19+7kDXy8&#10;HL8+c3xtnvx6mMKMmv29Nub2JsMHUInm9AfDRV/UoRKnQzixi6o3sMhwLaiBHKXCBchxA+ogQ7ZC&#10;0FWp/1eofgFQSwMEFAAAAAgAh07iQDXnpL6/AQAAbQMAAA4AAABkcnMvZTJvRG9jLnhtbK1TzW7b&#10;MAy+D9g7CLovSoymaI04BYqguwzbgG4PoMh0LMD6majEzgtsb7DTLrvvufIco2Q37bpLD73IFEl9&#10;5PeRXt0MpmMHCKidrfhiNucMrHK1truKf/1y9+6KM4zS1rJzFip+BOQ367dvVr0voXCt62oIjEAs&#10;lr2veBujL4VA1YKROHMeLAUbF4yMdA07UQfZE7rpRDGfX4rehdoHpwCRvJsxyCfE8BJA1zRawcap&#10;vQEbR9QAnYxECVvtka9zt00DKn5qGoTIuooT05hPKkL2Np1ivZLlLkjfajW1IF/SwjNORmpLRc9Q&#10;Gxkl2wf9H5TRKjh0TZwpZ8RIJCtCLBbzZ9rct9JD5kJSoz+Ljq8Hqz4ePgem64oXl0vOrDQ08tPP&#10;H6dff06/v7PkJIl6jyVl3nvKjcOtG2hxHvxIzsR8aIJJX+LEKE4CH88CwxCZIuf18vriisooCl0s&#10;i0WRByAeH/uA8T04w5JR8UDzy7LKwweM1AilPqSkWtbd6a7LM+zsPw5KHD2Ql2B6nXiM/SYrDtth&#10;Ird19ZG49bQIFcdvexmAs70PetdSG5mrSE9oCrmJaWPSmJ/eyX76l6z/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HIcZnrWAAAACgEAAA8AAAAAAAAAAQAgAAAAIgAAAGRycy9kb3ducmV2LnhtbFBL&#10;AQIUABQAAAAIAIdO4kA156S+vwEAAG0DAAAOAAAAAAAAAAEAIAAAACUBAABkcnMvZTJvRG9jLnht&#10;bFBLBQYAAAAABgAGAFkBAABWBQAAAAA=&#10;">
                <v:fill on="f" focussize="0,0"/>
                <v:stroke on="f"/>
                <v:imagedata o:title=""/>
                <o:lock v:ext="edit" aspectratio="f"/>
                <v:textbox>
                  <w:txbxContent>
                    <w:p w14:paraId="10F5A8D1">
                      <w:pPr>
                        <w:rPr>
                          <w:rFonts w:ascii="楷体_GB2312" w:hAnsi="宋体" w:eastAsia="楷体_GB2312" w:cs="Times New Roman"/>
                          <w:b/>
                          <w:bCs/>
                          <w:color w:val="000000"/>
                          <w:sz w:val="18"/>
                          <w:szCs w:val="18"/>
                        </w:rPr>
                      </w:pPr>
                      <w:r>
                        <w:rPr>
                          <w:rFonts w:hint="eastAsia" w:ascii="楷体_GB2312" w:hAnsi="宋体" w:eastAsia="楷体_GB2312" w:cs="楷体_GB2312"/>
                          <w:b/>
                          <w:bCs/>
                          <w:color w:val="000000"/>
                          <w:sz w:val="18"/>
                          <w:szCs w:val="18"/>
                        </w:rPr>
                        <w:t>修复质量缺陷以外的费用</w:t>
                      </w:r>
                    </w:p>
                  </w:txbxContent>
                </v:textbox>
              </v:shape>
            </w:pict>
          </mc:Fallback>
        </mc:AlternateContent>
      </w:r>
      <w:r>
        <w:rPr>
          <w:rFonts w:hint="default" w:ascii="Times New Roman" w:hAnsi="Times New Roman" w:cs="Times New Roman"/>
          <w:b/>
          <w:bCs/>
          <w:color w:val="auto"/>
          <w:sz w:val="22"/>
          <w:szCs w:val="22"/>
          <w:highlight w:val="none"/>
        </w:rPr>
        <w:t xml:space="preserve">59.10 </w:t>
      </w:r>
      <w:r>
        <w:rPr>
          <w:rFonts w:hint="default" w:ascii="Times New Roman" w:hAnsi="Times New Roman" w:cs="Times New Roman"/>
          <w:color w:val="auto"/>
          <w:sz w:val="22"/>
          <w:szCs w:val="22"/>
          <w:highlight w:val="none"/>
        </w:rPr>
        <w:t xml:space="preserve"> </w:t>
      </w:r>
      <w:r>
        <w:rPr>
          <w:rFonts w:hint="default" w:ascii="Times New Roman" w:hAnsi="Times New Roman" w:cs="Times New Roman"/>
          <w:color w:val="auto"/>
          <w:sz w:val="22"/>
          <w:szCs w:val="22"/>
          <w:highlight w:val="none"/>
          <w:u w:val="dotted"/>
        </w:rPr>
        <w:t xml:space="preserve">                                                                                                        </w:t>
      </w:r>
    </w:p>
    <w:p w14:paraId="167BBF37">
      <w:pPr>
        <w:adjustRightInd w:val="0"/>
        <w:snapToGrid w:val="0"/>
        <w:spacing w:line="420" w:lineRule="exact"/>
        <w:ind w:firstLine="1443" w:firstLineChars="656"/>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承包人修复属于质量缺陷以外的费用，由责任方承担。</w:t>
      </w:r>
    </w:p>
    <w:p w14:paraId="4F04CE23">
      <w:pPr>
        <w:adjustRightInd w:val="0"/>
        <w:snapToGrid w:val="0"/>
        <w:spacing w:line="420" w:lineRule="exact"/>
        <w:rPr>
          <w:rFonts w:hint="default" w:ascii="Times New Roman" w:hAnsi="Times New Roman" w:cs="Times New Roman"/>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r>
        <w:rPr>
          <w:rFonts w:hint="default" w:ascii="Times New Roman" w:hAnsi="Times New Roman" w:cs="Times New Roman"/>
          <w:color w:val="auto"/>
          <w:sz w:val="22"/>
          <w:szCs w:val="22"/>
          <w:highlight w:val="none"/>
          <w:u w:val="single"/>
        </w:rPr>
        <w:t xml:space="preserve">     </w:t>
      </w:r>
    </w:p>
    <w:p w14:paraId="239EE3C4">
      <w:pPr>
        <w:tabs>
          <w:tab w:val="left" w:pos="1620"/>
        </w:tabs>
        <w:adjustRightInd w:val="0"/>
        <w:snapToGrid w:val="0"/>
        <w:spacing w:line="420" w:lineRule="exact"/>
        <w:jc w:val="center"/>
        <w:outlineLvl w:val="1"/>
        <w:rPr>
          <w:rFonts w:hint="default" w:ascii="Times New Roman" w:hAnsi="Times New Roman" w:cs="Times New Roman"/>
          <w:b/>
          <w:bCs/>
          <w:color w:val="auto"/>
          <w:sz w:val="22"/>
          <w:szCs w:val="22"/>
          <w:highlight w:val="none"/>
        </w:rPr>
      </w:pPr>
      <w:bookmarkStart w:id="218" w:name="_Toc469384043"/>
      <w:bookmarkStart w:id="219" w:name="_Toc20183"/>
      <w:bookmarkStart w:id="220" w:name="_Toc303714733"/>
      <w:r>
        <w:rPr>
          <w:rFonts w:hint="default" w:ascii="Times New Roman" w:hAnsi="Times New Roman" w:eastAsia="方正小标宋_GBK" w:cs="Times New Roman"/>
          <w:b/>
          <w:bCs/>
          <w:color w:val="auto"/>
          <w:sz w:val="24"/>
          <w:szCs w:val="24"/>
          <w:highlight w:val="none"/>
        </w:rPr>
        <w:t>六、造  价</w:t>
      </w:r>
      <w:bookmarkEnd w:id="218"/>
      <w:bookmarkEnd w:id="219"/>
      <w:bookmarkEnd w:id="220"/>
    </w:p>
    <w:p w14:paraId="062300FC">
      <w:pPr>
        <w:pStyle w:val="5"/>
        <w:numPr>
          <w:ilvl w:val="0"/>
          <w:numId w:val="0"/>
        </w:numPr>
        <w:tabs>
          <w:tab w:val="left" w:pos="360"/>
          <w:tab w:val="left" w:pos="420"/>
          <w:tab w:val="left" w:pos="1287"/>
        </w:tabs>
        <w:spacing w:line="420" w:lineRule="exact"/>
        <w:rPr>
          <w:rFonts w:hint="default" w:ascii="Times New Roman" w:hAnsi="Times New Roman" w:cs="Times New Roman"/>
          <w:color w:val="auto"/>
          <w:sz w:val="22"/>
          <w:szCs w:val="22"/>
          <w:highlight w:val="none"/>
        </w:rPr>
      </w:pPr>
      <w:bookmarkStart w:id="221" w:name="_Toc469384044"/>
      <w:bookmarkStart w:id="222" w:name="_Toc8197"/>
      <w:r>
        <w:rPr>
          <w:rFonts w:hint="default" w:ascii="Times New Roman" w:hAnsi="Times New Roman" w:cs="Times New Roman"/>
          <w:color w:val="auto"/>
          <w:sz w:val="22"/>
          <w:szCs w:val="22"/>
          <w:highlight w:val="none"/>
        </w:rPr>
        <w:t>60  资金计划和安排</w:t>
      </w:r>
      <w:bookmarkEnd w:id="221"/>
      <w:bookmarkEnd w:id="222"/>
    </w:p>
    <w:p w14:paraId="0360B4D7">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60.1</w:t>
      </w:r>
    </w:p>
    <w:p w14:paraId="2F71E45B">
      <w:pPr>
        <w:pStyle w:val="15"/>
        <w:adjustRightInd w:val="0"/>
        <w:snapToGrid w:val="0"/>
        <w:spacing w:line="420" w:lineRule="exact"/>
        <w:ind w:left="1579" w:leftChars="752"/>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25504" behindDoc="0" locked="0" layoutInCell="1" allowOverlap="1">
                <wp:simplePos x="0" y="0"/>
                <wp:positionH relativeFrom="column">
                  <wp:posOffset>-133350</wp:posOffset>
                </wp:positionH>
                <wp:positionV relativeFrom="paragraph">
                  <wp:posOffset>68580</wp:posOffset>
                </wp:positionV>
                <wp:extent cx="914400" cy="431800"/>
                <wp:effectExtent l="0" t="0" r="0" b="0"/>
                <wp:wrapNone/>
                <wp:docPr id="266" name="文本框 266"/>
                <wp:cNvGraphicFramePr/>
                <a:graphic xmlns:a="http://schemas.openxmlformats.org/drawingml/2006/main">
                  <a:graphicData uri="http://schemas.microsoft.com/office/word/2010/wordprocessingShape">
                    <wps:wsp>
                      <wps:cNvSpPr txBox="1"/>
                      <wps:spPr>
                        <a:xfrm>
                          <a:off x="0" y="0"/>
                          <a:ext cx="914400" cy="431800"/>
                        </a:xfrm>
                        <a:prstGeom prst="rect">
                          <a:avLst/>
                        </a:prstGeom>
                        <a:noFill/>
                        <a:ln>
                          <a:noFill/>
                        </a:ln>
                        <a:effectLst/>
                      </wps:spPr>
                      <wps:txbx>
                        <w:txbxContent>
                          <w:p w14:paraId="13E797CF">
                            <w:pPr>
                              <w:pStyle w:val="11"/>
                              <w:spacing w:line="220" w:lineRule="exact"/>
                              <w:rPr>
                                <w:rFonts w:ascii="楷体_GB2312" w:hAnsi="宋体" w:eastAsia="楷体_GB2312"/>
                                <w:b/>
                                <w:bCs/>
                                <w:sz w:val="18"/>
                                <w:szCs w:val="18"/>
                              </w:rPr>
                            </w:pPr>
                            <w:r>
                              <w:rPr>
                                <w:rFonts w:hint="eastAsia" w:ascii="楷体_GB2312" w:hAnsi="宋体" w:eastAsia="楷体_GB2312" w:cs="楷体_GB2312"/>
                                <w:b/>
                                <w:bCs/>
                                <w:sz w:val="18"/>
                                <w:szCs w:val="18"/>
                              </w:rPr>
                              <w:t>承包人提交资金需求计划书</w:t>
                            </w:r>
                          </w:p>
                        </w:txbxContent>
                      </wps:txbx>
                      <wps:bodyPr wrap="square" upright="1"/>
                    </wps:wsp>
                  </a:graphicData>
                </a:graphic>
              </wp:anchor>
            </w:drawing>
          </mc:Choice>
          <mc:Fallback>
            <w:pict>
              <v:shape id="_x0000_s1026" o:spid="_x0000_s1026" o:spt="202" type="#_x0000_t202" style="position:absolute;left:0pt;margin-left:-10.5pt;margin-top:5.4pt;height:34pt;width:72pt;z-index:251925504;mso-width-relative:page;mso-height-relative:page;" filled="f" stroked="f" coordsize="21600,21600" o:gfxdata="UEsDBAoAAAAAAIdO4kAAAAAAAAAAAAAAAAAEAAAAZHJzL1BLAwQUAAAACACHTuJA2Qv9z9YAAAAJ&#10;AQAADwAAAGRycy9kb3ducmV2LnhtbE2PzU7DMBCE70h9B2srcWvthJ+GEKeHVlxBFKjEzY23SUS8&#10;jmK3CW/P9kSPOzOana9YT64TZxxC60lDslQgkCpvW6o1fH68LDIQIRqypvOEGn4xwLqc3RQmt36k&#10;dzzvYi24hEJuNDQx9rmUoWrQmbD0PRJ7Rz84E/kcamkHM3K562Sq1KN0piX+0JgeNw1WP7uT0/D1&#10;evze36u3euse+tFPSpJ7klrfzhP1DCLiFP/DcJnP06HkTQd/IhtEp2GRJswS2VCMcAmkdywcNKyy&#10;DGRZyGuC8g9QSwMEFAAAAAgAh07iQP9HXx+8AQAAbQMAAA4AAABkcnMvZTJvRG9jLnhtbK1TS27b&#10;MBDdF+gdCO5ryq5hpILlAIGRboq2QNoD0NTQIiB+yqEt+QLtDbrqpvuey+foUFKcNN1kkQ01nM/j&#10;vDej9XVvW3aEiMa7is9nBWfglK+N21f865fbN1ecYZKulq13UPETIL/evH617kIJC9/4tobICMRh&#10;2YWKNymFUghUDViJMx/AUVD7aGWia9yLOsqO0G0rFkWxEp2PdYheASJ5t2OQT4jxOYBea6Ng69XB&#10;gksjaoRWJqKEjQnIN0O3WoNKn7RGSKytODFNw0mPkL3Lp9isZbmPMjRGTS3I57TwhJOVxtGjF6it&#10;TJIdovkPyhoVPXqdZspbMRIZFCEW8+KJNneNDDBwIakxXETHl4NVH4+fIzN1xRerFWdOWhr5+eeP&#10;868/59/fWXaSRF3AkjLvAuWm/sb3tDj3fiRnZt7raPOXODGKk8Cni8DQJ6bI+W6+XBYUURRavp1f&#10;kU3o4qE4REzvwVuWjYpHmt8gqzx+wDSm3qfkt5y/NW07zLB1/zgIc/TAsARTdeYx9put1O/6idzO&#10;1yfi1tEiVBy/HWQEzg4hmn1DbQxcRS6hKQz9ThuTx/z4Tvbjv2Tz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NkL/c/WAAAACQEAAA8AAAAAAAAAAQAgAAAAIgAAAGRycy9kb3ducmV2LnhtbFBLAQIU&#10;ABQAAAAIAIdO4kD/R18fvAEAAG0DAAAOAAAAAAAAAAEAIAAAACUBAABkcnMvZTJvRG9jLnhtbFBL&#10;BQYAAAAABgAGAFkBAABTBQAAAAA=&#10;">
                <v:fill on="f" focussize="0,0"/>
                <v:stroke on="f"/>
                <v:imagedata o:title=""/>
                <o:lock v:ext="edit" aspectratio="f"/>
                <v:textbox>
                  <w:txbxContent>
                    <w:p w14:paraId="13E797CF">
                      <w:pPr>
                        <w:pStyle w:val="11"/>
                        <w:spacing w:line="220" w:lineRule="exact"/>
                        <w:rPr>
                          <w:rFonts w:ascii="楷体_GB2312" w:hAnsi="宋体" w:eastAsia="楷体_GB2312"/>
                          <w:b/>
                          <w:bCs/>
                          <w:sz w:val="18"/>
                          <w:szCs w:val="18"/>
                        </w:rPr>
                      </w:pPr>
                      <w:r>
                        <w:rPr>
                          <w:rFonts w:hint="eastAsia" w:ascii="楷体_GB2312" w:hAnsi="宋体" w:eastAsia="楷体_GB2312" w:cs="楷体_GB2312"/>
                          <w:b/>
                          <w:bCs/>
                          <w:sz w:val="18"/>
                          <w:szCs w:val="18"/>
                        </w:rPr>
                        <w:t>承包人提交资金需求计划书</w:t>
                      </w:r>
                    </w:p>
                  </w:txbxContent>
                </v:textbox>
              </v:shape>
            </w:pict>
          </mc:Fallback>
        </mc:AlternateContent>
      </w:r>
      <w:r>
        <w:rPr>
          <w:rFonts w:hint="default" w:ascii="Times New Roman" w:hAnsi="Times New Roman" w:cs="Times New Roman"/>
          <w:color w:val="auto"/>
          <w:sz w:val="22"/>
          <w:szCs w:val="22"/>
          <w:highlight w:val="none"/>
        </w:rPr>
        <w:t>工程进度计划被批准后，承包人应向发包人提交一份合同工程资金需求计划书；工程进度计划更新后，承包人应及时向发包人提交一份更新后的工程资金需求计划书。</w:t>
      </w:r>
    </w:p>
    <w:p w14:paraId="3FF7C706">
      <w:pPr>
        <w:pStyle w:val="15"/>
        <w:adjustRightInd w:val="0"/>
        <w:snapToGrid w:val="0"/>
        <w:spacing w:line="420" w:lineRule="exact"/>
        <w:ind w:left="1479" w:leftChars="1" w:hanging="1477" w:hangingChars="671"/>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60.2  </w:t>
      </w:r>
      <w:r>
        <w:rPr>
          <w:rFonts w:hint="default" w:ascii="Times New Roman" w:hAnsi="Times New Roman" w:cs="Times New Roman"/>
          <w:b/>
          <w:bCs/>
          <w:color w:val="auto"/>
          <w:sz w:val="22"/>
          <w:szCs w:val="22"/>
          <w:highlight w:val="none"/>
          <w:u w:val="dotted"/>
        </w:rPr>
        <w:t xml:space="preserve">                                                                                                        </w:t>
      </w:r>
    </w:p>
    <w:p w14:paraId="247D8740">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26528" behindDoc="0" locked="0" layoutInCell="1" allowOverlap="1">
                <wp:simplePos x="0" y="0"/>
                <wp:positionH relativeFrom="column">
                  <wp:posOffset>-114300</wp:posOffset>
                </wp:positionH>
                <wp:positionV relativeFrom="paragraph">
                  <wp:posOffset>34290</wp:posOffset>
                </wp:positionV>
                <wp:extent cx="914400" cy="464820"/>
                <wp:effectExtent l="0" t="0" r="0" b="0"/>
                <wp:wrapNone/>
                <wp:docPr id="267" name="文本框 267"/>
                <wp:cNvGraphicFramePr/>
                <a:graphic xmlns:a="http://schemas.openxmlformats.org/drawingml/2006/main">
                  <a:graphicData uri="http://schemas.microsoft.com/office/word/2010/wordprocessingShape">
                    <wps:wsp>
                      <wps:cNvSpPr txBox="1"/>
                      <wps:spPr>
                        <a:xfrm>
                          <a:off x="0" y="0"/>
                          <a:ext cx="914400" cy="464820"/>
                        </a:xfrm>
                        <a:prstGeom prst="rect">
                          <a:avLst/>
                        </a:prstGeom>
                        <a:noFill/>
                        <a:ln>
                          <a:noFill/>
                        </a:ln>
                        <a:effectLst/>
                      </wps:spPr>
                      <wps:txbx>
                        <w:txbxContent>
                          <w:p w14:paraId="1482BBBB">
                            <w:pPr>
                              <w:pStyle w:val="11"/>
                              <w:spacing w:line="220" w:lineRule="exact"/>
                              <w:rPr>
                                <w:rFonts w:ascii="楷体_GB2312" w:hAnsi="宋体" w:eastAsia="楷体_GB2312"/>
                                <w:b/>
                                <w:bCs/>
                                <w:sz w:val="18"/>
                                <w:szCs w:val="18"/>
                              </w:rPr>
                            </w:pPr>
                            <w:r>
                              <w:rPr>
                                <w:rFonts w:hint="eastAsia" w:ascii="楷体_GB2312" w:hAnsi="宋体" w:eastAsia="楷体_GB2312" w:cs="楷体_GB2312"/>
                                <w:b/>
                                <w:bCs/>
                                <w:sz w:val="18"/>
                                <w:szCs w:val="18"/>
                              </w:rPr>
                              <w:t>发包人提供资金安排证据</w:t>
                            </w:r>
                          </w:p>
                        </w:txbxContent>
                      </wps:txbx>
                      <wps:bodyPr wrap="square" upright="1"/>
                    </wps:wsp>
                  </a:graphicData>
                </a:graphic>
              </wp:anchor>
            </w:drawing>
          </mc:Choice>
          <mc:Fallback>
            <w:pict>
              <v:shape id="_x0000_s1026" o:spid="_x0000_s1026" o:spt="202" type="#_x0000_t202" style="position:absolute;left:0pt;margin-left:-9pt;margin-top:2.7pt;height:36.6pt;width:72pt;z-index:251926528;mso-width-relative:page;mso-height-relative:page;" filled="f" stroked="f" coordsize="21600,21600" o:gfxdata="UEsDBAoAAAAAAIdO4kAAAAAAAAAAAAAAAAAEAAAAZHJzL1BLAwQUAAAACACHTuJA/lrB3tUAAAAI&#10;AQAADwAAAGRycy9kb3ducmV2LnhtbE2PwU7DMBBE70j8g7VI3Fo7VZuGkE0PrbiCaAsSNzfeJhHx&#10;OordJvw97gmOoxnNvCk2k+3ElQbfOkZI5goEceVMyzXC8fAyy0D4oNnozjEh/JCHTXl/V+jcuJHf&#10;6boPtYgl7HON0ITQ51L6qiGr/dz1xNE7u8HqEOVQSzPoMZbbTi6USqXVLceFRve0baj63l8swsfr&#10;+etzqd7qnV31o5uUZPskER8fEvUMItAU/sJww4/oUEamk7uw8aJDmCVZ/BIQVksQN3+RRn1CWGcp&#10;yLKQ/w+Uv1BLAwQUAAAACACHTuJAxV4gNr0BAABtAwAADgAAAGRycy9lMm9Eb2MueG1srVNLbtsw&#10;EN0X6B0I7mvJhuGmguUAgZFuirZA2gPQ1MgiwF85tCVfoL1BV91033P5HB1SipOmmyyyoYbzeZz3&#10;ZrS+HoxmRwionK35fFZyBla6Rtl9zb9+uX1zxRlGYRuhnYWanwD59eb1q3XvK1i4zukGAiMQi1Xv&#10;a97F6KuiQNmBEThzHiwFWxeMiHQN+6IJoid0o4tFWa6K3oXGBycBkbzbMcgnxPAcQNe2SsLWyYMB&#10;G0fUAFpEooSd8sg3udu2BRk/tS1CZLrmxDTmkx4he5fOYrMW1T4I3yk5tSCe08ITTkYoS49eoLYi&#10;CnYI6j8oo2Rw6No4k84UI5GsCLGYl0+0ueuEh8yFpEZ/ER1fDlZ+PH4OTDU1X6zecmaFoZGff/44&#10;//pz/v2dJSdJ1HusKPPOU24cbtxAi3PvR3Im5kMbTPoSJ0ZxEvh0ERiGyCQ5382Xy5IikkLL1fJq&#10;kQdQPBT7gPE9OMOSUfNA88uyiuMHjNQIpd6npLesu1Va5xlq+4+DEkcP5CWYqhOPsd9kxWE3TOR2&#10;rjkRt54Woeb47SACcHbwQe07aiNzLVIJTSE3MW1MGvPjO9mP/5LNX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P5awd7VAAAACAEAAA8AAAAAAAAAAQAgAAAAIgAAAGRycy9kb3ducmV2LnhtbFBLAQIU&#10;ABQAAAAIAIdO4kDFXiA2vQEAAG0DAAAOAAAAAAAAAAEAIAAAACQBAABkcnMvZTJvRG9jLnhtbFBL&#10;BQYAAAAABgAGAFkBAABTBQAAAAA=&#10;">
                <v:fill on="f" focussize="0,0"/>
                <v:stroke on="f"/>
                <v:imagedata o:title=""/>
                <o:lock v:ext="edit" aspectratio="f"/>
                <v:textbox>
                  <w:txbxContent>
                    <w:p w14:paraId="1482BBBB">
                      <w:pPr>
                        <w:pStyle w:val="11"/>
                        <w:spacing w:line="220" w:lineRule="exact"/>
                        <w:rPr>
                          <w:rFonts w:ascii="楷体_GB2312" w:hAnsi="宋体" w:eastAsia="楷体_GB2312"/>
                          <w:b/>
                          <w:bCs/>
                          <w:sz w:val="18"/>
                          <w:szCs w:val="18"/>
                        </w:rPr>
                      </w:pPr>
                      <w:r>
                        <w:rPr>
                          <w:rFonts w:hint="eastAsia" w:ascii="楷体_GB2312" w:hAnsi="宋体" w:eastAsia="楷体_GB2312" w:cs="楷体_GB2312"/>
                          <w:b/>
                          <w:bCs/>
                          <w:sz w:val="18"/>
                          <w:szCs w:val="18"/>
                        </w:rPr>
                        <w:t>发包人提供资金安排证据</w:t>
                      </w:r>
                    </w:p>
                  </w:txbxContent>
                </v:textbox>
              </v:shape>
            </w:pict>
          </mc:Fallback>
        </mc:AlternateContent>
      </w:r>
      <w:r>
        <w:rPr>
          <w:rFonts w:hint="default" w:ascii="Times New Roman" w:hAnsi="Times New Roman" w:cs="Times New Roman"/>
          <w:color w:val="auto"/>
          <w:sz w:val="22"/>
          <w:szCs w:val="22"/>
          <w:highlight w:val="none"/>
        </w:rPr>
        <w:t>发包人在收到承包人提交的工程资金需求计划书后28天内，应根据合同约定提供已做出资金安排的合理证据，表明自己有能力按照第78条规定支付合同价款。如果发包人对资金安排作出任何变更时，应及时将变更的详情通知承包人。</w:t>
      </w:r>
    </w:p>
    <w:p w14:paraId="7346F488">
      <w:pPr>
        <w:pStyle w:val="15"/>
        <w:tabs>
          <w:tab w:val="left" w:pos="1800"/>
        </w:tabs>
        <w:adjustRightInd w:val="0"/>
        <w:snapToGrid w:val="0"/>
        <w:spacing w:line="420" w:lineRule="exact"/>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2BEB853E">
      <w:pPr>
        <w:pStyle w:val="15"/>
        <w:tabs>
          <w:tab w:val="left" w:pos="540"/>
        </w:tabs>
        <w:adjustRightInd w:val="0"/>
        <w:snapToGrid w:val="0"/>
        <w:spacing w:before="240" w:beforeLines="100" w:line="420" w:lineRule="exact"/>
        <w:outlineLvl w:val="2"/>
        <w:rPr>
          <w:rFonts w:hint="default" w:ascii="Times New Roman" w:hAnsi="Times New Roman" w:cs="Times New Roman"/>
          <w:b/>
          <w:bCs/>
          <w:color w:val="auto"/>
          <w:sz w:val="22"/>
          <w:szCs w:val="22"/>
          <w:highlight w:val="none"/>
        </w:rPr>
      </w:pPr>
      <w:bookmarkStart w:id="223" w:name="_Toc5274"/>
      <w:bookmarkStart w:id="224" w:name="_Toc469384045"/>
      <w:r>
        <w:rPr>
          <w:rFonts w:hint="default" w:ascii="Times New Roman" w:hAnsi="Times New Roman" w:cs="Times New Roman"/>
          <w:b/>
          <w:bCs/>
          <w:color w:val="auto"/>
          <w:sz w:val="22"/>
          <w:szCs w:val="22"/>
          <w:highlight w:val="none"/>
        </w:rPr>
        <w:t>★61  工程量</w:t>
      </w:r>
      <w:bookmarkEnd w:id="223"/>
      <w:bookmarkEnd w:id="224"/>
    </w:p>
    <w:p w14:paraId="2EA47683">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61.1</w:t>
      </w:r>
    </w:p>
    <w:p w14:paraId="31D0B4C0">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除专用条款另有约定外，</w:t>
      </w: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27552" behindDoc="0" locked="0" layoutInCell="1" allowOverlap="1">
                <wp:simplePos x="0" y="0"/>
                <wp:positionH relativeFrom="column">
                  <wp:posOffset>-114300</wp:posOffset>
                </wp:positionH>
                <wp:positionV relativeFrom="paragraph">
                  <wp:posOffset>11430</wp:posOffset>
                </wp:positionV>
                <wp:extent cx="914400" cy="476250"/>
                <wp:effectExtent l="0" t="0" r="0" b="0"/>
                <wp:wrapNone/>
                <wp:docPr id="268" name="文本框 268"/>
                <wp:cNvGraphicFramePr/>
                <a:graphic xmlns:a="http://schemas.openxmlformats.org/drawingml/2006/main">
                  <a:graphicData uri="http://schemas.microsoft.com/office/word/2010/wordprocessingShape">
                    <wps:wsp>
                      <wps:cNvSpPr txBox="1"/>
                      <wps:spPr>
                        <a:xfrm>
                          <a:off x="0" y="0"/>
                          <a:ext cx="914400" cy="476250"/>
                        </a:xfrm>
                        <a:prstGeom prst="rect">
                          <a:avLst/>
                        </a:prstGeom>
                        <a:noFill/>
                        <a:ln>
                          <a:noFill/>
                        </a:ln>
                        <a:effectLst/>
                      </wps:spPr>
                      <wps:txbx>
                        <w:txbxContent>
                          <w:p w14:paraId="5DB0D8D1">
                            <w:pPr>
                              <w:pStyle w:val="11"/>
                              <w:spacing w:line="220" w:lineRule="exact"/>
                              <w:rPr>
                                <w:rFonts w:ascii="楷体_GB2312" w:hAnsi="宋体" w:eastAsia="楷体_GB2312"/>
                                <w:b/>
                                <w:bCs/>
                                <w:sz w:val="18"/>
                                <w:szCs w:val="18"/>
                              </w:rPr>
                            </w:pPr>
                            <w:r>
                              <w:rPr>
                                <w:rFonts w:hint="eastAsia" w:ascii="楷体_GB2312" w:hAnsi="宋体" w:eastAsia="楷体_GB2312" w:cs="楷体_GB2312"/>
                                <w:b/>
                                <w:bCs/>
                                <w:sz w:val="18"/>
                                <w:szCs w:val="18"/>
                              </w:rPr>
                              <w:t>清单工程量包括的工作内容</w:t>
                            </w:r>
                          </w:p>
                        </w:txbxContent>
                      </wps:txbx>
                      <wps:bodyPr wrap="square" upright="1"/>
                    </wps:wsp>
                  </a:graphicData>
                </a:graphic>
              </wp:anchor>
            </w:drawing>
          </mc:Choice>
          <mc:Fallback>
            <w:pict>
              <v:shape id="_x0000_s1026" o:spid="_x0000_s1026" o:spt="202" type="#_x0000_t202" style="position:absolute;left:0pt;margin-left:-9pt;margin-top:0.9pt;height:37.5pt;width:72pt;z-index:251927552;mso-width-relative:page;mso-height-relative:page;" filled="f" stroked="f" coordsize="21600,21600" o:gfxdata="UEsDBAoAAAAAAIdO4kAAAAAAAAAAAAAAAAAEAAAAZHJzL1BLAwQUAAAACACHTuJACbjnddQAAAAI&#10;AQAADwAAAGRycy9kb3ducmV2LnhtbE2PwU7DMBBE70j9B2srcWvtVBDSEKeHVlxBtIDUmxtvk4h4&#10;HcVuE/6e7QmOo1nNvldsJteJKw6h9aQhWSoQSJW3LdUaPg4viwxEiIas6Tyhhh8MsClnd4XJrR/p&#10;Ha/7WAseoZAbDU2MfS5lqBp0Jix9j8Td2Q/ORI5DLe1gRh53nVwplUpnWuIPjelx22D1vb84DZ+v&#10;5+PXg3qrd+6xH/2kJLm11Pp+nqhnEBGn+HcMN3xGh5KZTv5CNohOwyLJ2CVywQa3fpVyPml4SjOQ&#10;ZSH/C5S/UEsDBBQAAAAIAIdO4kB1q//VvQEAAG0DAAAOAAAAZHJzL2Uyb0RvYy54bWytU82O0zAQ&#10;viPxDpbv1GlVCkRNV1pVywUB0rIP4DqTxlL8g8dt0heAN+DEhTvP1edg7GTLslz2sBdnPD+f5/tm&#10;sr4aTMeOEFA7W/H5rOAMrHK1tvuK3325efWWM4zS1rJzFip+AuRXm5cv1r0vYeFa19UQGIFYLHtf&#10;8TZGXwqBqgUjceY8WAo2LhgZ6Rr2og6yJ3TTiUVRrETvQu2DU4BI3u0Y5BNieAqgaxqtYOvUwYCN&#10;I2qATkaihK32yDe526YBFT81DUJkXcWJacwnPUL2Lp1is5blPkjfajW1IJ/SwiNORmpLj16gtjJK&#10;dgj6PyijVXDomjhTzoiRSFaEWMyLR9rcttJD5kJSo7+Ijs8Hqz4ePwem64ovVjR4Kw2N/Pzj+/nn&#10;7/Ovbyw5SaLeY0mZt55y43DtBlqcez+SMzEfmmDSlzgxipPAp4vAMESmyPluvlwWFFEUWr5ZLV7n&#10;AYi/xT5gfA/OsGRUPND8sqzy+AEjNUKp9ynpLetudNflGXb2Hwcljh7ISzBVJx5jv8mKw26YyO1c&#10;fSJuPS1CxfHrQQbg7OCD3rfURuYqUglNITcxbUwa88M72Q//ks0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CbjnddQAAAAIAQAADwAAAAAAAAABACAAAAAiAAAAZHJzL2Rvd25yZXYueG1sUEsBAhQA&#10;FAAAAAgAh07iQHWr/9W9AQAAbQMAAA4AAAAAAAAAAQAgAAAAIwEAAGRycy9lMm9Eb2MueG1sUEsF&#10;BgAAAAAGAAYAWQEAAFIFAAAAAA==&#10;">
                <v:fill on="f" focussize="0,0"/>
                <v:stroke on="f"/>
                <v:imagedata o:title=""/>
                <o:lock v:ext="edit" aspectratio="f"/>
                <v:textbox>
                  <w:txbxContent>
                    <w:p w14:paraId="5DB0D8D1">
                      <w:pPr>
                        <w:pStyle w:val="11"/>
                        <w:spacing w:line="220" w:lineRule="exact"/>
                        <w:rPr>
                          <w:rFonts w:ascii="楷体_GB2312" w:hAnsi="宋体" w:eastAsia="楷体_GB2312"/>
                          <w:b/>
                          <w:bCs/>
                          <w:sz w:val="18"/>
                          <w:szCs w:val="18"/>
                        </w:rPr>
                      </w:pPr>
                      <w:r>
                        <w:rPr>
                          <w:rFonts w:hint="eastAsia" w:ascii="楷体_GB2312" w:hAnsi="宋体" w:eastAsia="楷体_GB2312" w:cs="楷体_GB2312"/>
                          <w:b/>
                          <w:bCs/>
                          <w:sz w:val="18"/>
                          <w:szCs w:val="18"/>
                        </w:rPr>
                        <w:t>清单工程量包括的工作内容</w:t>
                      </w:r>
                    </w:p>
                  </w:txbxContent>
                </v:textbox>
              </v:shape>
            </w:pict>
          </mc:Fallback>
        </mc:AlternateContent>
      </w:r>
      <w:r>
        <w:rPr>
          <w:rFonts w:hint="default" w:ascii="Times New Roman" w:hAnsi="Times New Roman" w:cs="Times New Roman"/>
          <w:color w:val="auto"/>
          <w:sz w:val="22"/>
          <w:szCs w:val="22"/>
          <w:highlight w:val="none"/>
        </w:rPr>
        <w:t>工程量清单中开列的工程量应包括由承包人完成合同工程的施工、安装等工作内容。其任何遗漏或错误，既不能使合同无效，也不能免除承包人按照施工设计图纸、标准与规范实施合同工程的任何责任。对于依据施工设计图纸、标准与规范应在工程量清单中计量但未计量的工作，应根据第72条规定确定合同价款的增加额。</w:t>
      </w:r>
    </w:p>
    <w:p w14:paraId="38A63DC4">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61.2  </w:t>
      </w:r>
      <w:r>
        <w:rPr>
          <w:rFonts w:hint="default" w:ascii="Times New Roman" w:hAnsi="Times New Roman" w:cs="Times New Roman"/>
          <w:b/>
          <w:bCs/>
          <w:color w:val="auto"/>
          <w:sz w:val="22"/>
          <w:szCs w:val="22"/>
          <w:highlight w:val="none"/>
          <w:u w:val="dotted"/>
        </w:rPr>
        <w:t xml:space="preserve">                                                                                                        </w:t>
      </w:r>
    </w:p>
    <w:p w14:paraId="6E9766D5">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28576" behindDoc="0" locked="0" layoutInCell="1" allowOverlap="1">
                <wp:simplePos x="0" y="0"/>
                <wp:positionH relativeFrom="column">
                  <wp:posOffset>-114300</wp:posOffset>
                </wp:positionH>
                <wp:positionV relativeFrom="paragraph">
                  <wp:posOffset>11430</wp:posOffset>
                </wp:positionV>
                <wp:extent cx="1028700" cy="361950"/>
                <wp:effectExtent l="0" t="0" r="0" b="0"/>
                <wp:wrapNone/>
                <wp:docPr id="269" name="文本框 269"/>
                <wp:cNvGraphicFramePr/>
                <a:graphic xmlns:a="http://schemas.openxmlformats.org/drawingml/2006/main">
                  <a:graphicData uri="http://schemas.microsoft.com/office/word/2010/wordprocessingShape">
                    <wps:wsp>
                      <wps:cNvSpPr txBox="1"/>
                      <wps:spPr>
                        <a:xfrm>
                          <a:off x="0" y="0"/>
                          <a:ext cx="1028700" cy="361950"/>
                        </a:xfrm>
                        <a:prstGeom prst="rect">
                          <a:avLst/>
                        </a:prstGeom>
                        <a:noFill/>
                        <a:ln>
                          <a:noFill/>
                        </a:ln>
                        <a:effectLst/>
                      </wps:spPr>
                      <wps:txbx>
                        <w:txbxContent>
                          <w:p w14:paraId="437F8C77">
                            <w:pPr>
                              <w:pStyle w:val="11"/>
                              <w:spacing w:line="220" w:lineRule="exact"/>
                              <w:rPr>
                                <w:rFonts w:ascii="楷体_GB2312" w:hAnsi="宋体" w:eastAsia="楷体_GB2312"/>
                                <w:b/>
                                <w:bCs/>
                                <w:sz w:val="18"/>
                                <w:szCs w:val="18"/>
                              </w:rPr>
                            </w:pPr>
                            <w:r>
                              <w:rPr>
                                <w:rFonts w:hint="eastAsia" w:ascii="楷体_GB2312" w:hAnsi="宋体" w:eastAsia="楷体_GB2312" w:cs="楷体_GB2312"/>
                                <w:b/>
                                <w:bCs/>
                                <w:sz w:val="18"/>
                                <w:szCs w:val="18"/>
                              </w:rPr>
                              <w:t>清单的工程量</w:t>
                            </w:r>
                          </w:p>
                        </w:txbxContent>
                      </wps:txbx>
                      <wps:bodyPr wrap="square" upright="1"/>
                    </wps:wsp>
                  </a:graphicData>
                </a:graphic>
              </wp:anchor>
            </w:drawing>
          </mc:Choice>
          <mc:Fallback>
            <w:pict>
              <v:shape id="_x0000_s1026" o:spid="_x0000_s1026" o:spt="202" type="#_x0000_t202" style="position:absolute;left:0pt;margin-left:-9pt;margin-top:0.9pt;height:28.5pt;width:81pt;z-index:251928576;mso-width-relative:page;mso-height-relative:page;" filled="f" stroked="f" coordsize="21600,21600" o:gfxdata="UEsDBAoAAAAAAIdO4kAAAAAAAAAAAAAAAAAEAAAAZHJzL1BLAwQUAAAACACHTuJAsNjRGtQAAAAI&#10;AQAADwAAAGRycy9kb3ducmV2LnhtbE2Py07DMBBF90j8gzVI7Fo7KEUhxOkCxBZEeUjspvE0iYjH&#10;Uew24e+ZrmB5dUd3zqm2ix/UiabYB7aQrQ0o4ia4nlsL729PqwJUTMgOh8Bk4YcibOvLiwpLF2Z+&#10;pdMutUpGOJZooUtpLLWOTUce4zqMxNIdwuQxSZxa7SacZdwP+saYW+2xZ/nQ4UgPHTXfu6O38PF8&#10;+PrMzUv76DfjHBaj2d9pa6+vMnMPKtGS/o7hjC/oUAvTPhzZRTVYWGWFuCQpxODc57nkvYVNUYCu&#10;K/1foP4FUEsDBBQAAAAIAIdO4kDzr2m7vgEAAG4DAAAOAAAAZHJzL2Uyb0RvYy54bWytU0tu2zAQ&#10;3RfIHQjuY8ou6iaC5QCFkW6KtkDaA9DUyCIgfsqhLfkCyQ266qb7nsvn6JBS3DTdZNENNZzP47w3&#10;o9XNYDp2gIDa2YrPZwVnYJWrtd1V/OuX28srzjBKW8vOWaj4EZDfrC9erXpfwsK1rqshMAKxWPa+&#10;4m2MvhQCVQtG4sx5sBRsXDAy0jXsRB1kT+imE4uiWIrehdoHpwCRvJsxyCfE8BJA1zRawcapvQEb&#10;R9QAnYxECVvtka9zt00DKn5qGoTIuooT05hPeoTsbTrFeiXLXZC+1WpqQb6khWecjNSWHj1DbWSU&#10;bB/0P1BGq+DQNXGmnBEjkawIsZgXz7S5a6WHzIWkRn8WHf8frPp4+ByYriu+WF5zZqWhkZ++P5x+&#10;/Dr9vGfJSRL1HkvKvPOUG4d3bqDFefQjORPzoQkmfYkTozgJfDwLDENkKhUVi6u3BYUUxV4v59dv&#10;8gTEn2ofML4HZ1gyKh5ogFlXefiAkTqh1MeU9Jh1t7rr8hA7+5eDEkcP5C2YqhORseFkxWE7TOy2&#10;rj4SuZ42oeL4bS8DcLb3Qe9aaiOTFamExpCbmFYmzfnpneynv8n6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LDY0RrUAAAACAEAAA8AAAAAAAAAAQAgAAAAIgAAAGRycy9kb3ducmV2LnhtbFBLAQIU&#10;ABQAAAAIAIdO4kDzr2m7vgEAAG4DAAAOAAAAAAAAAAEAIAAAACMBAABkcnMvZTJvRG9jLnhtbFBL&#10;BQYAAAAABgAGAFkBAABTBQAAAAA=&#10;">
                <v:fill on="f" focussize="0,0"/>
                <v:stroke on="f"/>
                <v:imagedata o:title=""/>
                <o:lock v:ext="edit" aspectratio="f"/>
                <v:textbox>
                  <w:txbxContent>
                    <w:p w14:paraId="437F8C77">
                      <w:pPr>
                        <w:pStyle w:val="11"/>
                        <w:spacing w:line="220" w:lineRule="exact"/>
                        <w:rPr>
                          <w:rFonts w:ascii="楷体_GB2312" w:hAnsi="宋体" w:eastAsia="楷体_GB2312"/>
                          <w:b/>
                          <w:bCs/>
                          <w:sz w:val="18"/>
                          <w:szCs w:val="18"/>
                        </w:rPr>
                      </w:pPr>
                      <w:r>
                        <w:rPr>
                          <w:rFonts w:hint="eastAsia" w:ascii="楷体_GB2312" w:hAnsi="宋体" w:eastAsia="楷体_GB2312" w:cs="楷体_GB2312"/>
                          <w:b/>
                          <w:bCs/>
                          <w:sz w:val="18"/>
                          <w:szCs w:val="18"/>
                        </w:rPr>
                        <w:t>清单的工程量</w:t>
                      </w:r>
                    </w:p>
                  </w:txbxContent>
                </v:textbox>
              </v:shape>
            </w:pict>
          </mc:Fallback>
        </mc:AlternateContent>
      </w:r>
      <w:r>
        <w:rPr>
          <w:rFonts w:hint="default" w:ascii="Times New Roman" w:hAnsi="Times New Roman" w:cs="Times New Roman"/>
          <w:color w:val="auto"/>
          <w:sz w:val="22"/>
          <w:szCs w:val="22"/>
          <w:highlight w:val="none"/>
        </w:rPr>
        <w:t>工程量清单中开列的工程量是根据合同工程施工设计图纸提供的预计工程量，不能作为承包人履行合同义务中应予完成合同工程的实际和准确工程量。</w:t>
      </w:r>
    </w:p>
    <w:p w14:paraId="5380E49C">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发包人应按照承包人实际完成的应予计量的工程量与其在工程量清单中填报的单价或合价的乘积向承包人支付工程款。</w:t>
      </w:r>
    </w:p>
    <w:p w14:paraId="4509478E">
      <w:pPr>
        <w:pStyle w:val="15"/>
        <w:adjustRightInd w:val="0"/>
        <w:snapToGrid w:val="0"/>
        <w:spacing w:line="420" w:lineRule="exact"/>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4C66083F">
      <w:pPr>
        <w:pStyle w:val="15"/>
        <w:tabs>
          <w:tab w:val="left" w:pos="540"/>
        </w:tabs>
        <w:adjustRightInd w:val="0"/>
        <w:snapToGrid w:val="0"/>
        <w:spacing w:before="240" w:beforeLines="100" w:line="420" w:lineRule="exact"/>
        <w:outlineLvl w:val="2"/>
        <w:rPr>
          <w:rFonts w:hint="default" w:ascii="Times New Roman" w:hAnsi="Times New Roman" w:cs="Times New Roman"/>
          <w:b/>
          <w:bCs/>
          <w:color w:val="auto"/>
          <w:sz w:val="22"/>
          <w:szCs w:val="22"/>
          <w:highlight w:val="none"/>
        </w:rPr>
      </w:pPr>
      <w:bookmarkStart w:id="225" w:name="_Toc31666"/>
      <w:bookmarkStart w:id="226" w:name="_Toc469384046"/>
      <w:r>
        <w:rPr>
          <w:rFonts w:hint="default" w:ascii="Times New Roman" w:hAnsi="Times New Roman" w:cs="Times New Roman"/>
          <w:b/>
          <w:bCs/>
          <w:color w:val="auto"/>
          <w:sz w:val="22"/>
          <w:szCs w:val="22"/>
          <w:highlight w:val="none"/>
        </w:rPr>
        <w:t>★62  工程计量和计价</w:t>
      </w:r>
      <w:bookmarkEnd w:id="225"/>
      <w:bookmarkEnd w:id="226"/>
    </w:p>
    <w:p w14:paraId="39B5F353">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62.1</w:t>
      </w:r>
    </w:p>
    <w:p w14:paraId="60409C3A">
      <w:pPr>
        <w:pStyle w:val="15"/>
        <w:adjustRightInd w:val="0"/>
        <w:snapToGrid w:val="0"/>
        <w:spacing w:line="420" w:lineRule="exact"/>
        <w:ind w:left="1619" w:leftChars="771"/>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29600" behindDoc="0" locked="0" layoutInCell="1" allowOverlap="1">
                <wp:simplePos x="0" y="0"/>
                <wp:positionH relativeFrom="column">
                  <wp:posOffset>-114300</wp:posOffset>
                </wp:positionH>
                <wp:positionV relativeFrom="paragraph">
                  <wp:posOffset>12700</wp:posOffset>
                </wp:positionV>
                <wp:extent cx="914400" cy="415925"/>
                <wp:effectExtent l="0" t="0" r="0" b="0"/>
                <wp:wrapNone/>
                <wp:docPr id="270" name="文本框 270"/>
                <wp:cNvGraphicFramePr/>
                <a:graphic xmlns:a="http://schemas.openxmlformats.org/drawingml/2006/main">
                  <a:graphicData uri="http://schemas.microsoft.com/office/word/2010/wordprocessingShape">
                    <wps:wsp>
                      <wps:cNvSpPr txBox="1"/>
                      <wps:spPr>
                        <a:xfrm>
                          <a:off x="0" y="0"/>
                          <a:ext cx="914400" cy="415925"/>
                        </a:xfrm>
                        <a:prstGeom prst="rect">
                          <a:avLst/>
                        </a:prstGeom>
                        <a:noFill/>
                        <a:ln>
                          <a:noFill/>
                        </a:ln>
                        <a:effectLst/>
                      </wps:spPr>
                      <wps:txbx>
                        <w:txbxContent>
                          <w:p w14:paraId="433EDD9B">
                            <w:pPr>
                              <w:pStyle w:val="11"/>
                              <w:spacing w:line="220" w:lineRule="exact"/>
                              <w:rPr>
                                <w:rFonts w:ascii="楷体_GB2312" w:hAnsi="宋体" w:eastAsia="楷体_GB2312"/>
                                <w:b/>
                                <w:bCs/>
                                <w:sz w:val="18"/>
                                <w:szCs w:val="18"/>
                              </w:rPr>
                            </w:pPr>
                            <w:r>
                              <w:rPr>
                                <w:rFonts w:hint="eastAsia" w:ascii="楷体_GB2312" w:hAnsi="宋体" w:eastAsia="楷体_GB2312" w:cs="楷体_GB2312"/>
                                <w:b/>
                                <w:bCs/>
                                <w:sz w:val="18"/>
                                <w:szCs w:val="18"/>
                              </w:rPr>
                              <w:t>工程计量和计价的依据</w:t>
                            </w:r>
                          </w:p>
                        </w:txbxContent>
                      </wps:txbx>
                      <wps:bodyPr wrap="square" upright="1"/>
                    </wps:wsp>
                  </a:graphicData>
                </a:graphic>
              </wp:anchor>
            </w:drawing>
          </mc:Choice>
          <mc:Fallback>
            <w:pict>
              <v:shape id="_x0000_s1026" o:spid="_x0000_s1026" o:spt="202" type="#_x0000_t202" style="position:absolute;left:0pt;margin-left:-9pt;margin-top:1pt;height:32.75pt;width:72pt;z-index:251929600;mso-width-relative:page;mso-height-relative:page;" filled="f" stroked="f" coordsize="21600,21600" o:gfxdata="UEsDBAoAAAAAAIdO4kAAAAAAAAAAAAAAAAAEAAAAZHJzL1BLAwQUAAAACACHTuJAoB6wktYAAAAI&#10;AQAADwAAAGRycy9kb3ducmV2LnhtbE2PzU7DQAyE70i8w8pI3NrdRDS0aZweQFxBlB+J2zZxk4is&#10;N8pum/D2uCc42daMxt8Uu9n16kxj6DwjJEsDirjydccNwvvb02INKkTLte09E8IPBdiV11eFzWs/&#10;8Sud97FREsIhtwhtjEOudahacjYs/UAs2tGPzkY5x0bXo50k3PU6NSbTznYsH1o70ENL1ff+5BA+&#10;no9fn3fmpXl0q2Hys9HsNhrx9iYxW1CR5vhnhgu+oEMpTAd/4jqoHmGRrKVLREhlXPQ0k+WAkN2v&#10;QJeF/l+g/AVQSwMEFAAAAAgAh07iQD2vPoC8AQAAbQMAAA4AAABkcnMvZTJvRG9jLnhtbK1TS27b&#10;MBDdF8gdCO5jyobTNoLlAIWRbIq2QNoD0NTQIiB+wqEt+QLtDbrqpvuey+foUFLcNN1k0Q01nM/j&#10;vDej1U1vW3aAiMa7is9nBWfglK+N21X8y+fby7ecYZKulq13UPEjIL9ZX7xadaGEhW98W0NkBOKw&#10;7ELFm5RCKQSqBqzEmQ/gKKh9tDLRNe5EHWVH6LYVi6J4LTof6xC9AkTybsYgnxDjSwC91kbBxqu9&#10;BZdG1AitTEQJGxOQr4dutQaVPmqNkFhbcWKahpMeIXubT7FeyXIXZWiMmlqQL2nhGScrjaNHz1Ab&#10;mSTbR/MPlDUqevQ6zZS3YiQyKEIs5sUzbe4bGWDgQlJjOIuO/w9WfTh8iszUFV+8IU2ctDTy0/dv&#10;px+/Tj+/suwkibqAJWXeB8pN/Tvf0+I8+pGcmXmvo81f4sQoTmDHs8DQJ6bIeT1fLguKKAot51fX&#10;i6uMIv4Uh4jpDrxl2ah4pPkNssrDe0xj6mNKfsv5W9O2wwxb95eDMEcPDEswVWceY7/ZSv22n8ht&#10;fX0kbh0tQsXxYS8jcLYP0ewaamPgKnIJTWHod9qYPOand7Kf/iXr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AesJLWAAAACAEAAA8AAAAAAAAAAQAgAAAAIgAAAGRycy9kb3ducmV2LnhtbFBLAQIU&#10;ABQAAAAIAIdO4kA9rz6AvAEAAG0DAAAOAAAAAAAAAAEAIAAAACUBAABkcnMvZTJvRG9jLnhtbFBL&#10;BQYAAAAABgAGAFkBAABTBQAAAAA=&#10;">
                <v:fill on="f" focussize="0,0"/>
                <v:stroke on="f"/>
                <v:imagedata o:title=""/>
                <o:lock v:ext="edit" aspectratio="f"/>
                <v:textbox>
                  <w:txbxContent>
                    <w:p w14:paraId="433EDD9B">
                      <w:pPr>
                        <w:pStyle w:val="11"/>
                        <w:spacing w:line="220" w:lineRule="exact"/>
                        <w:rPr>
                          <w:rFonts w:ascii="楷体_GB2312" w:hAnsi="宋体" w:eastAsia="楷体_GB2312"/>
                          <w:b/>
                          <w:bCs/>
                          <w:sz w:val="18"/>
                          <w:szCs w:val="18"/>
                        </w:rPr>
                      </w:pPr>
                      <w:r>
                        <w:rPr>
                          <w:rFonts w:hint="eastAsia" w:ascii="楷体_GB2312" w:hAnsi="宋体" w:eastAsia="楷体_GB2312" w:cs="楷体_GB2312"/>
                          <w:b/>
                          <w:bCs/>
                          <w:sz w:val="18"/>
                          <w:szCs w:val="18"/>
                        </w:rPr>
                        <w:t>工程计量和计价的依据</w:t>
                      </w:r>
                    </w:p>
                  </w:txbxContent>
                </v:textbox>
              </v:shape>
            </w:pict>
          </mc:Fallback>
        </mc:AlternateContent>
      </w:r>
      <w:r>
        <w:rPr>
          <w:rFonts w:hint="default" w:ascii="Times New Roman" w:hAnsi="Times New Roman" w:cs="Times New Roman"/>
          <w:color w:val="auto"/>
          <w:sz w:val="22"/>
          <w:szCs w:val="22"/>
          <w:highlight w:val="none"/>
        </w:rPr>
        <w:t>工程的计量规则和计价办法，以国家标准《建设工程工程量清单计价规范》为准；《建设工程工程量清单计价规范》没有规定的，以广东省统一工程计价依据为准；广东省统一工程计价依据没有规定的，可参照专业部门颁发的工程计价依据。</w:t>
      </w:r>
    </w:p>
    <w:p w14:paraId="3D9386C0">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62.2  </w:t>
      </w:r>
      <w:r>
        <w:rPr>
          <w:rFonts w:hint="default" w:ascii="Times New Roman" w:hAnsi="Times New Roman" w:cs="Times New Roman"/>
          <w:b/>
          <w:bCs/>
          <w:color w:val="auto"/>
          <w:sz w:val="22"/>
          <w:szCs w:val="22"/>
          <w:highlight w:val="none"/>
          <w:u w:val="dotted"/>
        </w:rPr>
        <w:t xml:space="preserve">                                                                                  </w:t>
      </w:r>
    </w:p>
    <w:p w14:paraId="17877D96">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30624" behindDoc="0" locked="0" layoutInCell="1" allowOverlap="1">
                <wp:simplePos x="0" y="0"/>
                <wp:positionH relativeFrom="column">
                  <wp:posOffset>-114300</wp:posOffset>
                </wp:positionH>
                <wp:positionV relativeFrom="paragraph">
                  <wp:posOffset>50800</wp:posOffset>
                </wp:positionV>
                <wp:extent cx="914400" cy="415925"/>
                <wp:effectExtent l="0" t="0" r="0" b="0"/>
                <wp:wrapNone/>
                <wp:docPr id="271" name="文本框 271"/>
                <wp:cNvGraphicFramePr/>
                <a:graphic xmlns:a="http://schemas.openxmlformats.org/drawingml/2006/main">
                  <a:graphicData uri="http://schemas.microsoft.com/office/word/2010/wordprocessingShape">
                    <wps:wsp>
                      <wps:cNvSpPr txBox="1"/>
                      <wps:spPr>
                        <a:xfrm>
                          <a:off x="0" y="0"/>
                          <a:ext cx="914400" cy="415925"/>
                        </a:xfrm>
                        <a:prstGeom prst="rect">
                          <a:avLst/>
                        </a:prstGeom>
                        <a:noFill/>
                        <a:ln>
                          <a:noFill/>
                        </a:ln>
                        <a:effectLst/>
                      </wps:spPr>
                      <wps:txbx>
                        <w:txbxContent>
                          <w:p w14:paraId="614075CD">
                            <w:pPr>
                              <w:pStyle w:val="11"/>
                              <w:spacing w:line="220" w:lineRule="exact"/>
                              <w:rPr>
                                <w:rFonts w:ascii="楷体_GB2312" w:hAnsi="宋体" w:eastAsia="楷体_GB2312"/>
                                <w:b/>
                                <w:bCs/>
                                <w:sz w:val="18"/>
                                <w:szCs w:val="18"/>
                              </w:rPr>
                            </w:pPr>
                            <w:r>
                              <w:rPr>
                                <w:rFonts w:hint="eastAsia" w:ascii="楷体_GB2312" w:hAnsi="宋体" w:eastAsia="楷体_GB2312" w:cs="楷体_GB2312"/>
                                <w:b/>
                                <w:bCs/>
                                <w:sz w:val="18"/>
                                <w:szCs w:val="18"/>
                              </w:rPr>
                              <w:t>工程计量和计价的要求</w:t>
                            </w:r>
                          </w:p>
                        </w:txbxContent>
                      </wps:txbx>
                      <wps:bodyPr wrap="square" upright="1"/>
                    </wps:wsp>
                  </a:graphicData>
                </a:graphic>
              </wp:anchor>
            </w:drawing>
          </mc:Choice>
          <mc:Fallback>
            <w:pict>
              <v:shape id="_x0000_s1026" o:spid="_x0000_s1026" o:spt="202" type="#_x0000_t202" style="position:absolute;left:0pt;margin-left:-9pt;margin-top:4pt;height:32.75pt;width:72pt;z-index:251930624;mso-width-relative:page;mso-height-relative:page;" filled="f" stroked="f" coordsize="21600,21600" o:gfxdata="UEsDBAoAAAAAAIdO4kAAAAAAAAAAAAAAAAAEAAAAZHJzL1BLAwQUAAAACACHTuJAZvOwRdYAAAAI&#10;AQAADwAAAGRycy9kb3ducmV2LnhtbE2PzU7DMBCE70i8g7WVuLV2Cv0hZNMDiCuIQiv15sbbJGq8&#10;jmK3CW+Pc6Kn3dWMZr/JNoNtxJU6XztGSGYKBHHhTM0lws/3+3QNwgfNRjeOCeGXPGzy+7tMp8b1&#10;/EXXbShFDGGfaoQqhDaV0hcVWe1nriWO2sl1Vod4dqU0ne5juG3kXKmltLrm+KHSLb1WVJy3F4uw&#10;+zgd9k/qs3yzi7Z3g5JsnyXiwyRRLyACDeHfDCN+RIc8Mh3dhY0XDcI0WccuAWEcoz5fxuWIsHpc&#10;gMwzeVsg/wNQSwMEFAAAAAgAh07iQM9Q/Hy8AQAAbQMAAA4AAABkcnMvZTJvRG9jLnhtbK1TzY7T&#10;MBC+I/EOlu80SdUFNmq6EqqWCwKkhQdwnXFjyX943CZ9AXgDTly481x9DsZJtizLZQ9cnPH8fJ7v&#10;m8n6ZrCGHSGi9q7h1aLkDJz0rXb7hn/+dPviNWeYhGuF8Q4afgLkN5vnz9Z9qGHpO29aiIxAHNZ9&#10;aHiXUqiLAmUHVuDCB3AUVD5akega90UbRU/o1hTLsnxZ9D62IXoJiOTdTkE+I8anAHqltIStlwcL&#10;Lk2oEYxIRAk7HZBvxm6VApk+KIWQmGk4MU3jSY+QvctnsVmLeh9F6LScWxBPaeERJyu0o0cvUFuR&#10;BDtE/Q+U1TJ69CotpLfFRGRUhFhU5SNt7joRYORCUmO4iI7/D1a+P36MTLcNX76qOHPC0sjP37+d&#10;f/w6//zKspMk6gPWlHkXKDcNb/xAi3PvR3Jm5oOKNn+JE6M4CXy6CAxDYpKc19VqVVJEUmhVXV0v&#10;rzJK8ac4RExvwVuWjYZHmt8oqzi+wzSl3qfkt5y/1caMMzTuLwdhTh4Yl2CuzjymfrOVht0wk9v5&#10;9kTcelqEhuOXg4jA2SFEve+ojZFrkUtoCmO/88bkMT+8k/3wL9n8B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GbzsEXWAAAACAEAAA8AAAAAAAAAAQAgAAAAIgAAAGRycy9kb3ducmV2LnhtbFBLAQIU&#10;ABQAAAAIAIdO4kDPUPx8vAEAAG0DAAAOAAAAAAAAAAEAIAAAACUBAABkcnMvZTJvRG9jLnhtbFBL&#10;BQYAAAAABgAGAFkBAABTBQAAAAA=&#10;">
                <v:fill on="f" focussize="0,0"/>
                <v:stroke on="f"/>
                <v:imagedata o:title=""/>
                <o:lock v:ext="edit" aspectratio="f"/>
                <v:textbox>
                  <w:txbxContent>
                    <w:p w14:paraId="614075CD">
                      <w:pPr>
                        <w:pStyle w:val="11"/>
                        <w:spacing w:line="220" w:lineRule="exact"/>
                        <w:rPr>
                          <w:rFonts w:ascii="楷体_GB2312" w:hAnsi="宋体" w:eastAsia="楷体_GB2312"/>
                          <w:b/>
                          <w:bCs/>
                          <w:sz w:val="18"/>
                          <w:szCs w:val="18"/>
                        </w:rPr>
                      </w:pPr>
                      <w:r>
                        <w:rPr>
                          <w:rFonts w:hint="eastAsia" w:ascii="楷体_GB2312" w:hAnsi="宋体" w:eastAsia="楷体_GB2312" w:cs="楷体_GB2312"/>
                          <w:b/>
                          <w:bCs/>
                          <w:sz w:val="18"/>
                          <w:szCs w:val="18"/>
                        </w:rPr>
                        <w:t>工程计量和计价的要求</w:t>
                      </w:r>
                    </w:p>
                  </w:txbxContent>
                </v:textbox>
              </v:shape>
            </w:pict>
          </mc:Fallback>
        </mc:AlternateContent>
      </w:r>
      <w:r>
        <w:rPr>
          <w:rFonts w:hint="default" w:ascii="Times New Roman" w:hAnsi="Times New Roman" w:cs="Times New Roman"/>
          <w:color w:val="auto"/>
          <w:sz w:val="22"/>
          <w:szCs w:val="22"/>
          <w:highlight w:val="none"/>
        </w:rPr>
        <w:t>合同双方当事人应按照合同约定，依据国家标准《建设工程工程量清单计价规范》、广东省统一工程计价依据或专业部门的工程计价依据以及工程造价管理机构制订的有关计价规定进行工程计量和计价。</w:t>
      </w:r>
    </w:p>
    <w:p w14:paraId="01783624">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造价工程师负责工程计量和计价的核实工作。</w:t>
      </w:r>
    </w:p>
    <w:p w14:paraId="165806E6">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62.3  </w:t>
      </w:r>
      <w:r>
        <w:rPr>
          <w:rFonts w:hint="default" w:ascii="Times New Roman" w:hAnsi="Times New Roman" w:cs="Times New Roman"/>
          <w:b/>
          <w:bCs/>
          <w:color w:val="auto"/>
          <w:sz w:val="22"/>
          <w:szCs w:val="22"/>
          <w:highlight w:val="none"/>
          <w:u w:val="dotted"/>
        </w:rPr>
        <w:t xml:space="preserve">                                                                                                        </w:t>
      </w:r>
    </w:p>
    <w:p w14:paraId="7C9A26E3">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31648" behindDoc="0" locked="0" layoutInCell="1" allowOverlap="1">
                <wp:simplePos x="0" y="0"/>
                <wp:positionH relativeFrom="column">
                  <wp:posOffset>-114300</wp:posOffset>
                </wp:positionH>
                <wp:positionV relativeFrom="paragraph">
                  <wp:posOffset>-1905</wp:posOffset>
                </wp:positionV>
                <wp:extent cx="914400" cy="548005"/>
                <wp:effectExtent l="0" t="0" r="0" b="0"/>
                <wp:wrapNone/>
                <wp:docPr id="272" name="文本框 272"/>
                <wp:cNvGraphicFramePr/>
                <a:graphic xmlns:a="http://schemas.openxmlformats.org/drawingml/2006/main">
                  <a:graphicData uri="http://schemas.microsoft.com/office/word/2010/wordprocessingShape">
                    <wps:wsp>
                      <wps:cNvSpPr txBox="1"/>
                      <wps:spPr>
                        <a:xfrm>
                          <a:off x="0" y="0"/>
                          <a:ext cx="914400" cy="548005"/>
                        </a:xfrm>
                        <a:prstGeom prst="rect">
                          <a:avLst/>
                        </a:prstGeom>
                        <a:noFill/>
                        <a:ln>
                          <a:noFill/>
                        </a:ln>
                        <a:effectLst/>
                      </wps:spPr>
                      <wps:txbx>
                        <w:txbxContent>
                          <w:p w14:paraId="2DB5DD30">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已完工程款额报告的提交和核实</w:t>
                            </w:r>
                          </w:p>
                        </w:txbxContent>
                      </wps:txbx>
                      <wps:bodyPr wrap="square" upright="1"/>
                    </wps:wsp>
                  </a:graphicData>
                </a:graphic>
              </wp:anchor>
            </w:drawing>
          </mc:Choice>
          <mc:Fallback>
            <w:pict>
              <v:shape id="_x0000_s1026" o:spid="_x0000_s1026" o:spt="202" type="#_x0000_t202" style="position:absolute;left:0pt;margin-left:-9pt;margin-top:-0.15pt;height:43.15pt;width:72pt;z-index:251931648;mso-width-relative:page;mso-height-relative:page;" filled="f" stroked="f" coordsize="21600,21600" o:gfxdata="UEsDBAoAAAAAAIdO4kAAAAAAAAAAAAAAAAAEAAAAZHJzL1BLAwQUAAAACACHTuJADkfa9NQAAAAI&#10;AQAADwAAAGRycy9kb3ducmV2LnhtbE2PQU/DMAyF70j8h8hI3DanA6ZSmu4A4gpiAyRuWeO1FY1T&#10;Ndla/j3eCU7207Oev1duZt+rE42xC2wgW2pQxHVwHTcG3nfPixxUTJad7QOTgR+KsKkuL0pbuDDx&#10;G522qVESwrGwBtqUhgIx1i15G5dhIBbvEEZvk8ixQTfaScJ9jyut1+htx/KhtQM9tlR/b4/ewMfL&#10;4evzVr82T/5umMKskf09GnN9lekHUInm9HcMZ3xBh0qY9uHILqrewCLLpUuS5QbU2V+tRe8N5DKx&#10;KvF/geoXUEsDBBQAAAAIAIdO4kC1C2DEvAEAAG0DAAAOAAAAZHJzL2Uyb0RvYy54bWytU82O0zAQ&#10;viPxDpbv1GnVhd2o6UqoWi4IkJZ9ANcZN5biHzxuk74AvAEnLtx5rj4H4yQty3LZAxdnPD+f5/tm&#10;srrtbcsOENF4V/H5rOAMnPK1cbuKP3y+e3XNGSbpatl6BxU/AvLb9csXqy6UsPCNb2uIjEAcll2o&#10;eJNSKIVA1YCVOPMBHAW1j1YmusadqKPsCN22YlEUr0XnYx2iV4BI3s0Y5BNifA6g19oo2Hi1t+DS&#10;iBqhlYkoYWMC8vXQrdag0ketERJrK05M03DSI2Rv8ynWK1nuogyNUVML8jktPOFkpXH06AVqI5Nk&#10;+2j+gbJGRY9ep5nyVoxEBkWIxbx4os19IwMMXEhqDBfR8f/Bqg+HT5GZuuKLNwvOnLQ08tP3b6cf&#10;v04/v7LsJIm6gCVl3gfKTf1b39PinP1Izsy819HmL3FiFCeBjxeBoU9MkfNmvlwWFFEUulpeF8VV&#10;RhF/ikPE9A68ZdmoeKT5DbLKw3tMY+o5Jb/l/J1p22GGrfvLQZijB4YlmKozj7HfbKV+20/ktr4+&#10;EreOFqHi+GUvI3C2D9HsGmpj4CpyCU1h6HfamDzmx3eyH/8l6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OR9r01AAAAAgBAAAPAAAAAAAAAAEAIAAAACIAAABkcnMvZG93bnJldi54bWxQSwECFAAU&#10;AAAACACHTuJAtQtgxLwBAABtAwAADgAAAAAAAAABACAAAAAjAQAAZHJzL2Uyb0RvYy54bWxQSwUG&#10;AAAAAAYABgBZAQAAUQUAAAAA&#10;">
                <v:fill on="f" focussize="0,0"/>
                <v:stroke on="f"/>
                <v:imagedata o:title=""/>
                <o:lock v:ext="edit" aspectratio="f"/>
                <v:textbox>
                  <w:txbxContent>
                    <w:p w14:paraId="2DB5DD30">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已完工程款额报告的提交和核实</w:t>
                      </w:r>
                    </w:p>
                  </w:txbxContent>
                </v:textbox>
              </v:shape>
            </w:pict>
          </mc:Fallback>
        </mc:AlternateContent>
      </w:r>
      <w:r>
        <w:rPr>
          <w:rFonts w:hint="default" w:ascii="Times New Roman" w:hAnsi="Times New Roman" w:cs="Times New Roman"/>
          <w:color w:val="auto"/>
          <w:sz w:val="22"/>
          <w:szCs w:val="22"/>
          <w:highlight w:val="none"/>
        </w:rPr>
        <w:t>承包人应按照第81.1款规定向造价工程师提交已完工程款额报告。造价工程师应在收到报告后的14天内核实工程量，并将核实结果通知承包人、抄报发包人，作为工程计价和工程款支付的依据。</w:t>
      </w:r>
    </w:p>
    <w:p w14:paraId="44909323">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62.4  </w:t>
      </w:r>
      <w:r>
        <w:rPr>
          <w:rFonts w:hint="default" w:ascii="Times New Roman" w:hAnsi="Times New Roman" w:cs="Times New Roman"/>
          <w:b/>
          <w:bCs/>
          <w:color w:val="auto"/>
          <w:sz w:val="22"/>
          <w:szCs w:val="22"/>
          <w:highlight w:val="none"/>
          <w:u w:val="dotted"/>
        </w:rPr>
        <w:t xml:space="preserve">                                                                                                        </w:t>
      </w:r>
    </w:p>
    <w:p w14:paraId="13BDBE8F">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32672" behindDoc="0" locked="0" layoutInCell="1" allowOverlap="1">
                <wp:simplePos x="0" y="0"/>
                <wp:positionH relativeFrom="column">
                  <wp:posOffset>-114300</wp:posOffset>
                </wp:positionH>
                <wp:positionV relativeFrom="paragraph">
                  <wp:posOffset>50165</wp:posOffset>
                </wp:positionV>
                <wp:extent cx="800100" cy="354330"/>
                <wp:effectExtent l="0" t="0" r="0" b="0"/>
                <wp:wrapNone/>
                <wp:docPr id="273" name="文本框 273"/>
                <wp:cNvGraphicFramePr/>
                <a:graphic xmlns:a="http://schemas.openxmlformats.org/drawingml/2006/main">
                  <a:graphicData uri="http://schemas.microsoft.com/office/word/2010/wordprocessingShape">
                    <wps:wsp>
                      <wps:cNvSpPr txBox="1"/>
                      <wps:spPr>
                        <a:xfrm>
                          <a:off x="0" y="0"/>
                          <a:ext cx="800100" cy="354330"/>
                        </a:xfrm>
                        <a:prstGeom prst="rect">
                          <a:avLst/>
                        </a:prstGeom>
                        <a:noFill/>
                        <a:ln>
                          <a:noFill/>
                        </a:ln>
                        <a:effectLst/>
                      </wps:spPr>
                      <wps:txbx>
                        <w:txbxContent>
                          <w:p w14:paraId="356C1B7D">
                            <w:pPr>
                              <w:rPr>
                                <w:rFonts w:ascii="宋体" w:cs="Times New Roman"/>
                                <w:sz w:val="18"/>
                                <w:szCs w:val="18"/>
                              </w:rPr>
                            </w:pPr>
                            <w:r>
                              <w:rPr>
                                <w:rFonts w:hint="eastAsia" w:hAnsi="宋体"/>
                                <w:b/>
                                <w:bCs/>
                                <w:color w:val="000000"/>
                                <w:sz w:val="18"/>
                                <w:szCs w:val="18"/>
                              </w:rPr>
                              <w:t>现场计量</w:t>
                            </w:r>
                          </w:p>
                        </w:txbxContent>
                      </wps:txbx>
                      <wps:bodyPr wrap="square" upright="1"/>
                    </wps:wsp>
                  </a:graphicData>
                </a:graphic>
              </wp:anchor>
            </w:drawing>
          </mc:Choice>
          <mc:Fallback>
            <w:pict>
              <v:shape id="_x0000_s1026" o:spid="_x0000_s1026" o:spt="202" type="#_x0000_t202" style="position:absolute;left:0pt;margin-left:-9pt;margin-top:3.95pt;height:27.9pt;width:63pt;z-index:251932672;mso-width-relative:page;mso-height-relative:page;" filled="f" stroked="f" coordsize="21600,21600" o:gfxdata="UEsDBAoAAAAAAIdO4kAAAAAAAAAAAAAAAAAEAAAAZHJzL1BLAwQUAAAACACHTuJA/YOGbdUAAAAI&#10;AQAADwAAAGRycy9kb3ducmV2LnhtbE2PS2/CMBCE75X6H6xF6g3s9MEjZMOhVa+tSgsSNxMvSUS8&#10;jmJD0n9f51SOoxnNfJNtBtuIK3W+doyQzBQI4sKZmkuEn+/36RKED5qNbhwTwi952OT3d5lOjev5&#10;i67bUIpYwj7VCFUIbSqlLyqy2s9cSxy9k+usDlF2pTSd7mO5beSjUnNpdc1xodItvVZUnLcXi7D7&#10;OB32z+qzfLMvbe8GJdmuJOLDJFFrEIGG8B+GET+iQx6Zju7CxosGYZos45eAsFiBGH016iPC/GkB&#10;Ms/k7YH8D1BLAwQUAAAACACHTuJAo1XbVrwBAABtAwAADgAAAGRycy9lMm9Eb2MueG1srVNLbtsw&#10;EN0X6B0I7msqdtoGguUAhZFsirZAmgPQ1MgiIH7KoS35Au0Nuuqm+57L5+iQUpzfJotsqOF8Hue9&#10;GS0vB9OxPQTUzlb8bFZwBla5WtttxW+/X7274AyjtLXsnIWKHwD55ertm2XvS5i71nU1BEYgFsve&#10;V7yN0ZdCoGrBSJw5D5aCjQtGRrqGraiD7AnddGJeFB9E70Ltg1OASN71GOQTYngJoGsarWDt1M6A&#10;jSNqgE5GooSt9shXudumARW/Ng1CZF3FiWnMJz1C9iadYrWU5TZI32o1tSBf0sITTkZqS4+eoNYy&#10;SrYL+hmU0So4dE2cKWfESCQrQizOiifa3LTSQ+ZCUqM/iY6vB6u+7L8FpuuKzz8uOLPS0MiPv38d&#10;//w7/v3JkpMk6j2WlHnjKTcOn9xAi3PnR3Im5kMTTPoSJ0ZxEvhwEhiGyBQ5LwoiSRFFocX788Ui&#10;D0DcF/uA8RqcYcmoeKD5ZVnl/jNGaoRS71LSW9Zd6a7LM+zsIwcljh7ISzBVJx5jv8mKw2aYyG1c&#10;fSBuPS1CxfHHTgbgbOeD3rbURuYqUglNITcxbUwa88M72Q//kt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YOGbdUAAAAIAQAADwAAAAAAAAABACAAAAAiAAAAZHJzL2Rvd25yZXYueG1sUEsBAhQA&#10;FAAAAAgAh07iQKNV21a8AQAAbQMAAA4AAAAAAAAAAQAgAAAAJAEAAGRycy9lMm9Eb2MueG1sUEsF&#10;BgAAAAAGAAYAWQEAAFIFAAAAAA==&#10;">
                <v:fill on="f" focussize="0,0"/>
                <v:stroke on="f"/>
                <v:imagedata o:title=""/>
                <o:lock v:ext="edit" aspectratio="f"/>
                <v:textbox>
                  <w:txbxContent>
                    <w:p w14:paraId="356C1B7D">
                      <w:pPr>
                        <w:rPr>
                          <w:rFonts w:ascii="宋体" w:cs="Times New Roman"/>
                          <w:sz w:val="18"/>
                          <w:szCs w:val="18"/>
                        </w:rPr>
                      </w:pPr>
                      <w:r>
                        <w:rPr>
                          <w:rFonts w:hint="eastAsia" w:hAnsi="宋体"/>
                          <w:b/>
                          <w:bCs/>
                          <w:color w:val="000000"/>
                          <w:sz w:val="18"/>
                          <w:szCs w:val="18"/>
                        </w:rPr>
                        <w:t>现场计量</w:t>
                      </w:r>
                    </w:p>
                  </w:txbxContent>
                </v:textbox>
              </v:shape>
            </w:pict>
          </mc:Fallback>
        </mc:AlternateContent>
      </w:r>
      <w:r>
        <w:rPr>
          <w:rFonts w:hint="default" w:ascii="Times New Roman" w:hAnsi="Times New Roman" w:cs="Times New Roman"/>
          <w:color w:val="auto"/>
          <w:sz w:val="22"/>
          <w:szCs w:val="22"/>
          <w:highlight w:val="none"/>
        </w:rPr>
        <w:t>当造价工程师进行现场计量时，应在计量前24小时通知承包人，承包人应为计量提供便利条件并派人参加。承包人收到通知后不派人参加计量，视为认可计量结果。造价工程师不按照约定时间通知承包人，致使承包人未能派人参加计量，计量结果无效。</w:t>
      </w:r>
    </w:p>
    <w:p w14:paraId="767A509B">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62.5 </w:t>
      </w:r>
      <w:r>
        <w:rPr>
          <w:rFonts w:hint="default" w:ascii="Times New Roman" w:hAnsi="Times New Roman" w:cs="Times New Roman"/>
          <w:b/>
          <w:bCs/>
          <w:color w:val="auto"/>
          <w:sz w:val="22"/>
          <w:szCs w:val="22"/>
          <w:highlight w:val="none"/>
          <w:u w:val="dotted"/>
        </w:rPr>
        <w:t xml:space="preserve">                                                                                                        </w:t>
      </w:r>
    </w:p>
    <w:p w14:paraId="4EF39B75">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33696" behindDoc="0" locked="0" layoutInCell="1" allowOverlap="1">
                <wp:simplePos x="0" y="0"/>
                <wp:positionH relativeFrom="column">
                  <wp:posOffset>-114300</wp:posOffset>
                </wp:positionH>
                <wp:positionV relativeFrom="paragraph">
                  <wp:posOffset>44450</wp:posOffset>
                </wp:positionV>
                <wp:extent cx="914400" cy="603250"/>
                <wp:effectExtent l="0" t="0" r="0" b="0"/>
                <wp:wrapNone/>
                <wp:docPr id="274" name="文本框 274"/>
                <wp:cNvGraphicFramePr/>
                <a:graphic xmlns:a="http://schemas.openxmlformats.org/drawingml/2006/main">
                  <a:graphicData uri="http://schemas.microsoft.com/office/word/2010/wordprocessingShape">
                    <wps:wsp>
                      <wps:cNvSpPr txBox="1"/>
                      <wps:spPr>
                        <a:xfrm>
                          <a:off x="0" y="0"/>
                          <a:ext cx="914400" cy="603250"/>
                        </a:xfrm>
                        <a:prstGeom prst="rect">
                          <a:avLst/>
                        </a:prstGeom>
                        <a:noFill/>
                        <a:ln>
                          <a:noFill/>
                        </a:ln>
                        <a:effectLst/>
                      </wps:spPr>
                      <wps:txbx>
                        <w:txbxContent>
                          <w:p w14:paraId="660C708A">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收到已完工程款额报告的限制</w:t>
                            </w:r>
                          </w:p>
                        </w:txbxContent>
                      </wps:txbx>
                      <wps:bodyPr wrap="square" upright="1"/>
                    </wps:wsp>
                  </a:graphicData>
                </a:graphic>
              </wp:anchor>
            </w:drawing>
          </mc:Choice>
          <mc:Fallback>
            <w:pict>
              <v:shape id="_x0000_s1026" o:spid="_x0000_s1026" o:spt="202" type="#_x0000_t202" style="position:absolute;left:0pt;margin-left:-9pt;margin-top:3.5pt;height:47.5pt;width:72pt;z-index:251933696;mso-width-relative:page;mso-height-relative:page;" filled="f" stroked="f" coordsize="21600,21600" o:gfxdata="UEsDBAoAAAAAAIdO4kAAAAAAAAAAAAAAAAAEAAAAZHJzL1BLAwQUAAAACACHTuJAVv9Z9dUAAAAJ&#10;AQAADwAAAGRycy9kb3ducmV2LnhtbE2PQU/DMAyF70j8h8hI3LakFYxR6u4A4gpiAyRuWeO1FY1T&#10;Ndla/j3eCU5+1rOev1duZt+rE42xC4yQLQ0o4jq4jhuE993zYg0qJsvO9oEJ4YcibKrLi9IWLkz8&#10;RqdtapSEcCwsQpvSUGgd65a8jcswEIt3CKO3Sdax0W60k4T7XufGrLS3HcuH1g702FL9vT16hI+X&#10;w9fnjXltnvztMIXZaPb3GvH6KjMPoBLN6e8YzviCDpUw7cORXVQ9wiJbS5eEcCfj7OcrEXsRJjeg&#10;q1L/b1D9AlBLAwQUAAAACACHTuJAu9v04L4BAABtAwAADgAAAGRycy9lMm9Eb2MueG1srVPNjtMw&#10;EL4j7TtYvtOkpSwQNV1pVS0XBEgLD+A6k8aS/9bjNukLwBtw4sKd5+pzMHayZVkue9iLM56fz/N9&#10;M1ldDUazAwRUztZ8Pis5Aytdo+yu5l+/3Lx8yxlGYRuhnYWaHwH51frixar3FSxc53QDgRGIxar3&#10;Ne9i9FVRoOzACJw5D5aCrQtGRLqGXdEE0RO60cWiLC+L3oXGBycBkbybMcgnxPAUQNe2SsLGyb0B&#10;G0fUAFpEooSd8sjXudu2BRk/tS1CZLrmxDTmkx4he5vOYr0S1S4I3yk5tSCe0sIjTkYoS4+eoTYi&#10;CrYP6j8oo2Rw6No4k84UI5GsCLGYl4+0ue2Eh8yFpEZ/Fh2fD1Z+PHwOTDU1X7xZcmaFoZGffnw/&#10;/fx9+vWNJSdJ1HusKPPWU24crt1Ai3PvR3Im5kMbTPoSJ0ZxEvh4FhiGyCQ5382Xy5IikkKX5avF&#10;6zyA4m+xDxjfgzMsGTUPNL8sqzh8wEiNUOp9SnrLuhuldZ6htv84KHH0QF6CqTrxGPtNVhy2w0Ru&#10;65ojcetpEWqOd3sRgLO9D2rXURuZa5FKaAq5iWlj0pgf3sl++Jes/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W/1n11QAAAAkBAAAPAAAAAAAAAAEAIAAAACIAAABkcnMvZG93bnJldi54bWxQSwEC&#10;FAAUAAAACACHTuJAu9v04L4BAABtAwAADgAAAAAAAAABACAAAAAkAQAAZHJzL2Uyb0RvYy54bWxQ&#10;SwUGAAAAAAYABgBZAQAAVAUAAAAA&#10;">
                <v:fill on="f" focussize="0,0"/>
                <v:stroke on="f"/>
                <v:imagedata o:title=""/>
                <o:lock v:ext="edit" aspectratio="f"/>
                <v:textbox>
                  <w:txbxContent>
                    <w:p w14:paraId="660C708A">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收到已完工程款额报告的限制</w:t>
                      </w:r>
                    </w:p>
                  </w:txbxContent>
                </v:textbox>
              </v:shape>
            </w:pict>
          </mc:Fallback>
        </mc:AlternateContent>
      </w:r>
      <w:r>
        <w:rPr>
          <w:rFonts w:hint="default" w:ascii="Times New Roman" w:hAnsi="Times New Roman" w:cs="Times New Roman"/>
          <w:color w:val="auto"/>
          <w:sz w:val="22"/>
          <w:szCs w:val="22"/>
          <w:highlight w:val="none"/>
        </w:rPr>
        <w:t>造价工程师收到承包人按照第81.1款规定提交的已完工程款额报告后14天内，未进行计量或未向承包人通知计量结果的，从第15天起，承包人报告中开列的工程量即视为被确认，作为工程计价和工程款支付的依据。</w:t>
      </w:r>
    </w:p>
    <w:p w14:paraId="08459727">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62.6  </w:t>
      </w:r>
      <w:r>
        <w:rPr>
          <w:rFonts w:hint="default" w:ascii="Times New Roman" w:hAnsi="Times New Roman" w:cs="Times New Roman"/>
          <w:b/>
          <w:bCs/>
          <w:color w:val="auto"/>
          <w:sz w:val="22"/>
          <w:szCs w:val="22"/>
          <w:highlight w:val="none"/>
          <w:u w:val="dotted"/>
        </w:rPr>
        <w:t xml:space="preserve">                                                                                                        </w:t>
      </w:r>
    </w:p>
    <w:p w14:paraId="1679FCCB">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34720" behindDoc="0" locked="0" layoutInCell="1" allowOverlap="1">
                <wp:simplePos x="0" y="0"/>
                <wp:positionH relativeFrom="column">
                  <wp:posOffset>-114300</wp:posOffset>
                </wp:positionH>
                <wp:positionV relativeFrom="paragraph">
                  <wp:posOffset>45720</wp:posOffset>
                </wp:positionV>
                <wp:extent cx="914400" cy="297180"/>
                <wp:effectExtent l="0" t="0" r="0" b="0"/>
                <wp:wrapNone/>
                <wp:docPr id="275" name="文本框 275"/>
                <wp:cNvGraphicFramePr/>
                <a:graphic xmlns:a="http://schemas.openxmlformats.org/drawingml/2006/main">
                  <a:graphicData uri="http://schemas.microsoft.com/office/word/2010/wordprocessingShape">
                    <wps:wsp>
                      <wps:cNvSpPr txBox="1"/>
                      <wps:spPr>
                        <a:xfrm>
                          <a:off x="0" y="0"/>
                          <a:ext cx="914400" cy="297180"/>
                        </a:xfrm>
                        <a:prstGeom prst="rect">
                          <a:avLst/>
                        </a:prstGeom>
                        <a:noFill/>
                        <a:ln>
                          <a:noFill/>
                        </a:ln>
                        <a:effectLst/>
                      </wps:spPr>
                      <wps:txbx>
                        <w:txbxContent>
                          <w:p w14:paraId="1592FF9F">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复核计量结果</w:t>
                            </w:r>
                          </w:p>
                        </w:txbxContent>
                      </wps:txbx>
                      <wps:bodyPr wrap="square" upright="1"/>
                    </wps:wsp>
                  </a:graphicData>
                </a:graphic>
              </wp:anchor>
            </w:drawing>
          </mc:Choice>
          <mc:Fallback>
            <w:pict>
              <v:shape id="_x0000_s1026" o:spid="_x0000_s1026" o:spt="202" type="#_x0000_t202" style="position:absolute;left:0pt;margin-left:-9pt;margin-top:3.6pt;height:23.4pt;width:72pt;z-index:251934720;mso-width-relative:page;mso-height-relative:page;" filled="f" stroked="f" coordsize="21600,21600" o:gfxdata="UEsDBAoAAAAAAIdO4kAAAAAAAAAAAAAAAAAEAAAAZHJzL1BLAwQUAAAACACHTuJA+LK+Z9UAAAAI&#10;AQAADwAAAGRycy9kb3ducmV2LnhtbE2PzU7DMBCE70i8g7VIvbV2ov6GbHoA9QqiLUi9ufE2iYjX&#10;Uew24e1xT3AczWjmm3w72lbcqPeNY4RkpkAQl840XCEcD7vpGoQPmo1uHRPCD3nYFo8Puc6MG/iD&#10;bvtQiVjCPtMIdQhdJqUva7Laz1xHHL2L660OUfaVNL0eYrltZarUUlrdcFyodUcvNZXf+6tF+Hy7&#10;nL7m6r16tYtucKOSbDcScfKUqGcQgcbwF4Y7fkSHIjKd3ZWNFy3CNFnHLwFhlYK4++ky6jPCYq5A&#10;Frn8f6D4BVBLAwQUAAAACACHTuJAdsnl5b4BAABtAwAADgAAAGRycy9lMm9Eb2MueG1srVNLbtsw&#10;EN0X6B0I7mvJRtIkguUAhZFsirZAmgPQ1NAiIH7KoS35Au0Nuuqm+57L5+iQUpxPN1l0Qw3n8zjv&#10;zWh5PZiO7SGgdrbm81nJGVjpGm23Nb//evPukjOMwjaicxZqfgDk16u3b5a9r2DhWtc1EBiBWKx6&#10;X/M2Rl8VBcoWjMCZ82ApqFwwItI1bIsmiJ7QTVcsyvJ90bvQ+OAkIJJ3PQb5hBheA+iU0hLWTu4M&#10;2DiiBuhEJErYao98lbtVCmT8rBRCZF3NiWnMJz1C9iadxWopqm0QvtVyakG8poUXnIzQlh49Qa1F&#10;FGwX9D9QRsvg0Kk4k84UI5GsCLGYly+0uWuFh8yFpEZ/Eh3/H6z8tP8SmG5qvrg458wKQyM//vxx&#10;/PXn+Ps7S06SqPdYUeadp9w4fHADLc6DH8mZmA8qmPQlToziJPDhJDAMkUlyXs3PzkqKSAotri7m&#10;l3kAxWOxDxhvwRmWjJoHml+WVew/YqRGKPUhJb1l3Y3uujzDzj5zUOLogbwEU3XiMfabrDhshonc&#10;xjUH4tbTItQcv+1EAM52PuhtS21krkUqoSnkJqaNSWN+eif76V+y+g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4sr5n1QAAAAgBAAAPAAAAAAAAAAEAIAAAACIAAABkcnMvZG93bnJldi54bWxQSwEC&#10;FAAUAAAACACHTuJAdsnl5b4BAABtAwAADgAAAAAAAAABACAAAAAkAQAAZHJzL2Uyb0RvYy54bWxQ&#10;SwUGAAAAAAYABgBZAQAAVAUAAAAA&#10;">
                <v:fill on="f" focussize="0,0"/>
                <v:stroke on="f"/>
                <v:imagedata o:title=""/>
                <o:lock v:ext="edit" aspectratio="f"/>
                <v:textbox>
                  <w:txbxContent>
                    <w:p w14:paraId="1592FF9F">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复核计量结果</w:t>
                      </w:r>
                    </w:p>
                  </w:txbxContent>
                </v:textbox>
              </v:shape>
            </w:pict>
          </mc:Fallback>
        </mc:AlternateContent>
      </w:r>
      <w:r>
        <w:rPr>
          <w:rFonts w:hint="default" w:ascii="Times New Roman" w:hAnsi="Times New Roman" w:cs="Times New Roman"/>
          <w:color w:val="auto"/>
          <w:sz w:val="22"/>
          <w:szCs w:val="22"/>
          <w:highlight w:val="none"/>
        </w:rPr>
        <w:t>如果承包人认为造价工程师的计量结果有误，应在收到计量结果通知后的7天内向造价工程师提出书面意见，并附上其认为正确的计量结果和详细的计算过程等资料。造价工程师收到书面意见后，应立即会同承包人对计量结果进行复核，并在签发支付证书前确定计量结果，同时通知承包人、抄报发包人。承包人对复核计量结果仍有异议或发包人对计量结果有异议的，按照第86条规定处理。</w:t>
      </w:r>
    </w:p>
    <w:p w14:paraId="1A8B5298">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62.7  </w:t>
      </w:r>
      <w:r>
        <w:rPr>
          <w:rFonts w:hint="default" w:ascii="Times New Roman" w:hAnsi="Times New Roman" w:cs="Times New Roman"/>
          <w:b/>
          <w:bCs/>
          <w:color w:val="auto"/>
          <w:sz w:val="22"/>
          <w:szCs w:val="22"/>
          <w:highlight w:val="none"/>
          <w:u w:val="dotted"/>
        </w:rPr>
        <w:t xml:space="preserve">                                                                                                        </w:t>
      </w:r>
    </w:p>
    <w:p w14:paraId="5F609BD2">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35744" behindDoc="0" locked="0" layoutInCell="1" allowOverlap="1">
                <wp:simplePos x="0" y="0"/>
                <wp:positionH relativeFrom="column">
                  <wp:posOffset>-114300</wp:posOffset>
                </wp:positionH>
                <wp:positionV relativeFrom="paragraph">
                  <wp:posOffset>36195</wp:posOffset>
                </wp:positionV>
                <wp:extent cx="800100" cy="297180"/>
                <wp:effectExtent l="0" t="0" r="0" b="0"/>
                <wp:wrapNone/>
                <wp:docPr id="276" name="文本框 276"/>
                <wp:cNvGraphicFramePr/>
                <a:graphic xmlns:a="http://schemas.openxmlformats.org/drawingml/2006/main">
                  <a:graphicData uri="http://schemas.microsoft.com/office/word/2010/wordprocessingShape">
                    <wps:wsp>
                      <wps:cNvSpPr txBox="1"/>
                      <wps:spPr>
                        <a:xfrm>
                          <a:off x="0" y="0"/>
                          <a:ext cx="800100" cy="297180"/>
                        </a:xfrm>
                        <a:prstGeom prst="rect">
                          <a:avLst/>
                        </a:prstGeom>
                        <a:noFill/>
                        <a:ln>
                          <a:noFill/>
                        </a:ln>
                        <a:effectLst/>
                      </wps:spPr>
                      <wps:txbx>
                        <w:txbxContent>
                          <w:p w14:paraId="25D43582">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不予计量</w:t>
                            </w:r>
                          </w:p>
                        </w:txbxContent>
                      </wps:txbx>
                      <wps:bodyPr wrap="square" upright="1"/>
                    </wps:wsp>
                  </a:graphicData>
                </a:graphic>
              </wp:anchor>
            </w:drawing>
          </mc:Choice>
          <mc:Fallback>
            <w:pict>
              <v:shape id="_x0000_s1026" o:spid="_x0000_s1026" o:spt="202" type="#_x0000_t202" style="position:absolute;left:0pt;margin-left:-9pt;margin-top:2.85pt;height:23.4pt;width:63pt;z-index:251935744;mso-width-relative:page;mso-height-relative:page;" filled="f" stroked="f" coordsize="21600,21600" o:gfxdata="UEsDBAoAAAAAAIdO4kAAAAAAAAAAAAAAAAAEAAAAZHJzL1BLAwQUAAAACACHTuJABFK6ZNQAAAAI&#10;AQAADwAAAGRycy9kb3ducmV2LnhtbE2PwU7DMBBE70j8g7VI3Fo7FaFtyKaHVlxBtAWpNzfeJhHx&#10;OordJvw9zgmOT7OafZNvRtuKG/W+cYyQzBUI4tKZhiuE4+F1tgLhg2ajW8eE8EMeNsX9Xa4z4wb+&#10;oNs+VCKWsM80Qh1Cl0npy5qs9nPXEcfs4nqrQ8S+kqbXQyy3rVwo9Sytbjh+qHVH25rK7/3VIny+&#10;XU5fT+q92tm0G9yoJNu1RHx8SNQLiEBj+DuGST+qQxGdzu7KxosWYZas4paAkC5BTLma+Bx5kYIs&#10;cvl/QPELUEsDBBQAAAAIAIdO4kAvTvXdvAEAAG0DAAAOAAAAZHJzL2Uyb0RvYy54bWytU0tu2zAQ&#10;3RfIHQjua8peJK5gOUBgpJugLZD2ADQ1sgiIn3BoS75AcoOuuum+5/I5OqQUN003WXRDDefzOO/N&#10;aHU9mI4dIKB2tuLzWcEZWOVqbXcV//b19v2SM4zS1rJzFip+BOTX64t3q96XsHCt62oIjEAslr2v&#10;eBujL4VA1YKROHMeLAUbF4yMdA07UQfZE7rpxKIoLkXvQu2DU4BI3s0Y5BNieAugaxqtYOPU3oCN&#10;I2qATkaihK32yNe526YBFT83DUJkXcWJacwnPUL2Np1ivZLlLkjfajW1IN/SwitORmpLj56hNjJK&#10;tg/6HyijVXDomjhTzoiRSFaEWMyLV9rct9JD5kJSoz+Ljv8PVn06fAlM1xVfXF1yZqWhkZ++P51+&#10;/Dr9fGTJSRL1HkvKvPeUG4cbN9DiPPuRnIn50ASTvsSJUZwEPp4FhiEyRc5lQSQpoii0+HA1X+YB&#10;iD/FPmD8CM6wZFQ80PyyrPJwh5EaodTnlPSWdbe66/IMO/uXgxJHD+QlmKoTj7HfZMVhO0zktq4+&#10;EreeFqHi+LCXATjb+6B3LbWRuYpUQlPITUwbk8b88k72y79k/R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EUrpk1AAAAAgBAAAPAAAAAAAAAAEAIAAAACIAAABkcnMvZG93bnJldi54bWxQSwECFAAU&#10;AAAACACHTuJAL0713bwBAABtAwAADgAAAAAAAAABACAAAAAjAQAAZHJzL2Uyb0RvYy54bWxQSwUG&#10;AAAAAAYABgBZAQAAUQUAAAAA&#10;">
                <v:fill on="f" focussize="0,0"/>
                <v:stroke on="f"/>
                <v:imagedata o:title=""/>
                <o:lock v:ext="edit" aspectratio="f"/>
                <v:textbox>
                  <w:txbxContent>
                    <w:p w14:paraId="25D43582">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不予计量</w:t>
                      </w:r>
                    </w:p>
                  </w:txbxContent>
                </v:textbox>
              </v:shape>
            </w:pict>
          </mc:Fallback>
        </mc:AlternateContent>
      </w:r>
      <w:r>
        <w:rPr>
          <w:rFonts w:hint="default" w:ascii="Times New Roman" w:hAnsi="Times New Roman" w:cs="Times New Roman"/>
          <w:color w:val="auto"/>
          <w:sz w:val="22"/>
          <w:szCs w:val="22"/>
          <w:highlight w:val="none"/>
        </w:rPr>
        <w:t>对承包人超出施工设计图纸范围或因承包人的原因造成返工的工程量，造价工程师均不予计量。</w:t>
      </w:r>
    </w:p>
    <w:p w14:paraId="48E82757">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62.8  </w:t>
      </w:r>
      <w:r>
        <w:rPr>
          <w:rFonts w:hint="default" w:ascii="Times New Roman" w:hAnsi="Times New Roman" w:cs="Times New Roman"/>
          <w:b/>
          <w:bCs/>
          <w:color w:val="auto"/>
          <w:sz w:val="22"/>
          <w:szCs w:val="22"/>
          <w:highlight w:val="none"/>
          <w:u w:val="dotted"/>
        </w:rPr>
        <w:t xml:space="preserve">                                                                                                        </w:t>
      </w:r>
    </w:p>
    <w:p w14:paraId="7EE4B06E">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36768" behindDoc="0" locked="0" layoutInCell="1" allowOverlap="1">
                <wp:simplePos x="0" y="0"/>
                <wp:positionH relativeFrom="column">
                  <wp:posOffset>-114300</wp:posOffset>
                </wp:positionH>
                <wp:positionV relativeFrom="paragraph">
                  <wp:posOffset>24130</wp:posOffset>
                </wp:positionV>
                <wp:extent cx="914400" cy="494030"/>
                <wp:effectExtent l="0" t="0" r="0" b="0"/>
                <wp:wrapNone/>
                <wp:docPr id="277" name="文本框 277"/>
                <wp:cNvGraphicFramePr/>
                <a:graphic xmlns:a="http://schemas.openxmlformats.org/drawingml/2006/main">
                  <a:graphicData uri="http://schemas.microsoft.com/office/word/2010/wordprocessingShape">
                    <wps:wsp>
                      <wps:cNvSpPr txBox="1"/>
                      <wps:spPr>
                        <a:xfrm>
                          <a:off x="0" y="0"/>
                          <a:ext cx="914400" cy="494030"/>
                        </a:xfrm>
                        <a:prstGeom prst="rect">
                          <a:avLst/>
                        </a:prstGeom>
                        <a:noFill/>
                        <a:ln>
                          <a:noFill/>
                        </a:ln>
                        <a:effectLst/>
                      </wps:spPr>
                      <wps:txbx>
                        <w:txbxContent>
                          <w:p w14:paraId="2FA63BE1">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各项工作价款的计算</w:t>
                            </w:r>
                          </w:p>
                        </w:txbxContent>
                      </wps:txbx>
                      <wps:bodyPr wrap="square" upright="1"/>
                    </wps:wsp>
                  </a:graphicData>
                </a:graphic>
              </wp:anchor>
            </w:drawing>
          </mc:Choice>
          <mc:Fallback>
            <w:pict>
              <v:shape id="_x0000_s1026" o:spid="_x0000_s1026" o:spt="202" type="#_x0000_t202" style="position:absolute;left:0pt;margin-left:-9pt;margin-top:1.9pt;height:38.9pt;width:72pt;z-index:251936768;mso-width-relative:page;mso-height-relative:page;" filled="f" stroked="f" coordsize="21600,21600" o:gfxdata="UEsDBAoAAAAAAIdO4kAAAAAAAAAAAAAAAAAEAAAAZHJzL1BLAwQUAAAACACHTuJAXa9altQAAAAI&#10;AQAADwAAAGRycy9kb3ducmV2LnhtbE2PQU+DQBCF7yb+h82YeGt3qUooZehB41VjqybetjAFIjtL&#10;2G3Bf+/0pMeXN3nzfcV2dr060xg6zwjJ0oAirnzdcYPwvn9eZKBCtFzb3jMh/FCAbXl9Vdi89hO/&#10;0XkXGyUjHHKL0MY45FqHqiVnw9IPxNId/ehslDg2uh7tJOOu1ytjUu1sx/KhtQM9tlR9704O4ePl&#10;+PV5b16bJ/cwTH42mt1aI97eJGYDKtIc/47hgi/oUArTwZ+4DqpHWCSZuESEOzG49KtU8gEhS1LQ&#10;ZaH/C5S/UEsDBBQAAAAIAIdO4kABwmfsvgEAAG0DAAAOAAAAZHJzL2Uyb0RvYy54bWytU0tu2zAQ&#10;3RfIHQjuY8qukTSC5QCFkW6KtEDaA9DUyCIgfsqhLfkC7Q266qb7nsvn6JBS3DTdZNENNZzP47w3&#10;o9XtYDp2gIDa2YrPZwVnYJWrtd1V/POnu8s3nGGUtpads1DxIyC/XV+8WvW+hIVrXVdDYARisex9&#10;xdsYfSkEqhaMxJnzYCnYuGBkpGvYiTrIntBNJxZFcSV6F2ofnAJE8m7GIJ8Qw0sAXdNoBRun9gZs&#10;HFEDdDISJWy1R77O3TYNqPihaRAi6ypOTGM+6RGyt+kU65Usd0H6VqupBfmSFp5xMlJbevQMtZFR&#10;sn3Q/0AZrYJD18SZckaMRLIixGJePNPmoZUeMheSGv1ZdPx/sOr+8DEwXVd8cX3NmZWGRn76/u30&#10;49fp51eWnCRR77GkzAdPuXF46wZanEc/kjMxH5pg0pc4MYqTwMezwDBEpsh5M18uC4ooCi1vlsXr&#10;PADxp9gHjO/AGZaMigeaX5ZVHt5jpEYo9TElvWXdne66PMPO/uWgxNEDeQmm6sRj7DdZcdgOE7mt&#10;q4/EradFqDh+2csAnO190LuW2shcRSqhKeQmpo1JY356J/vpX7L+D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F2vWpbUAAAACAEAAA8AAAAAAAAAAQAgAAAAIgAAAGRycy9kb3ducmV2LnhtbFBLAQIU&#10;ABQAAAAIAIdO4kABwmfsvgEAAG0DAAAOAAAAAAAAAAEAIAAAACMBAABkcnMvZTJvRG9jLnhtbFBL&#10;BQYAAAAABgAGAFkBAABTBQAAAAA=&#10;">
                <v:fill on="f" focussize="0,0"/>
                <v:stroke on="f"/>
                <v:imagedata o:title=""/>
                <o:lock v:ext="edit" aspectratio="f"/>
                <v:textbox>
                  <w:txbxContent>
                    <w:p w14:paraId="2FA63BE1">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各项工作价款的计算</w:t>
                      </w:r>
                    </w:p>
                  </w:txbxContent>
                </v:textbox>
              </v:shape>
            </w:pict>
          </mc:Fallback>
        </mc:AlternateContent>
      </w:r>
      <w:r>
        <w:rPr>
          <w:rFonts w:hint="default" w:ascii="Times New Roman" w:hAnsi="Times New Roman" w:cs="Times New Roman"/>
          <w:color w:val="auto"/>
          <w:sz w:val="22"/>
          <w:szCs w:val="22"/>
          <w:highlight w:val="none"/>
        </w:rPr>
        <w:t>除按照第69条至第73条、第76条规定所做的调整外，每项工作所适用的单价</w:t>
      </w:r>
      <w:r>
        <w:rPr>
          <w:rFonts w:hint="default" w:ascii="Times New Roman" w:hAnsi="Times New Roman" w:cs="Times New Roman"/>
          <w:color w:val="auto"/>
          <w:sz w:val="22"/>
          <w:szCs w:val="22"/>
          <w:highlight w:val="none"/>
          <w:lang w:eastAsia="zh-CN"/>
        </w:rPr>
        <w:t>（</w:t>
      </w:r>
      <w:r>
        <w:rPr>
          <w:rFonts w:hint="default" w:ascii="Times New Roman" w:hAnsi="Times New Roman" w:cs="Times New Roman"/>
          <w:color w:val="auto"/>
          <w:sz w:val="22"/>
          <w:szCs w:val="22"/>
          <w:highlight w:val="none"/>
        </w:rPr>
        <w:t>费率</w:t>
      </w:r>
      <w:r>
        <w:rPr>
          <w:rFonts w:hint="default" w:ascii="Times New Roman" w:hAnsi="Times New Roman" w:cs="Times New Roman"/>
          <w:color w:val="auto"/>
          <w:sz w:val="22"/>
          <w:szCs w:val="22"/>
          <w:highlight w:val="none"/>
          <w:lang w:eastAsia="zh-CN"/>
        </w:rPr>
        <w:t>）</w:t>
      </w:r>
      <w:r>
        <w:rPr>
          <w:rFonts w:hint="default" w:ascii="Times New Roman" w:hAnsi="Times New Roman" w:cs="Times New Roman"/>
          <w:color w:val="auto"/>
          <w:sz w:val="22"/>
          <w:szCs w:val="22"/>
          <w:highlight w:val="none"/>
        </w:rPr>
        <w:t>或合价应按照合同约定的该项工作的单价（费率）或合价，并按照本条规定计量得到的工程量与适用的单价（费率）或合价的乘积确定该项工作的价款。造价工程师根据各个支付期所有各项工作的价款计算该支付期工程款，并将各支付期的价款汇总计算合同价款。</w:t>
      </w:r>
    </w:p>
    <w:p w14:paraId="3D4143B2">
      <w:pPr>
        <w:pStyle w:val="15"/>
        <w:tabs>
          <w:tab w:val="left" w:pos="1620"/>
        </w:tabs>
        <w:adjustRightInd w:val="0"/>
        <w:snapToGrid w:val="0"/>
        <w:spacing w:line="420" w:lineRule="exact"/>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37A3F693">
      <w:pPr>
        <w:pStyle w:val="15"/>
        <w:tabs>
          <w:tab w:val="left" w:pos="540"/>
        </w:tabs>
        <w:adjustRightInd w:val="0"/>
        <w:snapToGrid w:val="0"/>
        <w:spacing w:before="240" w:beforeLines="100" w:line="420" w:lineRule="exact"/>
        <w:outlineLvl w:val="2"/>
        <w:rPr>
          <w:rFonts w:hint="default" w:ascii="Times New Roman" w:hAnsi="Times New Roman" w:cs="Times New Roman"/>
          <w:b/>
          <w:bCs/>
          <w:dstrike/>
          <w:color w:val="auto"/>
          <w:sz w:val="22"/>
          <w:szCs w:val="22"/>
          <w:highlight w:val="none"/>
        </w:rPr>
      </w:pPr>
      <w:bookmarkStart w:id="227" w:name="_Toc16468"/>
      <w:bookmarkStart w:id="228" w:name="_Toc469384047"/>
      <w:r>
        <w:rPr>
          <w:rFonts w:hint="default" w:ascii="Times New Roman" w:hAnsi="Times New Roman" w:cs="Times New Roman"/>
          <w:b/>
          <w:bCs/>
          <w:color w:val="auto"/>
          <w:sz w:val="22"/>
          <w:szCs w:val="22"/>
          <w:highlight w:val="none"/>
        </w:rPr>
        <w:t>★63  暂列金额</w:t>
      </w:r>
      <w:bookmarkEnd w:id="227"/>
      <w:bookmarkEnd w:id="228"/>
    </w:p>
    <w:p w14:paraId="7CA5F49A">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63.1</w:t>
      </w:r>
    </w:p>
    <w:p w14:paraId="2E741CD9">
      <w:pPr>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37792" behindDoc="0" locked="0" layoutInCell="1" allowOverlap="1">
                <wp:simplePos x="0" y="0"/>
                <wp:positionH relativeFrom="column">
                  <wp:posOffset>-228600</wp:posOffset>
                </wp:positionH>
                <wp:positionV relativeFrom="paragraph">
                  <wp:posOffset>95250</wp:posOffset>
                </wp:positionV>
                <wp:extent cx="1143000" cy="688340"/>
                <wp:effectExtent l="0" t="0" r="0" b="0"/>
                <wp:wrapNone/>
                <wp:docPr id="278" name="文本框 278"/>
                <wp:cNvGraphicFramePr/>
                <a:graphic xmlns:a="http://schemas.openxmlformats.org/drawingml/2006/main">
                  <a:graphicData uri="http://schemas.microsoft.com/office/word/2010/wordprocessingShape">
                    <wps:wsp>
                      <wps:cNvSpPr txBox="1"/>
                      <wps:spPr>
                        <a:xfrm>
                          <a:off x="0" y="0"/>
                          <a:ext cx="1143000" cy="688340"/>
                        </a:xfrm>
                        <a:prstGeom prst="rect">
                          <a:avLst/>
                        </a:prstGeom>
                        <a:noFill/>
                        <a:ln>
                          <a:noFill/>
                        </a:ln>
                        <a:effectLst/>
                      </wps:spPr>
                      <wps:txbx>
                        <w:txbxContent>
                          <w:p w14:paraId="4C36C67B">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暂列金额的用</w:t>
                            </w:r>
                          </w:p>
                          <w:p w14:paraId="7ACC13DB">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途</w:t>
                            </w:r>
                          </w:p>
                        </w:txbxContent>
                      </wps:txbx>
                      <wps:bodyPr wrap="square" upright="1"/>
                    </wps:wsp>
                  </a:graphicData>
                </a:graphic>
              </wp:anchor>
            </w:drawing>
          </mc:Choice>
          <mc:Fallback>
            <w:pict>
              <v:shape id="_x0000_s1026" o:spid="_x0000_s1026" o:spt="202" type="#_x0000_t202" style="position:absolute;left:0pt;margin-left:-18pt;margin-top:7.5pt;height:54.2pt;width:90pt;z-index:251937792;mso-width-relative:page;mso-height-relative:page;" filled="f" stroked="f" coordsize="21600,21600" o:gfxdata="UEsDBAoAAAAAAIdO4kAAAAAAAAAAAAAAAAAEAAAAZHJzL1BLAwQUAAAACACHTuJAb4CMM9UAAAAK&#10;AQAADwAAAGRycy9kb3ducmV2LnhtbE1Py07DMBC8I/EP1iJxa+22aQUhTg8griBaQOK2jbdJRLyO&#10;YrcJf8/2BKed1YzmUWwn36kzDbENbGExN6CIq+Bari28759nd6BiQnbYBSYLPxRhW15fFZi7MPIb&#10;nXepVmLCMUcLTUp9rnWsGvIY56EnFu4YBo9J3qHWbsBRzH2nl8ZstMeWJaHBnh4bqr53J2/h4+X4&#10;9ZmZ1/rJr/sxTEazv9fW3t4szAOoRFP6E8OlvlSHUjodwoldVJ2F2WojW5IQa7kXQZYJOAhYrjLQ&#10;ZaH/Tyh/AVBLAwQUAAAACACHTuJAWXyJsr4BAABuAwAADgAAAGRycy9lMm9Eb2MueG1srVNLbtsw&#10;EN0XyB0I7mPJTpAaguUAhZFsgrZA2gPQ1NAiIH7KoS35Au0Nuuqm+57L5+iQUtw03WTRDTWcz+O8&#10;N6PV7WA6doCA2tmaz2clZ2Cla7Td1fzzp7vLJWcYhW1E5yzU/AjIb9cXb1a9r2DhWtc1EBiBWKx6&#10;X/M2Rl8VBcoWjMCZ82ApqFwwItI17IomiJ7QTVcsyvKm6F1ofHASEMm7GYN8QgyvAXRKaQkbJ/cG&#10;bBxRA3QiEiVstUe+zt0qBTJ+UAohsq7mxDTmkx4he5vOYr0S1S4I32o5tSBe08ILTkZoS4+eoTYi&#10;CrYP+h8oo2Vw6FScSWeKkUhWhFjMyxfaPLbCQ+ZCUqM/i47/D1a+P3wMTDc1X7ylwVthaOSn799O&#10;P36dfn5lyUkS9R4rynz0lBuHd26gxXnyIzkT80EFk77EiVGcBD6eBYYhMpmK5tdXZUkhSbGb5fLq&#10;Ok+g+FPtA8Z7cIYlo+aBBph1FYcHjNQJpT6lpMesu9Ndl4fY2b8clDh6IG/BVJ2IjA0nKw7bYWK3&#10;dc2RyPW0CTXHL3sRgLO9D3rXUhuZbJFKaAy5iWll0pyf38l+/pusfw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vgIwz1QAAAAoBAAAPAAAAAAAAAAEAIAAAACIAAABkcnMvZG93bnJldi54bWxQSwEC&#10;FAAUAAAACACHTuJAWXyJsr4BAABuAwAADgAAAAAAAAABACAAAAAkAQAAZHJzL2Uyb0RvYy54bWxQ&#10;SwUGAAAAAAYABgBZAQAAVAUAAAAA&#10;">
                <v:fill on="f" focussize="0,0"/>
                <v:stroke on="f"/>
                <v:imagedata o:title=""/>
                <o:lock v:ext="edit" aspectratio="f"/>
                <v:textbox>
                  <w:txbxContent>
                    <w:p w14:paraId="4C36C67B">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暂列金额的用</w:t>
                      </w:r>
                    </w:p>
                    <w:p w14:paraId="7ACC13DB">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途</w:t>
                      </w:r>
                    </w:p>
                  </w:txbxContent>
                </v:textbox>
              </v:shape>
            </w:pict>
          </mc:Fallback>
        </mc:AlternateContent>
      </w:r>
      <w:r>
        <w:rPr>
          <w:rFonts w:hint="default" w:ascii="Times New Roman" w:hAnsi="Times New Roman" w:cs="Times New Roman"/>
          <w:color w:val="auto"/>
          <w:sz w:val="22"/>
          <w:szCs w:val="22"/>
          <w:highlight w:val="none"/>
        </w:rPr>
        <w:t>合同双方当事人应在专用条款中明确工程量清单中开列的已标价的暂列金额。</w:t>
      </w:r>
    </w:p>
    <w:p w14:paraId="74DC3B07">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暂列金额是用于实施合同工程的任一增加部分，或用于提供不可预见的货物、材料和工程设备，或用于工程变更等因素发生的工程款调增，以及经确认的索赔、现场签证，或用于提供相关服务或意外事件的一笔款项。</w:t>
      </w:r>
    </w:p>
    <w:p w14:paraId="350125BF">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63.2  </w:t>
      </w:r>
      <w:r>
        <w:rPr>
          <w:rFonts w:hint="default" w:ascii="Times New Roman" w:hAnsi="Times New Roman" w:cs="Times New Roman"/>
          <w:b/>
          <w:bCs/>
          <w:color w:val="auto"/>
          <w:sz w:val="22"/>
          <w:szCs w:val="22"/>
          <w:highlight w:val="none"/>
          <w:u w:val="dotted"/>
        </w:rPr>
        <w:t xml:space="preserve">                                                                                                        </w:t>
      </w:r>
    </w:p>
    <w:p w14:paraId="68D6F206">
      <w:pPr>
        <w:pStyle w:val="15"/>
        <w:adjustRightInd w:val="0"/>
        <w:snapToGrid w:val="0"/>
        <w:spacing w:line="420" w:lineRule="exact"/>
        <w:ind w:left="1575" w:leftChars="750"/>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38816" behindDoc="0" locked="0" layoutInCell="1" allowOverlap="1">
                <wp:simplePos x="0" y="0"/>
                <wp:positionH relativeFrom="column">
                  <wp:posOffset>-133350</wp:posOffset>
                </wp:positionH>
                <wp:positionV relativeFrom="paragraph">
                  <wp:posOffset>99695</wp:posOffset>
                </wp:positionV>
                <wp:extent cx="1028700" cy="553085"/>
                <wp:effectExtent l="0" t="0" r="0" b="0"/>
                <wp:wrapNone/>
                <wp:docPr id="279" name="文本框 279"/>
                <wp:cNvGraphicFramePr/>
                <a:graphic xmlns:a="http://schemas.openxmlformats.org/drawingml/2006/main">
                  <a:graphicData uri="http://schemas.microsoft.com/office/word/2010/wordprocessingShape">
                    <wps:wsp>
                      <wps:cNvSpPr txBox="1"/>
                      <wps:spPr>
                        <a:xfrm>
                          <a:off x="0" y="0"/>
                          <a:ext cx="1028700" cy="553085"/>
                        </a:xfrm>
                        <a:prstGeom prst="rect">
                          <a:avLst/>
                        </a:prstGeom>
                        <a:noFill/>
                        <a:ln>
                          <a:noFill/>
                        </a:ln>
                        <a:effectLst/>
                      </wps:spPr>
                      <wps:txbx>
                        <w:txbxContent>
                          <w:p w14:paraId="46A415CF">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暂列金额的支</w:t>
                            </w:r>
                          </w:p>
                          <w:p w14:paraId="374BB25B">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付</w:t>
                            </w:r>
                          </w:p>
                        </w:txbxContent>
                      </wps:txbx>
                      <wps:bodyPr wrap="square" upright="1"/>
                    </wps:wsp>
                  </a:graphicData>
                </a:graphic>
              </wp:anchor>
            </w:drawing>
          </mc:Choice>
          <mc:Fallback>
            <w:pict>
              <v:shape id="_x0000_s1026" o:spid="_x0000_s1026" o:spt="202" type="#_x0000_t202" style="position:absolute;left:0pt;margin-left:-10.5pt;margin-top:7.85pt;height:43.55pt;width:81pt;z-index:251938816;mso-width-relative:page;mso-height-relative:page;" filled="f" stroked="f" coordsize="21600,21600" o:gfxdata="UEsDBAoAAAAAAIdO4kAAAAAAAAAAAAAAAAAEAAAAZHJzL1BLAwQUAAAACACHTuJAxLfJn9YAAAAK&#10;AQAADwAAAGRycy9kb3ducmV2LnhtbE2PQU/DMAyF70j7D5GRuG1Jq41tXdMdhriCGAyJW9Z4bUXj&#10;VE22ln+Pe4Kb7ff0/L18P7pW3LAPjScNyUKBQCq9bajS8PH+PN+ACNGQNa0n1PCDAfbF7C43mfUD&#10;veHtGCvBIRQyo6GOscukDGWNzoSF75BYu/jemchrX0nbm4HDXStTpR6lMw3xh9p0eKix/D5enYbT&#10;y+Xrc6leqye36gY/KkluK7V+uE/UDkTEMf6ZYcJndCiY6eyvZINoNczThLtEFlZrEJNhOR3OPKh0&#10;A7LI5f8KxS9QSwMEFAAAAAgAh07iQOvbMCS8AQAAbgMAAA4AAABkcnMvZTJvRG9jLnhtbK1TS27b&#10;MBDdF+gdCO5jKg7cuILlAIWRboq2QNoD0NTIIsBfObQlX6C9QVfddN9z+RwdSorz6SaLbqjhfB7n&#10;vRmtbnpr2AEiau8qfjkrOAOnfK3druJfv9xeLDnDJF0tjXdQ8SMgv1m/frXqQglz33pTQ2QE4rDs&#10;QsXblEIpBKoWrMSZD+Ao2PhoZaJr3Ik6yo7QrRHzongjOh/rEL0CRPJuxiCfEONLAH3TaAUbr/YW&#10;XBpRIxiZiBK2OiBfD902Daj0qWkQEjMVJ6ZpOOkRsrf5FOuVLHdRhlarqQX5khaecbJSO3r0DLWR&#10;SbJ91P9AWa2iR9+kmfJWjEQGRYjFZfFMm7tWBhi4kNQYzqLj/4NVHw+fI9N1xefXbzlz0tLITz9/&#10;nH79Of3+zrKTJOoClpR5Fyg39e98T4tz70dyZuZ9E23+EidGcRL4eBYY+sRULirmy+uCQopii8VV&#10;sVxkGPFQHSKm9+Aty0bFIw1w0FUePmAaU+9T8mPO32pjhiEa98RBmKMHhi2YqjORseFspX7bT+y2&#10;vj4SuY42oeL4bS8jcLYPUe9aamMgK3IJjWHod1qZPOfHd7If/ybrv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MS3yZ/WAAAACgEAAA8AAAAAAAAAAQAgAAAAIgAAAGRycy9kb3ducmV2LnhtbFBLAQIU&#10;ABQAAAAIAIdO4kDr2zAkvAEAAG4DAAAOAAAAAAAAAAEAIAAAACUBAABkcnMvZTJvRG9jLnhtbFBL&#10;BQYAAAAABgAGAFkBAABTBQAAAAA=&#10;">
                <v:fill on="f" focussize="0,0"/>
                <v:stroke on="f"/>
                <v:imagedata o:title=""/>
                <o:lock v:ext="edit" aspectratio="f"/>
                <v:textbox>
                  <w:txbxContent>
                    <w:p w14:paraId="46A415CF">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暂列金额的支</w:t>
                      </w:r>
                    </w:p>
                    <w:p w14:paraId="374BB25B">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付</w:t>
                      </w:r>
                    </w:p>
                  </w:txbxContent>
                </v:textbox>
              </v:shape>
            </w:pict>
          </mc:Fallback>
        </mc:AlternateContent>
      </w:r>
      <w:r>
        <w:rPr>
          <w:rFonts w:hint="default" w:ascii="Times New Roman" w:hAnsi="Times New Roman" w:cs="Times New Roman"/>
          <w:color w:val="auto"/>
          <w:sz w:val="22"/>
          <w:szCs w:val="22"/>
          <w:highlight w:val="none"/>
        </w:rPr>
        <w:t>经发包人批准后，监理工程师应就承包人实施第63.1款规定的工作发出书面指令。承包人应就此项指令提出所需价款，经造价工程师核实并由其报发包人确认后，向承包人支付相关款项。</w:t>
      </w:r>
    </w:p>
    <w:p w14:paraId="79CF9B40">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63.3  </w:t>
      </w:r>
      <w:r>
        <w:rPr>
          <w:rFonts w:hint="default" w:ascii="Times New Roman" w:hAnsi="Times New Roman" w:cs="Times New Roman"/>
          <w:b/>
          <w:bCs/>
          <w:color w:val="auto"/>
          <w:sz w:val="22"/>
          <w:szCs w:val="22"/>
          <w:highlight w:val="none"/>
          <w:u w:val="dotted"/>
        </w:rPr>
        <w:t xml:space="preserve">                                                                                                        </w:t>
      </w:r>
    </w:p>
    <w:p w14:paraId="367236D2">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39840" behindDoc="0" locked="0" layoutInCell="1" allowOverlap="1">
                <wp:simplePos x="0" y="0"/>
                <wp:positionH relativeFrom="column">
                  <wp:posOffset>-114300</wp:posOffset>
                </wp:positionH>
                <wp:positionV relativeFrom="paragraph">
                  <wp:posOffset>15875</wp:posOffset>
                </wp:positionV>
                <wp:extent cx="914400" cy="396240"/>
                <wp:effectExtent l="0" t="0" r="0" b="0"/>
                <wp:wrapNone/>
                <wp:docPr id="280" name="文本框 280"/>
                <wp:cNvGraphicFramePr/>
                <a:graphic xmlns:a="http://schemas.openxmlformats.org/drawingml/2006/main">
                  <a:graphicData uri="http://schemas.microsoft.com/office/word/2010/wordprocessingShape">
                    <wps:wsp>
                      <wps:cNvSpPr txBox="1"/>
                      <wps:spPr>
                        <a:xfrm>
                          <a:off x="0" y="0"/>
                          <a:ext cx="914400" cy="396240"/>
                        </a:xfrm>
                        <a:prstGeom prst="rect">
                          <a:avLst/>
                        </a:prstGeom>
                        <a:noFill/>
                        <a:ln>
                          <a:noFill/>
                        </a:ln>
                        <a:effectLst/>
                      </wps:spPr>
                      <wps:txbx>
                        <w:txbxContent>
                          <w:p w14:paraId="4524CF3F">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提供暂列金额支付票据</w:t>
                            </w:r>
                          </w:p>
                        </w:txbxContent>
                      </wps:txbx>
                      <wps:bodyPr wrap="square" upright="1"/>
                    </wps:wsp>
                  </a:graphicData>
                </a:graphic>
              </wp:anchor>
            </w:drawing>
          </mc:Choice>
          <mc:Fallback>
            <w:pict>
              <v:shape id="_x0000_s1026" o:spid="_x0000_s1026" o:spt="202" type="#_x0000_t202" style="position:absolute;left:0pt;margin-left:-9pt;margin-top:1.25pt;height:31.2pt;width:72pt;z-index:251939840;mso-width-relative:page;mso-height-relative:page;" filled="f" stroked="f" coordsize="21600,21600" o:gfxdata="UEsDBAoAAAAAAIdO4kAAAAAAAAAAAAAAAAAEAAAAZHJzL1BLAwQUAAAACACHTuJAD8/wcNUAAAAI&#10;AQAADwAAAGRycy9kb3ducmV2LnhtbE2PwW7CMBBE75X6D9ZW4gZ2IoggzYZDq16pSmml3ky8JFHj&#10;dRQbkv59zQmOoxnNvCm2k+3EhQbfOkZIFgoEceVMyzXC4fNtvgbhg2ajO8eE8EcetuXjQ6Fz40b+&#10;oMs+1CKWsM81QhNCn0vpq4as9gvXE0fv5AarQ5RDLc2gx1huO5kqlUmrW44Lje7ppaHqd3+2CF+7&#10;08/3Ur3Xr3bVj25Sku1GIs6eEvUMItAUbmG44kd0KCPT0Z3ZeNEhzJN1/BIQ0hWIq59mUR8RsuUG&#10;ZFnI+wPlP1BLAwQUAAAACACHTuJAXKuYDbwBAABtAwAADgAAAGRycy9lMm9Eb2MueG1srVNLbtsw&#10;EN0XyB0I7mPJjhEkguUAhZFsirZA2gPQ1MgiwF85tCVfoL1BV91033P5HB1Sipummyy6oYbzeZz3&#10;ZrS6G4xmBwionK35fFZyBla6RtldzT9/ur+84QyjsI3QzkLNj4D8bn3xZtX7Chauc7qBwAjEYtX7&#10;mncx+qooUHZgBM6cB0vB1gUjIl3DrmiC6And6GJRltdF70Ljg5OASN7NGOQTYngNoGtbJWHj5N6A&#10;jSNqAC0iUcJOeeTr3G3bgowf2hYhMl1zYhrzSY+QvU1nsV6JaheE75ScWhCvaeEFJyOUpUfPUBsR&#10;BdsH9Q+UUTI4dG2cSWeKkUhWhFjMyxfaPHbCQ+ZCUqM/i47/D1a+P3wMTDU1X9yQJlYYGvnp+7fT&#10;j1+nn19ZcpJEvceKMh895cbhrRtocZ78SM7EfGiDSV/ixChOYMezwDBEJsl5O18uS4pICl3dXi+W&#10;Gb34U+wDxgdwhiWj5oHml2UVh3cYqRFKfUpJb1l3r7TOM9T2Lwcljh7ISzBVJx5jv8mKw3aYyG1d&#10;cyRuPS1CzfHLXgTgbO+D2nXURuZapBKaQm5i2pg05ud3sp//Je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D8/wcNUAAAAIAQAADwAAAAAAAAABACAAAAAiAAAAZHJzL2Rvd25yZXYueG1sUEsBAhQA&#10;FAAAAAgAh07iQFyrmA28AQAAbQMAAA4AAAAAAAAAAQAgAAAAJAEAAGRycy9lMm9Eb2MueG1sUEsF&#10;BgAAAAAGAAYAWQEAAFIFAAAAAA==&#10;">
                <v:fill on="f" focussize="0,0"/>
                <v:stroke on="f"/>
                <v:imagedata o:title=""/>
                <o:lock v:ext="edit" aspectratio="f"/>
                <v:textbox>
                  <w:txbxContent>
                    <w:p w14:paraId="4524CF3F">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提供暂列金额支付票据</w:t>
                      </w:r>
                    </w:p>
                  </w:txbxContent>
                </v:textbox>
              </v:shape>
            </w:pict>
          </mc:Fallback>
        </mc:AlternateContent>
      </w:r>
      <w:r>
        <w:rPr>
          <w:rFonts w:hint="default" w:ascii="Times New Roman" w:hAnsi="Times New Roman" w:cs="Times New Roman"/>
          <w:color w:val="auto"/>
          <w:sz w:val="22"/>
          <w:szCs w:val="22"/>
          <w:highlight w:val="none"/>
        </w:rPr>
        <w:t>造价工程师有要求时，承包人应提供使用暂列金额支付项目的所有报价单、发票、账单或收据。</w:t>
      </w:r>
    </w:p>
    <w:p w14:paraId="367775B3">
      <w:pPr>
        <w:pStyle w:val="15"/>
        <w:adjustRightInd w:val="0"/>
        <w:snapToGrid w:val="0"/>
        <w:spacing w:line="420" w:lineRule="exact"/>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418240C5">
      <w:pPr>
        <w:pStyle w:val="15"/>
        <w:tabs>
          <w:tab w:val="left" w:pos="540"/>
        </w:tabs>
        <w:adjustRightInd w:val="0"/>
        <w:snapToGrid w:val="0"/>
        <w:spacing w:before="240" w:beforeLines="100" w:line="420" w:lineRule="exact"/>
        <w:outlineLvl w:val="2"/>
        <w:rPr>
          <w:rFonts w:hint="default" w:ascii="Times New Roman" w:hAnsi="Times New Roman" w:cs="Times New Roman"/>
          <w:b/>
          <w:bCs/>
          <w:dstrike/>
          <w:color w:val="auto"/>
          <w:sz w:val="22"/>
          <w:szCs w:val="22"/>
          <w:highlight w:val="none"/>
        </w:rPr>
      </w:pPr>
      <w:bookmarkStart w:id="229" w:name="_Toc469384048"/>
      <w:bookmarkStart w:id="230" w:name="_Toc27486"/>
      <w:r>
        <w:rPr>
          <w:rFonts w:hint="default" w:ascii="Times New Roman" w:hAnsi="Times New Roman" w:cs="Times New Roman"/>
          <w:b/>
          <w:bCs/>
          <w:color w:val="auto"/>
          <w:sz w:val="22"/>
          <w:szCs w:val="22"/>
          <w:highlight w:val="none"/>
        </w:rPr>
        <w:t>★64  计日工</w:t>
      </w:r>
      <w:bookmarkEnd w:id="229"/>
      <w:bookmarkEnd w:id="230"/>
    </w:p>
    <w:p w14:paraId="160D6A6C">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64.1</w:t>
      </w:r>
    </w:p>
    <w:p w14:paraId="5F3539C7">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40864" behindDoc="0" locked="0" layoutInCell="1" allowOverlap="1">
                <wp:simplePos x="0" y="0"/>
                <wp:positionH relativeFrom="column">
                  <wp:posOffset>-114300</wp:posOffset>
                </wp:positionH>
                <wp:positionV relativeFrom="paragraph">
                  <wp:posOffset>15875</wp:posOffset>
                </wp:positionV>
                <wp:extent cx="914400" cy="387985"/>
                <wp:effectExtent l="0" t="0" r="0" b="0"/>
                <wp:wrapNone/>
                <wp:docPr id="281" name="文本框 281"/>
                <wp:cNvGraphicFramePr/>
                <a:graphic xmlns:a="http://schemas.openxmlformats.org/drawingml/2006/main">
                  <a:graphicData uri="http://schemas.microsoft.com/office/word/2010/wordprocessingShape">
                    <wps:wsp>
                      <wps:cNvSpPr txBox="1"/>
                      <wps:spPr>
                        <a:xfrm>
                          <a:off x="0" y="0"/>
                          <a:ext cx="914400" cy="387985"/>
                        </a:xfrm>
                        <a:prstGeom prst="rect">
                          <a:avLst/>
                        </a:prstGeom>
                        <a:noFill/>
                        <a:ln>
                          <a:noFill/>
                        </a:ln>
                        <a:effectLst/>
                      </wps:spPr>
                      <wps:txbx>
                        <w:txbxContent>
                          <w:p w14:paraId="0341F36B">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计日工单价的用途</w:t>
                            </w:r>
                          </w:p>
                        </w:txbxContent>
                      </wps:txbx>
                      <wps:bodyPr wrap="square" upright="1"/>
                    </wps:wsp>
                  </a:graphicData>
                </a:graphic>
              </wp:anchor>
            </w:drawing>
          </mc:Choice>
          <mc:Fallback>
            <w:pict>
              <v:shape id="_x0000_s1026" o:spid="_x0000_s1026" o:spt="202" type="#_x0000_t202" style="position:absolute;left:0pt;margin-left:-9pt;margin-top:1.25pt;height:30.55pt;width:72pt;z-index:251940864;mso-width-relative:page;mso-height-relative:page;" filled="f" stroked="f" coordsize="21600,21600" o:gfxdata="UEsDBAoAAAAAAIdO4kAAAAAAAAAAAAAAAAAEAAAAZHJzL1BLAwQUAAAACACHTuJAUv8r0tUAAAAI&#10;AQAADwAAAGRycy9kb3ducmV2LnhtbE2PzW7CMBCE75V4B2uRegM7aYlomg0HUK9FpT9SbyZekqjx&#10;OooNCW9fc2qPoxnNfFNsJtuJCw2+dYyQLBUI4sqZlmuEj/eXxRqED5qN7hwTwpU8bMrZXaFz40Z+&#10;o8sh1CKWsM81QhNCn0vpq4as9kvXE0fv5AarQ5RDLc2gx1huO5kqlUmrW44Lje5p21D1czhbhM/X&#10;0/fXo9rXO7vqRzcpyfZJIt7PE/UMItAU/sJww4/oUEamozuz8aJDWCTr+CUgpCsQNz/Noj4iZA8Z&#10;yLKQ/w+Uv1BLAwQUAAAACACHTuJACQCuIb0BAABtAwAADgAAAGRycy9lMm9Eb2MueG1srVPNjtMw&#10;EL4j8Q6W79RpWaAbNV0JVcsFAdLCA7jOpLEU/+Bxm/QF4A04ceHOc/U5duxky7J72cNenPH8fJ7v&#10;m8nqajAdO0BA7WzF57OCM7DK1druKv7t6/WrJWcYpa1l5yxU/AjIr9YvX6x6X8LCta6rITACsVj2&#10;vuJtjL4UAlULRuLMebAUbFwwMtI17EQdZE/ophOLongrehdqH5wCRPJuxiCfEMNTAF3TaAUbp/YG&#10;bBxRA3QyEiVstUe+zt02Daj4uWkQIusqTkxjPukRsrfpFOuVLHdB+larqQX5lBYecDJSW3r0DLWR&#10;UbJ90I+gjFbBoWviTDkjRiJZEWIxLx5oc9NKD5kLSY3+LDo+H6z6dPgSmK4rvljOObPS0MhPv36e&#10;fv89/fnBkpMk6j2WlHnjKTcO791Ai3PnR3Im5kMTTPoSJ0ZxEvh4FhiGyBQ5L+cXFwVFFIVeL99d&#10;Lt8kFPGv2AeMH8AZloyKB5pfllUePmIcU+9S0lvWXeuuyzPs7H8Owhw9kJdgqk48xn6TFYftMJHb&#10;uvpI3HpahIrj970MwNneB71rqY3MVaQSmkLud9qYNOb7d7Lv/yXrW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FL/K9LVAAAACAEAAA8AAAAAAAAAAQAgAAAAIgAAAGRycy9kb3ducmV2LnhtbFBLAQIU&#10;ABQAAAAIAIdO4kAJAK4hvQEAAG0DAAAOAAAAAAAAAAEAIAAAACQBAABkcnMvZTJvRG9jLnhtbFBL&#10;BQYAAAAABgAGAFkBAABTBQAAAAA=&#10;">
                <v:fill on="f" focussize="0,0"/>
                <v:stroke on="f"/>
                <v:imagedata o:title=""/>
                <o:lock v:ext="edit" aspectratio="f"/>
                <v:textbox>
                  <w:txbxContent>
                    <w:p w14:paraId="0341F36B">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计日工单价的用途</w:t>
                      </w:r>
                    </w:p>
                  </w:txbxContent>
                </v:textbox>
              </v:shape>
            </w:pict>
          </mc:Fallback>
        </mc:AlternateContent>
      </w:r>
      <w:r>
        <w:rPr>
          <w:rFonts w:hint="default" w:ascii="Times New Roman" w:hAnsi="Times New Roman" w:cs="Times New Roman"/>
          <w:color w:val="auto"/>
          <w:sz w:val="22"/>
          <w:szCs w:val="22"/>
          <w:highlight w:val="none"/>
        </w:rPr>
        <w:t>承包人投标文件中填报的计日工单价或价格是用于实施发包人要求的合同以外零星工作项目所需的人工单价、材料、工程设备价格和施工设备机械台班单价。</w:t>
      </w:r>
    </w:p>
    <w:p w14:paraId="00AAA585">
      <w:pPr>
        <w:pStyle w:val="15"/>
        <w:adjustRightInd w:val="0"/>
        <w:snapToGrid w:val="0"/>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 xml:space="preserve">64.2 </w:t>
      </w:r>
      <w:r>
        <w:rPr>
          <w:rFonts w:hint="default" w:ascii="Times New Roman" w:hAnsi="Times New Roman" w:cs="Times New Roman"/>
          <w:color w:val="auto"/>
          <w:sz w:val="22"/>
          <w:szCs w:val="22"/>
          <w:highlight w:val="none"/>
        </w:rPr>
        <w:t xml:space="preserve"> </w:t>
      </w:r>
      <w:r>
        <w:rPr>
          <w:rFonts w:hint="default" w:ascii="Times New Roman" w:hAnsi="Times New Roman" w:cs="Times New Roman"/>
          <w:color w:val="auto"/>
          <w:sz w:val="22"/>
          <w:szCs w:val="22"/>
          <w:highlight w:val="none"/>
          <w:u w:val="dotted"/>
        </w:rPr>
        <w:t xml:space="preserve">                                                                                                        </w:t>
      </w:r>
    </w:p>
    <w:p w14:paraId="40D13E6B">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经发包人批准后，监理工程师应就使用计日工项目发出书面指令。</w:t>
      </w: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41888" behindDoc="0" locked="0" layoutInCell="1" allowOverlap="1">
                <wp:simplePos x="0" y="0"/>
                <wp:positionH relativeFrom="column">
                  <wp:posOffset>-114300</wp:posOffset>
                </wp:positionH>
                <wp:positionV relativeFrom="paragraph">
                  <wp:posOffset>14605</wp:posOffset>
                </wp:positionV>
                <wp:extent cx="914400" cy="412750"/>
                <wp:effectExtent l="0" t="0" r="0" b="0"/>
                <wp:wrapNone/>
                <wp:docPr id="282" name="文本框 282"/>
                <wp:cNvGraphicFramePr/>
                <a:graphic xmlns:a="http://schemas.openxmlformats.org/drawingml/2006/main">
                  <a:graphicData uri="http://schemas.microsoft.com/office/word/2010/wordprocessingShape">
                    <wps:wsp>
                      <wps:cNvSpPr txBox="1"/>
                      <wps:spPr>
                        <a:xfrm>
                          <a:off x="0" y="0"/>
                          <a:ext cx="914400" cy="412750"/>
                        </a:xfrm>
                        <a:prstGeom prst="rect">
                          <a:avLst/>
                        </a:prstGeom>
                        <a:noFill/>
                        <a:ln>
                          <a:noFill/>
                        </a:ln>
                        <a:effectLst/>
                      </wps:spPr>
                      <wps:txbx>
                        <w:txbxContent>
                          <w:p w14:paraId="414027C0">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计日工的确认</w:t>
                            </w:r>
                          </w:p>
                        </w:txbxContent>
                      </wps:txbx>
                      <wps:bodyPr wrap="square" upright="1"/>
                    </wps:wsp>
                  </a:graphicData>
                </a:graphic>
              </wp:anchor>
            </w:drawing>
          </mc:Choice>
          <mc:Fallback>
            <w:pict>
              <v:shape id="_x0000_s1026" o:spid="_x0000_s1026" o:spt="202" type="#_x0000_t202" style="position:absolute;left:0pt;margin-left:-9pt;margin-top:1.15pt;height:32.5pt;width:72pt;z-index:251941888;mso-width-relative:page;mso-height-relative:page;" filled="f" stroked="f" coordsize="21600,21600" o:gfxdata="UEsDBAoAAAAAAIdO4kAAAAAAAAAAAAAAAAAEAAAAZHJzL1BLAwQUAAAACACHTuJATW6Ma9YAAAAI&#10;AQAADwAAAGRycy9kb3ducmV2LnhtbE2PzU7DMBCE70h9B2uRuLV2UgglZNNDEVcqyo/EzY23SUS8&#10;jmK3CW9f90SPoxnNfFOsJ9uJEw2+dYyQLBQI4sqZlmuEz4/X+QqED5qN7hwTwh95WJezm0Lnxo38&#10;TqddqEUsYZ9rhCaEPpfSVw1Z7ReuJ47ewQ1WhyiHWppBj7HcdjJVKpNWtxwXGt3TpqHqd3e0CF9v&#10;h5/ve7WtX+xDP7pJSbZPEvHuNlHPIAJN4T8MF/yIDmVk2rsjGy86hHmyil8CQroEcfHTLOo9Qva4&#10;BFkW8vpAeQZQSwMEFAAAAAgAh07iQKDdjEm9AQAAbQMAAA4AAABkcnMvZTJvRG9jLnhtbK1TzY7T&#10;MBC+I/EOlu80aVRgiZquhKrlggBp2QdwnXFjKf7B4zbpC8AbcOLCnefqczB2smVZLnvg4ozn5/N8&#10;30zW16Pp2RECamcbvlyUnIGVrtV23/C7zzcvrjjDKGwremeh4SdAfr15/mw9+Boq17m+hcAIxGI9&#10;+IZ3Mfq6KFB2YAQunAdLQeWCEZGuYV+0QQyEbvqiKstXxeBC64OTgEje7RTkM2J4CqBTSkvYOnkw&#10;YOOEGqAXkShhpz3yTe5WKZDxo1IIkfUNJ6Yxn/QI2bt0Fpu1qPdB+E7LuQXxlBYecTJCW3r0ArUV&#10;UbBD0P9AGS2DQ6fiQjpTTESyIsRiWT7S5rYTHjIXkhr9RXT8f7Dyw/FTYLpteHVVcWaFoZGfv387&#10;//h1/vmVJSdJNHisKfPWU24c37qRFufej+RMzEcVTPoSJ0ZxEvh0ERjGyCQ53yxXq5IikkKrZfX6&#10;ZR5A8afYB4zvwBmWjIYHml+WVRzfY6RGKPU+Jb1l3Y3u+zzD3v7loMTJA3kJ5urEY+o3WXHcjTO5&#10;nWtPxG2gRWg4fjmIAJwdfND7jtrIXItUQlPITcwbk8b88E72w79k8x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Nboxr1gAAAAgBAAAPAAAAAAAAAAEAIAAAACIAAABkcnMvZG93bnJldi54bWxQSwEC&#10;FAAUAAAACACHTuJAoN2MSb0BAABtAwAADgAAAAAAAAABACAAAAAlAQAAZHJzL2Uyb0RvYy54bWxQ&#10;SwUGAAAAAAYABgBZAQAAVAUAAAAA&#10;">
                <v:fill on="f" focussize="0,0"/>
                <v:stroke on="f"/>
                <v:imagedata o:title=""/>
                <o:lock v:ext="edit" aspectratio="f"/>
                <v:textbox>
                  <w:txbxContent>
                    <w:p w14:paraId="414027C0">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计日工的确认</w:t>
                      </w:r>
                    </w:p>
                  </w:txbxContent>
                </v:textbox>
              </v:shape>
            </w:pict>
          </mc:Fallback>
        </mc:AlternateContent>
      </w:r>
      <w:r>
        <w:rPr>
          <w:rFonts w:hint="default" w:ascii="Times New Roman" w:hAnsi="Times New Roman" w:cs="Times New Roman"/>
          <w:color w:val="auto"/>
          <w:sz w:val="22"/>
          <w:szCs w:val="22"/>
          <w:highlight w:val="none"/>
        </w:rPr>
        <w:t>任一按照计日工方式计价的工作，承包人应在该项工作实施结束后的24小时内，向监理工程师提交有计日工记录的现场签证报告一式两份。</w:t>
      </w:r>
    </w:p>
    <w:p w14:paraId="4F05E5AC">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当此工作持续进行时，承包人应每天向监理工程师提交当天计日工记录完毕的现场签证报告。监理工程师在收到承包人提交现场签证报告后的2天内予以确认并由其报发包人批准后，将其中一份返还给承包人，作为计日工计价和支付的依据。监理工程师逾期未确认也未提出修改意见的，视为承包人提交的现场签证报告已被认可。</w:t>
      </w:r>
    </w:p>
    <w:p w14:paraId="5C514B16">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64.3  </w:t>
      </w:r>
      <w:r>
        <w:rPr>
          <w:rFonts w:hint="default" w:ascii="Times New Roman" w:hAnsi="Times New Roman" w:cs="Times New Roman"/>
          <w:b/>
          <w:bCs/>
          <w:color w:val="auto"/>
          <w:sz w:val="22"/>
          <w:szCs w:val="22"/>
          <w:highlight w:val="none"/>
          <w:u w:val="dotted"/>
        </w:rPr>
        <w:t xml:space="preserve">                                                                                                        </w:t>
      </w:r>
    </w:p>
    <w:p w14:paraId="6FAA5249">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42912" behindDoc="0" locked="0" layoutInCell="1" allowOverlap="1">
                <wp:simplePos x="0" y="0"/>
                <wp:positionH relativeFrom="column">
                  <wp:posOffset>-114300</wp:posOffset>
                </wp:positionH>
                <wp:positionV relativeFrom="paragraph">
                  <wp:posOffset>5080</wp:posOffset>
                </wp:positionV>
                <wp:extent cx="914400" cy="396240"/>
                <wp:effectExtent l="0" t="0" r="0" b="0"/>
                <wp:wrapNone/>
                <wp:docPr id="283" name="文本框 283"/>
                <wp:cNvGraphicFramePr/>
                <a:graphic xmlns:a="http://schemas.openxmlformats.org/drawingml/2006/main">
                  <a:graphicData uri="http://schemas.microsoft.com/office/word/2010/wordprocessingShape">
                    <wps:wsp>
                      <wps:cNvSpPr txBox="1"/>
                      <wps:spPr>
                        <a:xfrm>
                          <a:off x="0" y="0"/>
                          <a:ext cx="914400" cy="396240"/>
                        </a:xfrm>
                        <a:prstGeom prst="rect">
                          <a:avLst/>
                        </a:prstGeom>
                        <a:noFill/>
                        <a:ln>
                          <a:noFill/>
                        </a:ln>
                        <a:effectLst/>
                      </wps:spPr>
                      <wps:txbx>
                        <w:txbxContent>
                          <w:p w14:paraId="2A071B47">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计日工的支付</w:t>
                            </w:r>
                          </w:p>
                        </w:txbxContent>
                      </wps:txbx>
                      <wps:bodyPr wrap="square" upright="1"/>
                    </wps:wsp>
                  </a:graphicData>
                </a:graphic>
              </wp:anchor>
            </w:drawing>
          </mc:Choice>
          <mc:Fallback>
            <w:pict>
              <v:shape id="_x0000_s1026" o:spid="_x0000_s1026" o:spt="202" type="#_x0000_t202" style="position:absolute;left:0pt;margin-left:-9pt;margin-top:0.4pt;height:31.2pt;width:72pt;z-index:251942912;mso-width-relative:page;mso-height-relative:page;" filled="f" stroked="f" coordsize="21600,21600" o:gfxdata="UEsDBAoAAAAAAIdO4kAAAAAAAAAAAAAAAAAEAAAAZHJzL1BLAwQUAAAACACHTuJAqRQ059QAAAAH&#10;AQAADwAAAGRycy9kb3ducmV2LnhtbE2PwU7DMBBE70j8g7VI3Fo7AaI2zaYHEFcQLSBxc5NtEhGv&#10;o9htwt+zPcFxNKOZN8V2dr060xg6zwjJ0oAirnzdcYPwvn9erECFaLm2vWdC+KEA2/L6qrB57Sd+&#10;o/MuNkpKOOQWoY1xyLUOVUvOhqUfiMU7+tHZKHJsdD3aScpdr1NjMu1sx7LQ2oEeW6q+dyeH8PFy&#10;/Pq8N6/Nk3sYJj8bzW6tEW9vErMBFWmOf2G44As6lMJ08Ceug+oRFslKvkQEOXCx00zkASG7S0GX&#10;hf7PX/4CUEsDBBQAAAAIAIdO4kALra7TvgEAAG0DAAAOAAAAZHJzL2Uyb0RvYy54bWytU0tu2zAQ&#10;3RfoHQjua8qOESSC5QCBkW6KtkDaA9DUyCIgfsqhLfkC7Q266qb7nsvn6JBSnDTdZJENNZzP47w3&#10;o9XNYDp2gIDa2YrPZwVnYJWrtd1V/OuXu3dXnGGUtpads1DxIyC/Wb99s+p9CQvXuq6GwAjEYtn7&#10;ircx+lIIVC0YiTPnwVKwccHISNewE3WQPaGbTiyK4lL0LtQ+OAWI5N2MQT4hhpcAuqbRCjZO7Q3Y&#10;OKIG6GQkSthqj3ydu20aUPFT0yBE1lWcmMZ80iNkb9Mp1itZ7oL0rVZTC/IlLTzjZKS29OgZaiOj&#10;ZPug/4MyWgWHrokz5YwYiWRFiMW8eKbNfSs9ZC4kNfqz6Ph6sOrj4XNguq744uqCMysNjfz088fp&#10;15/T7+8sOUmi3mNJmfeecuNw6wZanAc/kjMxH5pg0pc4MYqTwMezwDBEpsh5PV8uC4ooCl1cXy6W&#10;eQDisdgHjO/BGZaMigeaX5ZVHj5gpEYo9SElvWXdne66PMPO/uOgxNEDeQmm6sRj7DdZcdgOE7mt&#10;q4/EradFqDh+28sAnO190LuW2shcRSqhKeQmpo1JY356J/vpX7L+C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kUNOfUAAAABwEAAA8AAAAAAAAAAQAgAAAAIgAAAGRycy9kb3ducmV2LnhtbFBLAQIU&#10;ABQAAAAIAIdO4kALra7TvgEAAG0DAAAOAAAAAAAAAAEAIAAAACMBAABkcnMvZTJvRG9jLnhtbFBL&#10;BQYAAAAABgAGAFkBAABTBQAAAAA=&#10;">
                <v:fill on="f" focussize="0,0"/>
                <v:stroke on="f"/>
                <v:imagedata o:title=""/>
                <o:lock v:ext="edit" aspectratio="f"/>
                <v:textbox>
                  <w:txbxContent>
                    <w:p w14:paraId="2A071B47">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计日工的支付</w:t>
                      </w:r>
                    </w:p>
                  </w:txbxContent>
                </v:textbox>
              </v:shape>
            </w:pict>
          </mc:Fallback>
        </mc:AlternateContent>
      </w:r>
      <w:r>
        <w:rPr>
          <w:rFonts w:hint="default" w:ascii="Times New Roman" w:hAnsi="Times New Roman" w:cs="Times New Roman"/>
          <w:color w:val="auto"/>
          <w:sz w:val="22"/>
          <w:szCs w:val="22"/>
          <w:highlight w:val="none"/>
        </w:rPr>
        <w:t>计日工工作，应从暂列金额中支付。造价工程师应按照监理工程师确认的现场签证报告核实该类项目的工程数量，并根据核实的工程数量和承包人投标文件中填报的计日工子目单价或价格的乘积计算、提出应付价款，经合同双方当事人确认后，与工程进度款同期支付。</w:t>
      </w:r>
    </w:p>
    <w:p w14:paraId="5F9BF0CE">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 xml:space="preserve">每个支付期末，承包人应按照第81.1款规定向发包人提交本期间所有计日工记录的签证汇总表，以说明本期间自己认为有权得到的计日工费用。 </w:t>
      </w:r>
    </w:p>
    <w:p w14:paraId="01FE2F82">
      <w:pPr>
        <w:pStyle w:val="15"/>
        <w:tabs>
          <w:tab w:val="left" w:pos="540"/>
        </w:tabs>
        <w:adjustRightInd w:val="0"/>
        <w:snapToGrid w:val="0"/>
        <w:spacing w:before="240" w:beforeLines="100"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u w:val="single"/>
        </w:rPr>
        <w:t xml:space="preserve">                                                                               </w:t>
      </w:r>
    </w:p>
    <w:p w14:paraId="55887FAA">
      <w:pPr>
        <w:pStyle w:val="15"/>
        <w:tabs>
          <w:tab w:val="left" w:pos="540"/>
        </w:tabs>
        <w:adjustRightInd w:val="0"/>
        <w:snapToGrid w:val="0"/>
        <w:spacing w:before="240" w:beforeLines="100" w:line="420" w:lineRule="exact"/>
        <w:outlineLvl w:val="2"/>
        <w:rPr>
          <w:rFonts w:hint="default" w:ascii="Times New Roman" w:hAnsi="Times New Roman" w:cs="Times New Roman"/>
          <w:b/>
          <w:bCs/>
          <w:dstrike/>
          <w:color w:val="auto"/>
          <w:sz w:val="22"/>
          <w:szCs w:val="22"/>
          <w:highlight w:val="none"/>
        </w:rPr>
      </w:pPr>
      <w:bookmarkStart w:id="231" w:name="_Toc469384049"/>
      <w:bookmarkStart w:id="232" w:name="_Toc2906"/>
      <w:r>
        <w:rPr>
          <w:rFonts w:hint="default" w:ascii="Times New Roman" w:hAnsi="Times New Roman" w:cs="Times New Roman"/>
          <w:b/>
          <w:bCs/>
          <w:color w:val="auto"/>
          <w:sz w:val="22"/>
          <w:szCs w:val="22"/>
          <w:highlight w:val="none"/>
        </w:rPr>
        <w:t>★65  暂估价</w:t>
      </w:r>
      <w:bookmarkEnd w:id="231"/>
      <w:bookmarkEnd w:id="232"/>
    </w:p>
    <w:p w14:paraId="22DBEC7B">
      <w:pPr>
        <w:pStyle w:val="15"/>
        <w:adjustRightInd w:val="0"/>
        <w:snapToGrid w:val="0"/>
        <w:spacing w:line="420" w:lineRule="exact"/>
        <w:ind w:left="1540" w:hanging="1540" w:hangingChars="7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43936" behindDoc="0" locked="0" layoutInCell="1" allowOverlap="1">
                <wp:simplePos x="0" y="0"/>
                <wp:positionH relativeFrom="column">
                  <wp:posOffset>-133350</wp:posOffset>
                </wp:positionH>
                <wp:positionV relativeFrom="paragraph">
                  <wp:posOffset>320040</wp:posOffset>
                </wp:positionV>
                <wp:extent cx="1047750" cy="483870"/>
                <wp:effectExtent l="0" t="0" r="0" b="0"/>
                <wp:wrapNone/>
                <wp:docPr id="284" name="文本框 284"/>
                <wp:cNvGraphicFramePr/>
                <a:graphic xmlns:a="http://schemas.openxmlformats.org/drawingml/2006/main">
                  <a:graphicData uri="http://schemas.microsoft.com/office/word/2010/wordprocessingShape">
                    <wps:wsp>
                      <wps:cNvSpPr txBox="1"/>
                      <wps:spPr>
                        <a:xfrm>
                          <a:off x="0" y="0"/>
                          <a:ext cx="1047750" cy="483870"/>
                        </a:xfrm>
                        <a:prstGeom prst="rect">
                          <a:avLst/>
                        </a:prstGeom>
                        <a:noFill/>
                        <a:ln>
                          <a:noFill/>
                        </a:ln>
                        <a:effectLst/>
                      </wps:spPr>
                      <wps:txbx>
                        <w:txbxContent>
                          <w:p w14:paraId="68593806">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招标暂估价项</w:t>
                            </w:r>
                          </w:p>
                          <w:p w14:paraId="7F03E6D1">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目的要求</w:t>
                            </w:r>
                          </w:p>
                          <w:p w14:paraId="36772E1A">
                            <w:pPr>
                              <w:rPr>
                                <w:rFonts w:ascii="楷体_GB2312" w:hAnsi="宋体" w:eastAsia="楷体_GB2312" w:cs="Times New Roman"/>
                                <w:b/>
                                <w:bCs/>
                                <w:color w:val="000000"/>
                                <w:sz w:val="18"/>
                                <w:szCs w:val="18"/>
                              </w:rPr>
                            </w:pPr>
                          </w:p>
                          <w:p w14:paraId="2A168488">
                            <w:pPr>
                              <w:rPr>
                                <w:rFonts w:cs="Times New Roman"/>
                                <w:sz w:val="18"/>
                                <w:szCs w:val="18"/>
                              </w:rPr>
                            </w:pPr>
                          </w:p>
                        </w:txbxContent>
                      </wps:txbx>
                      <wps:bodyPr wrap="square" upright="1"/>
                    </wps:wsp>
                  </a:graphicData>
                </a:graphic>
              </wp:anchor>
            </w:drawing>
          </mc:Choice>
          <mc:Fallback>
            <w:pict>
              <v:shape id="_x0000_s1026" o:spid="_x0000_s1026" o:spt="202" type="#_x0000_t202" style="position:absolute;left:0pt;margin-left:-10.5pt;margin-top:25.2pt;height:38.1pt;width:82.5pt;z-index:251943936;mso-width-relative:page;mso-height-relative:page;" filled="f" stroked="f" coordsize="21600,21600" o:gfxdata="UEsDBAoAAAAAAIdO4kAAAAAAAAAAAAAAAAAEAAAAZHJzL1BLAwQUAAAACACHTuJAr+f4+NcAAAAK&#10;AQAADwAAAGRycy9kb3ducmV2LnhtbE2PQU/DMAyF75P4D5GRdtuSVl0FpekOIK5DbAOJW9Z4bUXj&#10;VE22ln+Pd4Kb7ff0/L1yO7teXHEMnScNyVqBQKq97ajRcDy8rh5AhGjImt4TavjBANvqblGawvqJ&#10;3vG6j43gEAqF0dDGOBRShrpFZ8LaD0isnf3oTOR1bKQdzcThrpepUrl0piP+0JoBn1usv/cXp+Fj&#10;d/76zNRb8+I2w+RnJck9Sq2X94l6AhFxjn9muOEzOlTMdPIXskH0GlZpwl2iho3KQNwMWcaHEw9p&#10;noOsSvm/QvULUEsDBBQAAAAIAIdO4kCFHKpivgEAAG4DAAAOAAAAZHJzL2Uyb0RvYy54bWytU82O&#10;0zAQviPxDpbv1NlSaBU1XWlVLRcESAsP4DqTxlL8g8dt0heAN+DEhTvP1edg7GTLslz2sBdnPD+f&#10;5/tmsr4eTMeOEFA7W/GrWcEZWOVqbfcV//L59tWKM4zS1rJzFip+AuTXm5cv1r0vYe5a19UQGIFY&#10;LHtf8TZGXwqBqgUjceY8WAo2LhgZ6Rr2og6yJ3TTiXlRvBW9C7UPTgEiebdjkE+I4SmArmm0gq1T&#10;BwM2jqgBOhmJErbaI9/kbpsGVPzYNAiRdRUnpjGf9AjZu3SKzVqW+yB9q9XUgnxKC484GaktPXqB&#10;2soo2SHo/6CMVsGha+JMOSNGIlkRYnFVPNLmrpUeMheSGv1FdHw+WPXh+CkwXVd8vlpwZqWhkZ9/&#10;fD///H3+9Y0lJ0nUeywp885Tbhxu3ECLc+9HcibmQxNM+hInRnES+HQRGIbIVCoqFsvlGwopii1W&#10;r1fLPAHxt9oHjO/AGZaMigcaYNZVHt9jpE4o9T4lPWbdre66PMTO/uOgxNEDeQum6kRkbDhZcdgN&#10;E7udq09ErqdNqDh+PcgAnB180PuW2shkRSqhMeQmppVJc354J/vhb7L5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K/n+PjXAAAACgEAAA8AAAAAAAAAAQAgAAAAIgAAAGRycy9kb3ducmV2LnhtbFBL&#10;AQIUABQAAAAIAIdO4kCFHKpivgEAAG4DAAAOAAAAAAAAAAEAIAAAACYBAABkcnMvZTJvRG9jLnht&#10;bFBLBQYAAAAABgAGAFkBAABWBQAAAAA=&#10;">
                <v:fill on="f" focussize="0,0"/>
                <v:stroke on="f"/>
                <v:imagedata o:title=""/>
                <o:lock v:ext="edit" aspectratio="f"/>
                <v:textbox>
                  <w:txbxContent>
                    <w:p w14:paraId="68593806">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招标暂估价项</w:t>
                      </w:r>
                    </w:p>
                    <w:p w14:paraId="7F03E6D1">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目的要求</w:t>
                      </w:r>
                    </w:p>
                    <w:p w14:paraId="36772E1A">
                      <w:pPr>
                        <w:rPr>
                          <w:rFonts w:ascii="楷体_GB2312" w:hAnsi="宋体" w:eastAsia="楷体_GB2312" w:cs="Times New Roman"/>
                          <w:b/>
                          <w:bCs/>
                          <w:color w:val="000000"/>
                          <w:sz w:val="18"/>
                          <w:szCs w:val="18"/>
                        </w:rPr>
                      </w:pPr>
                    </w:p>
                    <w:p w14:paraId="2A168488">
                      <w:pPr>
                        <w:rPr>
                          <w:rFonts w:cs="Times New Roman"/>
                          <w:sz w:val="18"/>
                          <w:szCs w:val="18"/>
                        </w:rPr>
                      </w:pPr>
                    </w:p>
                  </w:txbxContent>
                </v:textbox>
              </v:shape>
            </w:pict>
          </mc:Fallback>
        </mc:AlternateContent>
      </w:r>
      <w:r>
        <w:rPr>
          <w:rFonts w:hint="default" w:ascii="Times New Roman" w:hAnsi="Times New Roman" w:cs="Times New Roman"/>
          <w:b/>
          <w:bCs/>
          <w:color w:val="auto"/>
          <w:sz w:val="22"/>
          <w:szCs w:val="22"/>
          <w:highlight w:val="none"/>
        </w:rPr>
        <w:t>65.1</w:t>
      </w:r>
      <w:r>
        <w:rPr>
          <w:rFonts w:hint="default" w:ascii="Times New Roman" w:hAnsi="Times New Roman" w:cs="Times New Roman"/>
          <w:color w:val="auto"/>
          <w:sz w:val="22"/>
          <w:szCs w:val="22"/>
          <w:highlight w:val="none"/>
        </w:rPr>
        <w:t xml:space="preserve">                                                                                                           发包人在工程量清单中给定暂估价的材料、工程设备和专业工程，达到依法必须招标的规模、标准的，由承包人作为招标主体会同发包人共同选择供应商或分包人。合同双方当事人应在专用条款中约定各自的权利和义务。供应商或分包人的中标价格与工程量清单中所列的暂估价的差额以及相应的规费、税金等其他费用，应列入合同价款。</w:t>
      </w:r>
    </w:p>
    <w:p w14:paraId="489CC6D3">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44960" behindDoc="0" locked="0" layoutInCell="1" allowOverlap="1">
                <wp:simplePos x="0" y="0"/>
                <wp:positionH relativeFrom="column">
                  <wp:posOffset>-114300</wp:posOffset>
                </wp:positionH>
                <wp:positionV relativeFrom="paragraph">
                  <wp:posOffset>248285</wp:posOffset>
                </wp:positionV>
                <wp:extent cx="1028700" cy="956310"/>
                <wp:effectExtent l="0" t="0" r="0" b="0"/>
                <wp:wrapNone/>
                <wp:docPr id="285" name="文本框 285"/>
                <wp:cNvGraphicFramePr/>
                <a:graphic xmlns:a="http://schemas.openxmlformats.org/drawingml/2006/main">
                  <a:graphicData uri="http://schemas.microsoft.com/office/word/2010/wordprocessingShape">
                    <wps:wsp>
                      <wps:cNvSpPr txBox="1"/>
                      <wps:spPr>
                        <a:xfrm>
                          <a:off x="0" y="0"/>
                          <a:ext cx="1028700" cy="956310"/>
                        </a:xfrm>
                        <a:prstGeom prst="rect">
                          <a:avLst/>
                        </a:prstGeom>
                        <a:noFill/>
                        <a:ln>
                          <a:noFill/>
                        </a:ln>
                        <a:effectLst/>
                      </wps:spPr>
                      <wps:txbx>
                        <w:txbxContent>
                          <w:p w14:paraId="5DCC159C">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非招标材料和</w:t>
                            </w:r>
                          </w:p>
                          <w:p w14:paraId="45617948">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工程设备暂估</w:t>
                            </w:r>
                          </w:p>
                          <w:p w14:paraId="18DE422E">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价的要求</w:t>
                            </w:r>
                          </w:p>
                          <w:p w14:paraId="4D79965F">
                            <w:pPr>
                              <w:rPr>
                                <w:rFonts w:cs="Times New Roman"/>
                                <w:sz w:val="18"/>
                                <w:szCs w:val="18"/>
                              </w:rPr>
                            </w:pPr>
                          </w:p>
                        </w:txbxContent>
                      </wps:txbx>
                      <wps:bodyPr wrap="square" upright="1"/>
                    </wps:wsp>
                  </a:graphicData>
                </a:graphic>
              </wp:anchor>
            </w:drawing>
          </mc:Choice>
          <mc:Fallback>
            <w:pict>
              <v:shape id="_x0000_s1026" o:spid="_x0000_s1026" o:spt="202" type="#_x0000_t202" style="position:absolute;left:0pt;margin-left:-9pt;margin-top:19.55pt;height:75.3pt;width:81pt;z-index:251944960;mso-width-relative:page;mso-height-relative:page;" filled="f" stroked="f" coordsize="21600,21600" o:gfxdata="UEsDBAoAAAAAAIdO4kAAAAAAAAAAAAAAAAAEAAAAZHJzL1BLAwQUAAAACACHTuJAmDBSttcAAAAK&#10;AQAADwAAAGRycy9kb3ducmV2LnhtbE2PQU/DMAyF70j8h8hI3LakUEZbmu4A4graGEjcssZrKxqn&#10;arK1/Hu807jZfk/P3yvXs+vFCcfQedKQLBUIpNrbjhoNu4/XRQYiREPW9J5Qwy8GWFfXV6UprJ9o&#10;g6dtbASHUCiMhjbGoZAy1C06E5Z+QGLt4EdnIq9jI+1oJg53vbxTaiWd6Yg/tGbA5xbrn+3Rafh8&#10;O3x/peq9eXEPw+RnJcnlUuvbm0Q9gYg4x4sZzviMDhUz7f2RbBC9hkWScZeo4T5PQJwNacqHPQ9Z&#10;/giyKuX/CtUfUEsDBBQAAAAIAIdO4kA8Cd7UvgEAAG4DAAAOAAAAZHJzL2Uyb0RvYy54bWytU0tu&#10;2zAQ3RfIHQjua8kukjqC5QCFkWyKtkCaA9DU0CIgfsqhLfkC7Q266qb7nsvn6JBS3DTdZNENNZzP&#10;47w3o9XNYDp2gIDa2ZrPZyVnYKVrtN3V/OHz7eslZxiFbUTnLNT8CMhv1hevVr2vYOFa1zUQGIFY&#10;rHpf8zZGXxUFyhaMwJnzYCmoXDAi0jXsiiaIntBNVyzK8qroXWh8cBIQybsZg3xCDC8BdEppCRsn&#10;9wZsHFEDdCISJWy1R77O3SoFMn5UCiGyrubENOaTHiF7m85ivRLVLgjfajm1IF7SwjNORmhLj56h&#10;NiIKtg/6HyijZXDoVJxJZ4qRSFaEWMzLZ9rct8JD5kJSoz+Ljv8PVn44fApMNzVfLC85s8LQyE/f&#10;v51+/Dr9/MqSkyTqPVaUee8pNw7v3ECL8+hHcibmgwomfYkTozgJfDwLDENkMhWVi+XbkkKSYteX&#10;V2/meQLFn2ofMN6BMywZNQ80wKyrOLzHSJ1Q6mNKesy6W911eYid/ctBiaMH8hZM1YnI2HCy4rAd&#10;JnZb1xyJXE+bUHP8shcBONv7oHcttZHJFqmExpCbmFYmzfnpneynv8n6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JgwUrbXAAAACgEAAA8AAAAAAAAAAQAgAAAAIgAAAGRycy9kb3ducmV2LnhtbFBL&#10;AQIUABQAAAAIAIdO4kA8Cd7UvgEAAG4DAAAOAAAAAAAAAAEAIAAAACYBAABkcnMvZTJvRG9jLnht&#10;bFBLBQYAAAAABgAGAFkBAABWBQAAAAA=&#10;">
                <v:fill on="f" focussize="0,0"/>
                <v:stroke on="f"/>
                <v:imagedata o:title=""/>
                <o:lock v:ext="edit" aspectratio="f"/>
                <v:textbox>
                  <w:txbxContent>
                    <w:p w14:paraId="5DCC159C">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非招标材料和</w:t>
                      </w:r>
                    </w:p>
                    <w:p w14:paraId="45617948">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工程设备暂估</w:t>
                      </w:r>
                    </w:p>
                    <w:p w14:paraId="18DE422E">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价的要求</w:t>
                      </w:r>
                    </w:p>
                    <w:p w14:paraId="4D79965F">
                      <w:pPr>
                        <w:rPr>
                          <w:rFonts w:cs="Times New Roman"/>
                          <w:sz w:val="18"/>
                          <w:szCs w:val="18"/>
                        </w:rPr>
                      </w:pPr>
                    </w:p>
                  </w:txbxContent>
                </v:textbox>
              </v:shape>
            </w:pict>
          </mc:Fallback>
        </mc:AlternateContent>
      </w:r>
      <w:r>
        <w:rPr>
          <w:rFonts w:hint="default" w:ascii="Times New Roman" w:hAnsi="Times New Roman" w:cs="Times New Roman"/>
          <w:b/>
          <w:bCs/>
          <w:color w:val="auto"/>
          <w:sz w:val="22"/>
          <w:szCs w:val="22"/>
          <w:highlight w:val="none"/>
        </w:rPr>
        <w:t xml:space="preserve">65.2  </w:t>
      </w:r>
      <w:r>
        <w:rPr>
          <w:rFonts w:hint="default" w:ascii="Times New Roman" w:hAnsi="Times New Roman" w:cs="Times New Roman"/>
          <w:b/>
          <w:bCs/>
          <w:color w:val="auto"/>
          <w:sz w:val="22"/>
          <w:szCs w:val="22"/>
          <w:highlight w:val="none"/>
          <w:u w:val="dotted"/>
        </w:rPr>
        <w:t xml:space="preserve">                                                                                   </w:t>
      </w:r>
    </w:p>
    <w:p w14:paraId="7533B9F2">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发包人在工程量清单中给定暂估价的材料和工程设备，未达到依法必须招标的规模、标准的，由承包人按照第49条规定采购。经造价工程师确认的材料和工程设备价格与工程量清单中所列的暂估价的差额以及相应的规费、税金等其他费用，应列入合同价款。</w:t>
      </w:r>
    </w:p>
    <w:p w14:paraId="7EE16737">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45984" behindDoc="0" locked="0" layoutInCell="1" allowOverlap="1">
                <wp:simplePos x="0" y="0"/>
                <wp:positionH relativeFrom="column">
                  <wp:posOffset>-157480</wp:posOffset>
                </wp:positionH>
                <wp:positionV relativeFrom="paragraph">
                  <wp:posOffset>318135</wp:posOffset>
                </wp:positionV>
                <wp:extent cx="1028700" cy="863600"/>
                <wp:effectExtent l="0" t="0" r="0" b="0"/>
                <wp:wrapNone/>
                <wp:docPr id="286" name="文本框 286"/>
                <wp:cNvGraphicFramePr/>
                <a:graphic xmlns:a="http://schemas.openxmlformats.org/drawingml/2006/main">
                  <a:graphicData uri="http://schemas.microsoft.com/office/word/2010/wordprocessingShape">
                    <wps:wsp>
                      <wps:cNvSpPr txBox="1"/>
                      <wps:spPr>
                        <a:xfrm>
                          <a:off x="0" y="0"/>
                          <a:ext cx="1028700" cy="863600"/>
                        </a:xfrm>
                        <a:prstGeom prst="rect">
                          <a:avLst/>
                        </a:prstGeom>
                        <a:noFill/>
                        <a:ln>
                          <a:noFill/>
                        </a:ln>
                        <a:effectLst/>
                      </wps:spPr>
                      <wps:txbx>
                        <w:txbxContent>
                          <w:p w14:paraId="09C6DD94">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非招标专业工</w:t>
                            </w:r>
                          </w:p>
                          <w:p w14:paraId="40DBE2B4">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程暂估价的要</w:t>
                            </w:r>
                          </w:p>
                          <w:p w14:paraId="04C614C0">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求</w:t>
                            </w:r>
                          </w:p>
                        </w:txbxContent>
                      </wps:txbx>
                      <wps:bodyPr wrap="square" upright="1"/>
                    </wps:wsp>
                  </a:graphicData>
                </a:graphic>
              </wp:anchor>
            </w:drawing>
          </mc:Choice>
          <mc:Fallback>
            <w:pict>
              <v:shape id="_x0000_s1026" o:spid="_x0000_s1026" o:spt="202" type="#_x0000_t202" style="position:absolute;left:0pt;margin-left:-12.4pt;margin-top:25.05pt;height:68pt;width:81pt;z-index:251945984;mso-width-relative:page;mso-height-relative:page;" filled="f" stroked="f" coordsize="21600,21600" o:gfxdata="UEsDBAoAAAAAAIdO4kAAAAAAAAAAAAAAAAAEAAAAZHJzL1BLAwQUAAAACACHTuJAGL9qydgAAAAK&#10;AQAADwAAAGRycy9kb3ducmV2LnhtbE2PzU7DMBCE70i8g7VI3Fo7oX+kcXoAcQVR2krc3HibRI3X&#10;Uew24e3ZnuC2ox3NfJNvRteKK/ah8aQhmSoQSKW3DVUadl9vkxWIEA1Z03pCDT8YYFPc3+Ums36g&#10;T7xuYyU4hEJmNNQxdpmUoazRmTD1HRL/Tr53JrLsK2l7M3C4a2Wq1EI60xA31KbDlxrL8/biNOzf&#10;T9+HmfqoXt28G/yoJLlnqfXjQ6LWICKO8c8MN3xGh4KZjv5CNohWwySdMXrUMFcJiJvhaZmCOPKx&#10;WiQgi1z+n1D8AlBLAwQUAAAACACHTuJAVSi0NrsBAABuAwAADgAAAGRycy9lMm9Eb2MueG1srVNL&#10;btswEN0XyB0I7mspLuAaguUAgZFugrZA2gPQ1NAiIH7KoS35Au0Nuuqm+57L5+iQUpzfJotsqOF8&#10;Hue9Ga2uBtOxAwTUztb8clZyBla6Rttdzb9/u3m/5AyjsI3onIWaHwH51fri3ar3Fcxd67oGAiMQ&#10;i1Xva97G6KuiQNmCEThzHiwFlQtGRLqGXdEE0RO66Yp5WS6K3oXGBycBkbybMcgnxPAaQKeUlrBx&#10;cm/AxhE1QCciUcJWe+Tr3K1SIOMXpRAi62pOTGM+6RGyt+ks1itR7YLwrZZTC+I1LTzjZIS29OgZ&#10;aiOiYPugX0AZLYNDp+JMOlOMRLIixOKyfKbNXSs8ZC4kNfqz6Ph2sPLz4Wtguqn5fLngzApDIz/9&#10;/nX68+/09ydLTpKo91hR5p2n3Dhcu4EW596P5EzMBxVM+hInRnES+HgWGIbIZCoq58uPJYUkxZaL&#10;DwuyCb54qPYB4ydwhiWj5oEGmHUVh1uMY+p9SnrMuhvddXmInX3iIMzRA3kLpupEZGw4WXHYDhO7&#10;rWuORK6nTag5/tiLAJztfdC7ltrIZItUQmPI/U4rk+b8+E72499k/R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Yv2rJ2AAAAAoBAAAPAAAAAAAAAAEAIAAAACIAAABkcnMvZG93bnJldi54bWxQSwEC&#10;FAAUAAAACACHTuJAVSi0NrsBAABuAwAADgAAAAAAAAABACAAAAAnAQAAZHJzL2Uyb0RvYy54bWxQ&#10;SwUGAAAAAAYABgBZAQAAVAUAAAAA&#10;">
                <v:fill on="f" focussize="0,0"/>
                <v:stroke on="f"/>
                <v:imagedata o:title=""/>
                <o:lock v:ext="edit" aspectratio="f"/>
                <v:textbox>
                  <w:txbxContent>
                    <w:p w14:paraId="09C6DD94">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非招标专业工</w:t>
                      </w:r>
                    </w:p>
                    <w:p w14:paraId="40DBE2B4">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程暂估价的要</w:t>
                      </w:r>
                    </w:p>
                    <w:p w14:paraId="04C614C0">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求</w:t>
                      </w:r>
                    </w:p>
                  </w:txbxContent>
                </v:textbox>
              </v:shape>
            </w:pict>
          </mc:Fallback>
        </mc:AlternateContent>
      </w:r>
      <w:r>
        <w:rPr>
          <w:rFonts w:hint="default" w:ascii="Times New Roman" w:hAnsi="Times New Roman" w:cs="Times New Roman"/>
          <w:b/>
          <w:bCs/>
          <w:color w:val="auto"/>
          <w:sz w:val="22"/>
          <w:szCs w:val="22"/>
          <w:highlight w:val="none"/>
        </w:rPr>
        <w:t xml:space="preserve">65.3  </w:t>
      </w:r>
      <w:r>
        <w:rPr>
          <w:rFonts w:hint="default" w:ascii="Times New Roman" w:hAnsi="Times New Roman" w:cs="Times New Roman"/>
          <w:b/>
          <w:bCs/>
          <w:color w:val="auto"/>
          <w:sz w:val="22"/>
          <w:szCs w:val="22"/>
          <w:highlight w:val="none"/>
          <w:u w:val="dotted"/>
        </w:rPr>
        <w:t xml:space="preserve">                                                                                   </w:t>
      </w:r>
    </w:p>
    <w:p w14:paraId="59F7646A">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 xml:space="preserve">发包人在工程量清单中给定暂估价的专业工程，未达到依法必须招标的规模及标准的，除专用条款另有约定外，在合同双方当事人同意下，由造价工程师与分包人按照第72.2款规定确定专业工程款。经确认的专业工程款与工程量清单中所列的暂估价的差额以及相应的规费、税金等其他费用，应列入合同价款。 </w:t>
      </w:r>
    </w:p>
    <w:p w14:paraId="793FB554">
      <w:pPr>
        <w:pStyle w:val="15"/>
        <w:tabs>
          <w:tab w:val="left" w:pos="3038"/>
        </w:tabs>
        <w:adjustRightInd w:val="0"/>
        <w:snapToGrid w:val="0"/>
        <w:spacing w:line="420" w:lineRule="exact"/>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6DB969B2">
      <w:pPr>
        <w:pStyle w:val="15"/>
        <w:tabs>
          <w:tab w:val="left" w:pos="540"/>
        </w:tabs>
        <w:adjustRightInd w:val="0"/>
        <w:snapToGrid w:val="0"/>
        <w:spacing w:before="240" w:beforeLines="100" w:line="420" w:lineRule="exact"/>
        <w:outlineLvl w:val="2"/>
        <w:rPr>
          <w:rFonts w:hint="default" w:ascii="Times New Roman" w:hAnsi="Times New Roman" w:cs="Times New Roman"/>
          <w:b/>
          <w:bCs/>
          <w:color w:val="auto"/>
          <w:sz w:val="22"/>
          <w:szCs w:val="22"/>
          <w:highlight w:val="none"/>
        </w:rPr>
      </w:pPr>
      <w:bookmarkStart w:id="233" w:name="_Toc469384050"/>
      <w:bookmarkStart w:id="234" w:name="_Toc25676"/>
      <w:r>
        <w:rPr>
          <w:rFonts w:hint="default" w:ascii="Times New Roman" w:hAnsi="Times New Roman" w:cs="Times New Roman"/>
          <w:b/>
          <w:bCs/>
          <w:color w:val="auto"/>
          <w:sz w:val="22"/>
          <w:szCs w:val="22"/>
          <w:highlight w:val="none"/>
        </w:rPr>
        <w:t>★66  提前竣工奖与误期赔偿费</w:t>
      </w:r>
      <w:bookmarkEnd w:id="233"/>
      <w:bookmarkEnd w:id="234"/>
    </w:p>
    <w:p w14:paraId="20FE9B83">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66.1  </w:t>
      </w:r>
    </w:p>
    <w:p w14:paraId="6F9B3E1E">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47008" behindDoc="0" locked="0" layoutInCell="1" allowOverlap="1">
                <wp:simplePos x="0" y="0"/>
                <wp:positionH relativeFrom="column">
                  <wp:posOffset>-114300</wp:posOffset>
                </wp:positionH>
                <wp:positionV relativeFrom="paragraph">
                  <wp:posOffset>30480</wp:posOffset>
                </wp:positionV>
                <wp:extent cx="1028700" cy="405130"/>
                <wp:effectExtent l="0" t="0" r="0" b="0"/>
                <wp:wrapNone/>
                <wp:docPr id="287" name="文本框 287"/>
                <wp:cNvGraphicFramePr/>
                <a:graphic xmlns:a="http://schemas.openxmlformats.org/drawingml/2006/main">
                  <a:graphicData uri="http://schemas.microsoft.com/office/word/2010/wordprocessingShape">
                    <wps:wsp>
                      <wps:cNvSpPr txBox="1"/>
                      <wps:spPr>
                        <a:xfrm>
                          <a:off x="0" y="0"/>
                          <a:ext cx="1028700" cy="405130"/>
                        </a:xfrm>
                        <a:prstGeom prst="rect">
                          <a:avLst/>
                        </a:prstGeom>
                        <a:noFill/>
                        <a:ln>
                          <a:noFill/>
                        </a:ln>
                        <a:effectLst/>
                      </wps:spPr>
                      <wps:txbx>
                        <w:txbxContent>
                          <w:p w14:paraId="73C3B2A0">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提前竣工奖</w:t>
                            </w:r>
                          </w:p>
                        </w:txbxContent>
                      </wps:txbx>
                      <wps:bodyPr wrap="square" upright="1"/>
                    </wps:wsp>
                  </a:graphicData>
                </a:graphic>
              </wp:anchor>
            </w:drawing>
          </mc:Choice>
          <mc:Fallback>
            <w:pict>
              <v:shape id="_x0000_s1026" o:spid="_x0000_s1026" o:spt="202" type="#_x0000_t202" style="position:absolute;left:0pt;margin-left:-9pt;margin-top:2.4pt;height:31.9pt;width:81pt;z-index:251947008;mso-width-relative:page;mso-height-relative:page;" filled="f" stroked="f" coordsize="21600,21600" o:gfxdata="UEsDBAoAAAAAAIdO4kAAAAAAAAAAAAAAAAAEAAAAZHJzL1BLAwQUAAAACACHTuJAZQ0RG9UAAAAI&#10;AQAADwAAAGRycy9kb3ducmV2LnhtbE2PTU+DQBCG7yb+h82YeGt3MUgoZehB41Vj/Ui8bWEKRHaW&#10;sNuC/97pSY9v3sk7z1PuFjeoM02h94yQrA0o4to3PbcI729PqxxUiJYbO3gmhB8KsKuur0pbNH7m&#10;VzrvY6tkhENhEboYx0LrUHfkbFj7kVi6o5+cjRKnVjeTnWXcDfrOmEw727N86OxIDx3V3/uTQ/h4&#10;Pn59pualfXT34+wXo9ltNOLtTWK2oCIt8e8YLviCDpUwHfyJm6AGhFWSi0tESMXg0qep5ANClmeg&#10;q1L/F6h+AVBLAwQUAAAACACHTuJAB31MYLsBAABuAwAADgAAAGRycy9lMm9Eb2MueG1srVNLjhMx&#10;EN0jcQfLe9Kd8Bu10hkJRcMGAdLAARx3OW3JP1xOunMBuAErNuw5V85B2d0ThmEzCzbucn2e672q&#10;Xl+P1rAjRNTetXy5qDkDJ32n3b7lnz/dPLviDJNwnTDeQctPgPx68/TJeggNrHzvTQeREYjDZggt&#10;71MKTVWh7MEKXPgAjoLKRysSXeO+6qIYCN2aalXXr6rBxy5ELwGRvNspyGfE+BhAr5SWsPXyYMGl&#10;CTWCEYkoYa8D8k3pVimQ6YNSCImZlhPTVE56hOxdPqvNWjT7KEKv5dyCeEwLDzhZoR09eoHaiiTY&#10;Iep/oKyW0aNXaSG9rSYiRRFisawfaHPbiwCFC0mN4SI6/j9Y+f74MTLdtXx19ZozJyyN/Pz92/nH&#10;r/PPryw7SaIhYEOZt4Fy0/jGj7Q4d34kZ2Y+qmjzlzgxipPAp4vAMCYmc1FNgDWFJMVe1C+Xz8sE&#10;qj/VIWJ6C96ybLQ80gCLruL4DhN1Qql3Kfkx52+0MWWIxv3loMTJA2UL5upMZGo4W2ncjTO7ne9O&#10;RG6gTWg5fjmICJwdQtT7ntooZKtcQmMoTcwrk+d8/072/d9k8x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BlDREb1QAAAAgBAAAPAAAAAAAAAAEAIAAAACIAAABkcnMvZG93bnJldi54bWxQSwECFAAU&#10;AAAACACHTuJAB31MYLsBAABuAwAADgAAAAAAAAABACAAAAAkAQAAZHJzL2Uyb0RvYy54bWxQSwUG&#10;AAAAAAYABgBZAQAAUQUAAAAA&#10;">
                <v:fill on="f" focussize="0,0"/>
                <v:stroke on="f"/>
                <v:imagedata o:title=""/>
                <o:lock v:ext="edit" aspectratio="f"/>
                <v:textbox>
                  <w:txbxContent>
                    <w:p w14:paraId="73C3B2A0">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提前竣工奖</w:t>
                      </w:r>
                    </w:p>
                  </w:txbxContent>
                </v:textbox>
              </v:shape>
            </w:pict>
          </mc:Fallback>
        </mc:AlternateContent>
      </w:r>
      <w:r>
        <w:rPr>
          <w:rFonts w:hint="default" w:ascii="Times New Roman" w:hAnsi="Times New Roman" w:cs="Times New Roman"/>
          <w:color w:val="auto"/>
          <w:sz w:val="22"/>
          <w:szCs w:val="22"/>
          <w:highlight w:val="none"/>
        </w:rPr>
        <w:t>合同双方当事人可在专用条款中约定提前竣工奖，明确每日历天应奖额度。约定提前竣工奖的，如果承包人的实际竣工日期早于计划竣工日期，承包人有权向发包人提出并得到提前竣工天数和专用条款约定的每日历天应奖额度的乘积计算的提前竣工奖。除专用条款另有约定外，提前竣工奖的最高限额为合同价款的5%。提前竣工奖列入竣工结算文件中，与结算款一并支付。</w:t>
      </w:r>
    </w:p>
    <w:p w14:paraId="00655861">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66.2  </w:t>
      </w:r>
      <w:r>
        <w:rPr>
          <w:rFonts w:hint="default" w:ascii="Times New Roman" w:hAnsi="Times New Roman" w:cs="Times New Roman"/>
          <w:b/>
          <w:bCs/>
          <w:color w:val="auto"/>
          <w:sz w:val="22"/>
          <w:szCs w:val="22"/>
          <w:highlight w:val="none"/>
          <w:u w:val="dotted"/>
        </w:rPr>
        <w:t xml:space="preserve">                                                                                                        </w:t>
      </w:r>
    </w:p>
    <w:p w14:paraId="00755C18">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48032" behindDoc="0" locked="0" layoutInCell="1" allowOverlap="1">
                <wp:simplePos x="0" y="0"/>
                <wp:positionH relativeFrom="column">
                  <wp:posOffset>-114300</wp:posOffset>
                </wp:positionH>
                <wp:positionV relativeFrom="paragraph">
                  <wp:posOffset>16510</wp:posOffset>
                </wp:positionV>
                <wp:extent cx="914400" cy="377825"/>
                <wp:effectExtent l="0" t="0" r="0" b="0"/>
                <wp:wrapNone/>
                <wp:docPr id="288" name="文本框 288"/>
                <wp:cNvGraphicFramePr/>
                <a:graphic xmlns:a="http://schemas.openxmlformats.org/drawingml/2006/main">
                  <a:graphicData uri="http://schemas.microsoft.com/office/word/2010/wordprocessingShape">
                    <wps:wsp>
                      <wps:cNvSpPr txBox="1"/>
                      <wps:spPr>
                        <a:xfrm>
                          <a:off x="0" y="0"/>
                          <a:ext cx="914400" cy="377825"/>
                        </a:xfrm>
                        <a:prstGeom prst="rect">
                          <a:avLst/>
                        </a:prstGeom>
                        <a:noFill/>
                        <a:ln>
                          <a:noFill/>
                        </a:ln>
                        <a:effectLst/>
                      </wps:spPr>
                      <wps:txbx>
                        <w:txbxContent>
                          <w:p w14:paraId="40ED34AA">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误期赔偿费</w:t>
                            </w:r>
                          </w:p>
                        </w:txbxContent>
                      </wps:txbx>
                      <wps:bodyPr wrap="square" upright="1"/>
                    </wps:wsp>
                  </a:graphicData>
                </a:graphic>
              </wp:anchor>
            </w:drawing>
          </mc:Choice>
          <mc:Fallback>
            <w:pict>
              <v:shape id="_x0000_s1026" o:spid="_x0000_s1026" o:spt="202" type="#_x0000_t202" style="position:absolute;left:0pt;margin-left:-9pt;margin-top:1.3pt;height:29.75pt;width:72pt;z-index:251948032;mso-width-relative:page;mso-height-relative:page;" filled="f" stroked="f" coordsize="21600,21600" o:gfxdata="UEsDBAoAAAAAAIdO4kAAAAAAAAAAAAAAAAAEAAAAZHJzL1BLAwQUAAAACACHTuJAoTSSmdQAAAAI&#10;AQAADwAAAGRycy9kb3ducmV2LnhtbE2PzU7DMBCE70i8g7VI3Np1IohKyKYHEFcQ5Ufi5sbbJCJe&#10;R7HbhLfHPcFxNKOZb6rt4gZ14in0XgiytQbF0njbS0vw/va02oAK0Yg1gxcm+OEA2/ryojKl9bO8&#10;8mkXW5VKJJSGoItxLBFD07EzYe1HluQd/ORMTHJq0U5mTuVuwFzrAp3pJS10ZuSHjpvv3dERfDwf&#10;vj5v9Ev76G7H2S8axd0h0fVVpu9BRV7iXxjO+Akd6sS090exQQ0Eq2yTvkSCvAB19vMi6T1BkWeA&#10;dYX/D9S/UEsDBBQAAAAIAIdO4kBRFrrDvQEAAG0DAAAOAAAAZHJzL2Uyb0RvYy54bWytU82O0zAQ&#10;viPxDpbvNGlZ2BI1XQlVywUB0sIDuM64sRT/4HGb9AXgDThx4c5z9Tl27GTL/lz2wMUZz8/n+b6Z&#10;rK4G07EDBNTO1nw+KzkDK12j7a7m375ev1pyhlHYRnTOQs2PgPxq/fLFqvcVLFzrugYCIxCLVe9r&#10;3sboq6JA2YIROHMeLAWVC0ZEuoZd0QTRE7rpikVZvi16FxofnARE8m7GIJ8Qw3MAnVJawsbJvQEb&#10;R9QAnYhECVvtka9zt0qBjJ+VQoisqzkxjfmkR8jeprNYr0S1C8K3Wk4tiOe08IiTEdrSo2eojYiC&#10;7YN+AmW0DA6dijPpTDESyYoQi3n5SJubVnjIXEhq9GfR8f/Byk+HL4HppuaLJQ3eCkMjP/36efr9&#10;9/TnB0tOkqj3WFHmjafcOLx3Ay3OnR/JmZgPKpj0JU6M4iTw8SwwDJFJcr6bX1yUFJEUen15uVy8&#10;SSjFv2IfMH4AZ1gyah5ofllWcfiIcUy9S0lvWXetuy7PsLMPHIQ5eiAvwVSdeIz9JisO22Eit3XN&#10;kbj1tAg1x+97EYCzvQ9611IbmWuRSmgKud9pY9KY79/Jvv+XrG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oTSSmdQAAAAIAQAADwAAAAAAAAABACAAAAAiAAAAZHJzL2Rvd25yZXYueG1sUEsBAhQA&#10;FAAAAAgAh07iQFEWusO9AQAAbQMAAA4AAAAAAAAAAQAgAAAAIwEAAGRycy9lMm9Eb2MueG1sUEsF&#10;BgAAAAAGAAYAWQEAAFIFAAAAAA==&#10;">
                <v:fill on="f" focussize="0,0"/>
                <v:stroke on="f"/>
                <v:imagedata o:title=""/>
                <o:lock v:ext="edit" aspectratio="f"/>
                <v:textbox>
                  <w:txbxContent>
                    <w:p w14:paraId="40ED34AA">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误期赔偿费</w:t>
                      </w:r>
                    </w:p>
                  </w:txbxContent>
                </v:textbox>
              </v:shape>
            </w:pict>
          </mc:Fallback>
        </mc:AlternateContent>
      </w:r>
      <w:r>
        <w:rPr>
          <w:rFonts w:hint="default" w:ascii="Times New Roman" w:hAnsi="Times New Roman" w:cs="Times New Roman"/>
          <w:color w:val="auto"/>
          <w:sz w:val="22"/>
          <w:szCs w:val="22"/>
          <w:highlight w:val="none"/>
        </w:rPr>
        <w:t>合同双方当事人应在专用条款中约定误期赔偿费，明确每日历天应赔额度。如果承包人的实际进度迟于计划进度，发包人有权向承包人索取并得到实际延误天数和专用条款约定的每日历天应赔额度的乘积计算的误期赔偿费。除专用条款另有约定外，误期赔偿费的最高限额为合同价款的5%。误期赔偿费列入进度支付文件或竣工结算文件中，在进度款或结算款中扣除。</w:t>
      </w:r>
    </w:p>
    <w:p w14:paraId="7CF03134">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如果在工程竣工之前，合同工程内的某单位工程已通过了竣工验收，且该单位工程接收证书中表明的竣工日期并未延误，而是合同工程的其他部分产生了工期延误，则误期赔偿费应按照已颁发工程接收证书的单位工程造价占合同价款的比例幅度予以扣减。</w:t>
      </w:r>
    </w:p>
    <w:p w14:paraId="347F048E">
      <w:pPr>
        <w:pStyle w:val="15"/>
        <w:adjustRightInd w:val="0"/>
        <w:snapToGrid w:val="0"/>
        <w:spacing w:line="420" w:lineRule="exact"/>
        <w:ind w:right="-238"/>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385461DD">
      <w:pPr>
        <w:pStyle w:val="15"/>
        <w:tabs>
          <w:tab w:val="left" w:pos="540"/>
        </w:tabs>
        <w:adjustRightInd w:val="0"/>
        <w:snapToGrid w:val="0"/>
        <w:spacing w:before="240" w:beforeLines="100" w:line="420" w:lineRule="exact"/>
        <w:outlineLvl w:val="2"/>
        <w:rPr>
          <w:rFonts w:hint="default" w:ascii="Times New Roman" w:hAnsi="Times New Roman" w:cs="Times New Roman"/>
          <w:b/>
          <w:bCs/>
          <w:color w:val="auto"/>
          <w:sz w:val="22"/>
          <w:szCs w:val="22"/>
          <w:highlight w:val="none"/>
        </w:rPr>
      </w:pPr>
      <w:bookmarkStart w:id="235" w:name="_Toc6713"/>
      <w:bookmarkStart w:id="236" w:name="_Toc469384051"/>
      <w:r>
        <w:rPr>
          <w:rFonts w:hint="default" w:ascii="Times New Roman" w:hAnsi="Times New Roman" w:cs="Times New Roman"/>
          <w:b/>
          <w:bCs/>
          <w:color w:val="auto"/>
          <w:sz w:val="22"/>
          <w:szCs w:val="22"/>
          <w:highlight w:val="none"/>
        </w:rPr>
        <w:t>★67  工程优质费</w:t>
      </w:r>
      <w:bookmarkEnd w:id="235"/>
      <w:bookmarkEnd w:id="236"/>
    </w:p>
    <w:p w14:paraId="6003A33A">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67.1 </w:t>
      </w:r>
    </w:p>
    <w:p w14:paraId="6BA338FC">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49056" behindDoc="0" locked="0" layoutInCell="1" allowOverlap="1">
                <wp:simplePos x="0" y="0"/>
                <wp:positionH relativeFrom="column">
                  <wp:posOffset>-114300</wp:posOffset>
                </wp:positionH>
                <wp:positionV relativeFrom="paragraph">
                  <wp:posOffset>30480</wp:posOffset>
                </wp:positionV>
                <wp:extent cx="1028700" cy="524510"/>
                <wp:effectExtent l="0" t="0" r="0" b="0"/>
                <wp:wrapNone/>
                <wp:docPr id="289" name="文本框 289"/>
                <wp:cNvGraphicFramePr/>
                <a:graphic xmlns:a="http://schemas.openxmlformats.org/drawingml/2006/main">
                  <a:graphicData uri="http://schemas.microsoft.com/office/word/2010/wordprocessingShape">
                    <wps:wsp>
                      <wps:cNvSpPr txBox="1"/>
                      <wps:spPr>
                        <a:xfrm>
                          <a:off x="0" y="0"/>
                          <a:ext cx="1028700" cy="524510"/>
                        </a:xfrm>
                        <a:prstGeom prst="rect">
                          <a:avLst/>
                        </a:prstGeom>
                        <a:noFill/>
                        <a:ln>
                          <a:noFill/>
                        </a:ln>
                        <a:effectLst/>
                      </wps:spPr>
                      <wps:txbx>
                        <w:txbxContent>
                          <w:p w14:paraId="14A20DE3">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工程优质费的</w:t>
                            </w:r>
                          </w:p>
                          <w:p w14:paraId="247EFCAA">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约定</w:t>
                            </w:r>
                          </w:p>
                        </w:txbxContent>
                      </wps:txbx>
                      <wps:bodyPr wrap="square" upright="1"/>
                    </wps:wsp>
                  </a:graphicData>
                </a:graphic>
              </wp:anchor>
            </w:drawing>
          </mc:Choice>
          <mc:Fallback>
            <w:pict>
              <v:shape id="_x0000_s1026" o:spid="_x0000_s1026" o:spt="202" type="#_x0000_t202" style="position:absolute;left:0pt;margin-left:-9pt;margin-top:2.4pt;height:41.3pt;width:81pt;z-index:251949056;mso-width-relative:page;mso-height-relative:page;" filled="f" stroked="f" coordsize="21600,21600" o:gfxdata="UEsDBAoAAAAAAIdO4kAAAAAAAAAAAAAAAAAEAAAAZHJzL1BLAwQUAAAACACHTuJABXf1wNQAAAAI&#10;AQAADwAAAGRycy9kb3ducmV2LnhtbE2Py07DMBBF90j8gzVI7Fo7yEAImXQBYguiPCR2bjJNIuJx&#10;FLtN+HumK1he3dGdc8rN4gd1pCn2gRGytQFFXIem5xbh/e1plYOKyXHjhsCE8EMRNtX5WemKJsz8&#10;SsdtapWMcCwcQpfSWGgd6468i+swEku3D5N3SeLU6mZys4z7QV8Zc6O961k+dG6kh47q7+3BI3w8&#10;778+rXlpH/31OIfFaPZ3GvHyIjP3oBIt6e8YTviCDpUw7cKBm6gGhFWWi0tCsGJw6q2VvEPIby3o&#10;qtT/BapfUEsDBBQAAAAIAIdO4kDUHUv2vQEAAG4DAAAOAAAAZHJzL2Uyb0RvYy54bWytU82O0zAQ&#10;viPxDpbv1GnEQomaroSq5YIAadkHcJ1JYyn+weM26QvAG3Diwp3n6nMwdrJlWS574OKM5+fzfN9M&#10;1tej6dkRAmpna75cFJyBVa7Rdl/zu883L1acYZS2kb2zUPMTIL/ePH+2HnwFpetc30BgBGKxGnzN&#10;uxh9JQSqDozEhfNgKdi6YGSka9iLJsiB0E0vyqJ4JQYXGh+cAkTybqcgnxHDUwBd22oFW6cOBmyc&#10;UAP0MhIl7LRHvsndti2o+LFtESLra05MYz7pEbJ36RSbtaz2QfpOq7kF+ZQWHnEyUlt69AK1lVGy&#10;Q9D/QBmtgkPXxoVyRkxEsiLEYlk80ua2kx4yF5Ia/UV0/H+w6sPxU2C6qXm5esOZlYZGfv7+7fzj&#10;1/nnV5acJNHgsaLMW0+5cXzrRlqcez+SMzEf22DSlzgxipPAp4vAMEamUlFRrl4XFFIUuypfXi3z&#10;BMSfah8wvgNnWDJqHmiAWVd5fI+ROqHU+5T0mHU3uu/zEHv7l4MSJw/kLZirE5Gp4WTFcTfO7Hau&#10;ORG5gTah5vjlIANwdvBB7ztqI5MVqYTGkJuYVybN+eGd7Ie/yeY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BXf1wNQAAAAIAQAADwAAAAAAAAABACAAAAAiAAAAZHJzL2Rvd25yZXYueG1sUEsBAhQA&#10;FAAAAAgAh07iQNQdS/a9AQAAbgMAAA4AAAAAAAAAAQAgAAAAIwEAAGRycy9lMm9Eb2MueG1sUEsF&#10;BgAAAAAGAAYAWQEAAFIFAAAAAA==&#10;">
                <v:fill on="f" focussize="0,0"/>
                <v:stroke on="f"/>
                <v:imagedata o:title=""/>
                <o:lock v:ext="edit" aspectratio="f"/>
                <v:textbox>
                  <w:txbxContent>
                    <w:p w14:paraId="14A20DE3">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工程优质费的</w:t>
                      </w:r>
                    </w:p>
                    <w:p w14:paraId="247EFCAA">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约定</w:t>
                      </w:r>
                    </w:p>
                  </w:txbxContent>
                </v:textbox>
              </v:shape>
            </w:pict>
          </mc:Fallback>
        </mc:AlternateContent>
      </w:r>
      <w:r>
        <w:rPr>
          <w:rFonts w:hint="default" w:ascii="Times New Roman" w:hAnsi="Times New Roman" w:cs="Times New Roman"/>
          <w:color w:val="auto"/>
          <w:sz w:val="22"/>
          <w:szCs w:val="22"/>
          <w:highlight w:val="none"/>
        </w:rPr>
        <w:t>合同双方当事人可在专用条款中约定工程优质费，明确合同工程优质费用的计算方法。约定工程优质费的，如果承包人实施、完成合同工程质量标准高于国家规定或合同约定的质量验收合格标准的，承包人有权向发包人提出并得到专用条款约定的工程优质费。</w:t>
      </w:r>
    </w:p>
    <w:p w14:paraId="5FC47D0A">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50080" behindDoc="0" locked="0" layoutInCell="1" allowOverlap="1">
                <wp:simplePos x="0" y="0"/>
                <wp:positionH relativeFrom="column">
                  <wp:posOffset>-114300</wp:posOffset>
                </wp:positionH>
                <wp:positionV relativeFrom="paragraph">
                  <wp:posOffset>234315</wp:posOffset>
                </wp:positionV>
                <wp:extent cx="914400" cy="621030"/>
                <wp:effectExtent l="0" t="0" r="0" b="0"/>
                <wp:wrapNone/>
                <wp:docPr id="290" name="文本框 290"/>
                <wp:cNvGraphicFramePr/>
                <a:graphic xmlns:a="http://schemas.openxmlformats.org/drawingml/2006/main">
                  <a:graphicData uri="http://schemas.microsoft.com/office/word/2010/wordprocessingShape">
                    <wps:wsp>
                      <wps:cNvSpPr txBox="1"/>
                      <wps:spPr>
                        <a:xfrm>
                          <a:off x="0" y="0"/>
                          <a:ext cx="914400" cy="621030"/>
                        </a:xfrm>
                        <a:prstGeom prst="rect">
                          <a:avLst/>
                        </a:prstGeom>
                        <a:noFill/>
                        <a:ln>
                          <a:noFill/>
                        </a:ln>
                        <a:effectLst/>
                      </wps:spPr>
                      <wps:txbx>
                        <w:txbxContent>
                          <w:p w14:paraId="4EDD0896">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工程优质费计</w:t>
                            </w:r>
                          </w:p>
                          <w:p w14:paraId="47D54803">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提与支付</w:t>
                            </w:r>
                          </w:p>
                        </w:txbxContent>
                      </wps:txbx>
                      <wps:bodyPr wrap="square" upright="1"/>
                    </wps:wsp>
                  </a:graphicData>
                </a:graphic>
              </wp:anchor>
            </w:drawing>
          </mc:Choice>
          <mc:Fallback>
            <w:pict>
              <v:shape id="_x0000_s1026" o:spid="_x0000_s1026" o:spt="202" type="#_x0000_t202" style="position:absolute;left:0pt;margin-left:-9pt;margin-top:18.45pt;height:48.9pt;width:72pt;z-index:251950080;mso-width-relative:page;mso-height-relative:page;" filled="f" stroked="f" coordsize="21600,21600" o:gfxdata="UEsDBAoAAAAAAIdO4kAAAAAAAAAAAAAAAAAEAAAAZHJzL1BLAwQUAAAACACHTuJAHO89bNgAAAAK&#10;AQAADwAAAGRycy9kb3ducmV2LnhtbE2PzW7CMBCE75V4B2uRegM7QFNI43AA9dqq9EfqzcRLEjVe&#10;R7Eh6dt3OZXb7s5o9pt8O7pWXLAPjScNyVyBQCq9bajS8PH+PFuDCNGQNa0n1PCLAbbF5C43mfUD&#10;veHlECvBIRQyo6GOscukDGWNzoS575BYO/nemchrX0nbm4HDXSsXSqXSmYb4Q2063NVY/hzOTsPn&#10;y+n7a6Veq7176AY/KkluI7W+nybqCUTEMf6b4YrP6FAw09GfyQbRapgla+4SNSzTDYirYZHy4cjD&#10;cvUIssjlbYXiD1BLAwQUAAAACACHTuJACxTm8LwBAABtAwAADgAAAGRycy9lMm9Eb2MueG1srVNL&#10;btswEN0X6B0I7mvJbhA0guUAgZFuirZA0gPQ1MgiwF85tCVfoL1BV9lk33P5HBlSipOmmyyyoYbz&#10;eZz3ZrS8HIxmewionK35fFZyBla6RtltzX/cXn/4xBlGYRuhnYWaHwD55er9u2XvK1i4zukGAiMQ&#10;i1Xva97F6KuiQNmBEThzHiwFWxeMiHQN26IJoid0o4tFWZ4XvQuND04CInnXY5BPiOE1gK5tlYS1&#10;kzsDNo6oAbSIRAk75ZGvcrdtCzJ+a1uEyHTNiWnMJz1C9iadxWopqm0QvlNyakG8poUXnIxQlh49&#10;Qa1FFGwX1H9QRsng0LVxJp0pRiJZEWIxL19oc9MJD5kLSY3+JDq+Haz8uv8emGpqvrggTawwNPLj&#10;n9/Hu7/H+18sOUmi3mNFmTeecuNw5QZanEc/kjMxH9pg0pc4MYoT2OEkMAyRSXJezM/OSopICp0v&#10;5uXHjF48FfuA8TM4w5JR80Dzy7KK/ReM1AilPqakt6y7VlrnGWr7j4MSRw/kJZiqE4+x32TFYTNM&#10;5DauORC3nhah5vhzJwJwtvNBbTtqI3MtUglNITcxbUwa8/M72c//ktU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HO89bNgAAAAKAQAADwAAAAAAAAABACAAAAAiAAAAZHJzL2Rvd25yZXYueG1sUEsB&#10;AhQAFAAAAAgAh07iQAsU5vC8AQAAbQMAAA4AAAAAAAAAAQAgAAAAJwEAAGRycy9lMm9Eb2MueG1s&#10;UEsFBgAAAAAGAAYAWQEAAFUFAAAAAA==&#10;">
                <v:fill on="f" focussize="0,0"/>
                <v:stroke on="f"/>
                <v:imagedata o:title=""/>
                <o:lock v:ext="edit" aspectratio="f"/>
                <v:textbox>
                  <w:txbxContent>
                    <w:p w14:paraId="4EDD0896">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工程优质费计</w:t>
                      </w:r>
                    </w:p>
                    <w:p w14:paraId="47D54803">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提与支付</w:t>
                      </w:r>
                    </w:p>
                  </w:txbxContent>
                </v:textbox>
              </v:shape>
            </w:pict>
          </mc:Fallback>
        </mc:AlternateContent>
      </w:r>
      <w:r>
        <w:rPr>
          <w:rFonts w:hint="default" w:ascii="Times New Roman" w:hAnsi="Times New Roman" w:cs="Times New Roman"/>
          <w:b/>
          <w:bCs/>
          <w:color w:val="auto"/>
          <w:sz w:val="22"/>
          <w:szCs w:val="22"/>
          <w:highlight w:val="none"/>
        </w:rPr>
        <w:t xml:space="preserve">67.2  </w:t>
      </w:r>
      <w:r>
        <w:rPr>
          <w:rFonts w:hint="default" w:ascii="Times New Roman" w:hAnsi="Times New Roman" w:cs="Times New Roman"/>
          <w:b/>
          <w:bCs/>
          <w:color w:val="auto"/>
          <w:sz w:val="22"/>
          <w:szCs w:val="22"/>
          <w:highlight w:val="none"/>
          <w:u w:val="dotted"/>
        </w:rPr>
        <w:t xml:space="preserve">                                                                              </w:t>
      </w:r>
    </w:p>
    <w:p w14:paraId="45A6879A">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除专用条款另有约定外，国家级质量奖、省级质量奖、市级质量奖、其他质量奖项的工程优质费，按照招标工程中标通知书日期（非招标工程的根据合同签订日期）同时期执行的广东省建设工程计价依据工程优质费、广州市住房和城乡建设局发布的工程优质费、广州市建设工程造价管理站发布的工程优质费等各种标准计算。当合同工程同时获得上述多个奖项的，工程优质费只按最高奖项的额度计算。工程优质费列入竣工结算文件中，与竣工结算款一并支付。在竣工结算后获得优质奖项的，发包人应在获得奖项后的28天内支付。</w:t>
      </w:r>
    </w:p>
    <w:p w14:paraId="614D4F50">
      <w:pPr>
        <w:pStyle w:val="15"/>
        <w:adjustRightInd w:val="0"/>
        <w:snapToGrid w:val="0"/>
        <w:spacing w:line="420" w:lineRule="exact"/>
        <w:jc w:val="lef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u w:val="single"/>
        </w:rPr>
        <w:t xml:space="preserve">                                                                                                              </w:t>
      </w:r>
    </w:p>
    <w:p w14:paraId="1D8FAAB4">
      <w:pPr>
        <w:pStyle w:val="15"/>
        <w:tabs>
          <w:tab w:val="left" w:pos="540"/>
        </w:tabs>
        <w:adjustRightInd w:val="0"/>
        <w:snapToGrid w:val="0"/>
        <w:spacing w:before="240" w:beforeLines="100" w:line="420" w:lineRule="exact"/>
        <w:outlineLvl w:val="2"/>
        <w:rPr>
          <w:rFonts w:hint="default" w:ascii="Times New Roman" w:hAnsi="Times New Roman" w:cs="Times New Roman"/>
          <w:b/>
          <w:bCs/>
          <w:color w:val="auto"/>
          <w:sz w:val="22"/>
          <w:szCs w:val="22"/>
          <w:highlight w:val="none"/>
        </w:rPr>
      </w:pPr>
      <w:bookmarkStart w:id="237" w:name="_Toc13270"/>
      <w:bookmarkStart w:id="238" w:name="_Toc469384052"/>
      <w:r>
        <w:rPr>
          <w:rFonts w:hint="default" w:ascii="Times New Roman" w:hAnsi="Times New Roman" w:cs="Times New Roman"/>
          <w:b/>
          <w:bCs/>
          <w:color w:val="auto"/>
          <w:sz w:val="22"/>
          <w:szCs w:val="22"/>
          <w:highlight w:val="none"/>
        </w:rPr>
        <w:t>★68  合同价款的约定与调整</w:t>
      </w:r>
      <w:bookmarkEnd w:id="237"/>
      <w:bookmarkEnd w:id="238"/>
    </w:p>
    <w:p w14:paraId="0AE4672C">
      <w:pPr>
        <w:pStyle w:val="15"/>
        <w:adjustRightInd w:val="0"/>
        <w:snapToGrid w:val="0"/>
        <w:spacing w:line="420" w:lineRule="exact"/>
        <w:ind w:left="1325" w:hanging="1321" w:hangingChars="600"/>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68.1       </w:t>
      </w:r>
    </w:p>
    <w:p w14:paraId="13A51C7E">
      <w:pPr>
        <w:pStyle w:val="15"/>
        <w:adjustRightInd w:val="0"/>
        <w:snapToGrid w:val="0"/>
        <w:spacing w:line="420" w:lineRule="exact"/>
        <w:ind w:left="1438" w:leftChars="685" w:firstLine="26" w:firstLineChars="12"/>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51104" behindDoc="0" locked="0" layoutInCell="1" allowOverlap="1">
                <wp:simplePos x="0" y="0"/>
                <wp:positionH relativeFrom="column">
                  <wp:posOffset>-114300</wp:posOffset>
                </wp:positionH>
                <wp:positionV relativeFrom="paragraph">
                  <wp:posOffset>57150</wp:posOffset>
                </wp:positionV>
                <wp:extent cx="1009650" cy="313055"/>
                <wp:effectExtent l="0" t="0" r="0" b="0"/>
                <wp:wrapNone/>
                <wp:docPr id="291" name="文本框 291"/>
                <wp:cNvGraphicFramePr/>
                <a:graphic xmlns:a="http://schemas.openxmlformats.org/drawingml/2006/main">
                  <a:graphicData uri="http://schemas.microsoft.com/office/word/2010/wordprocessingShape">
                    <wps:wsp>
                      <wps:cNvSpPr txBox="1"/>
                      <wps:spPr>
                        <a:xfrm>
                          <a:off x="0" y="0"/>
                          <a:ext cx="1009650" cy="313055"/>
                        </a:xfrm>
                        <a:prstGeom prst="rect">
                          <a:avLst/>
                        </a:prstGeom>
                        <a:noFill/>
                        <a:ln>
                          <a:noFill/>
                        </a:ln>
                        <a:effectLst/>
                      </wps:spPr>
                      <wps:txbx>
                        <w:txbxContent>
                          <w:p w14:paraId="7D38A45E">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约定合同价款</w:t>
                            </w:r>
                          </w:p>
                        </w:txbxContent>
                      </wps:txbx>
                      <wps:bodyPr wrap="square" upright="1"/>
                    </wps:wsp>
                  </a:graphicData>
                </a:graphic>
              </wp:anchor>
            </w:drawing>
          </mc:Choice>
          <mc:Fallback>
            <w:pict>
              <v:shape id="_x0000_s1026" o:spid="_x0000_s1026" o:spt="202" type="#_x0000_t202" style="position:absolute;left:0pt;margin-left:-9pt;margin-top:4.5pt;height:24.65pt;width:79.5pt;z-index:251951104;mso-width-relative:page;mso-height-relative:page;" filled="f" stroked="f" coordsize="21600,21600" o:gfxdata="UEsDBAoAAAAAAIdO4kAAAAAAAAAAAAAAAAAEAAAAZHJzL1BLAwQUAAAACACHTuJApVZCG9UAAAAI&#10;AQAADwAAAGRycy9kb3ducmV2LnhtbE2PT0/DMAzF70h8h8hI3LaksKGu1N0BxBXE+CNxyxqvrWic&#10;qsnW8u3xTnCyrff0/Hvldva9OtEYu8AI2dKAIq6D67hBeH97WuSgYrLsbB+YEH4owra6vCht4cLE&#10;r3TapUZJCMfCIrQpDYXWsW7J27gMA7FohzB6m+QcG+1GO0m47/WNMXfa247lQ2sHemip/t4dPcLH&#10;8+Hrc2Vemke/HqYwG81+oxGvrzJzDyrRnP7McMYXdKiEaR+O7KLqERZZLl0SwkbGWV9lsuwR1vkt&#10;6KrU/wtUv1BLAwQUAAAACACHTuJApUs52L0BAABuAwAADgAAAGRycy9lMm9Eb2MueG1srVNLbtsw&#10;EN0XyB0I7mPKDhw0guUAhZFsgrZA2gPQ1NAiIH7KoS35Au0Nuuqm+57L5+hQUtw03WTRDTWcz+O8&#10;N6PVbW9bdoCIxruKz2cFZ+CUr43bVfzzp7vLt5xhkq6WrXdQ8SMgv11fvFl1oYSFb3xbQ2QE4rDs&#10;QsWblEIpBKoGrMSZD+AoqH20MtE17kQdZUfothWLorgWnY91iF4BInk3Y5BPiPE1gF5ro2Dj1d6C&#10;SyNqhFYmooSNCcjXQ7dag0oftEZIrK04MU3DSY+Qvc2nWK9kuYsyNEZNLcjXtPCCk5XG0aNnqI1M&#10;ku2j+QfKGhU9ep1mylsxEhkUIRbz4oU2j40MMHAhqTGcRcf/B6veHz5GZuqKL27mnDlpaeSn799O&#10;P36dfn5l2UkSdQFLynwMlJv6d76nxXnyIzkz815Hm7/EiVGcBD6eBYY+MZWLiuLmekkhRbGr+VWx&#10;XGYY8ac6REz34C3LRsUjDXDQVR4eMI2pTyn5MefvTNsOQ2zdXw7CHD0wbMFUnYmMDWcr9dt+Yrf1&#10;9ZHIdbQJFccvexmBs32IZtdQGwNZkUtoDEO/08rkOT+/k/38N1n/B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VWQhvVAAAACAEAAA8AAAAAAAAAAQAgAAAAIgAAAGRycy9kb3ducmV2LnhtbFBLAQIU&#10;ABQAAAAIAIdO4kClSznYvQEAAG4DAAAOAAAAAAAAAAEAIAAAACQBAABkcnMvZTJvRG9jLnhtbFBL&#10;BQYAAAAABgAGAFkBAABTBQAAAAA=&#10;">
                <v:fill on="f" focussize="0,0"/>
                <v:stroke on="f"/>
                <v:imagedata o:title=""/>
                <o:lock v:ext="edit" aspectratio="f"/>
                <v:textbox>
                  <w:txbxContent>
                    <w:p w14:paraId="7D38A45E">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约定合同价款</w:t>
                      </w:r>
                    </w:p>
                  </w:txbxContent>
                </v:textbox>
              </v:shape>
            </w:pict>
          </mc:Fallback>
        </mc:AlternateContent>
      </w:r>
      <w:r>
        <w:rPr>
          <w:rFonts w:hint="default" w:ascii="Times New Roman" w:hAnsi="Times New Roman" w:cs="Times New Roman"/>
          <w:color w:val="auto"/>
          <w:sz w:val="22"/>
          <w:szCs w:val="22"/>
          <w:highlight w:val="none"/>
        </w:rPr>
        <w:t>合同双方当事人应在本合同协议书中约定合同价款。招标工程的合同价款由合同双方当事人依据中标通知书的中标价款在本合同协议书中约定。非招标工程的合同价款由合同双方当事人依据双方确定施工图预算的总造价在本合同协议书中约定。</w:t>
      </w:r>
    </w:p>
    <w:p w14:paraId="281BA7D6">
      <w:pPr>
        <w:pStyle w:val="15"/>
        <w:adjustRightInd w:val="0"/>
        <w:snapToGrid w:val="0"/>
        <w:spacing w:line="420" w:lineRule="exact"/>
        <w:rPr>
          <w:rFonts w:hint="default" w:ascii="Times New Roman" w:hAnsi="Times New Roman" w:cs="Times New Roman"/>
          <w:color w:val="auto"/>
          <w:sz w:val="22"/>
          <w:szCs w:val="22"/>
          <w:highlight w:val="none"/>
          <w:u w:val="dotted"/>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52128" behindDoc="0" locked="0" layoutInCell="1" allowOverlap="1">
                <wp:simplePos x="0" y="0"/>
                <wp:positionH relativeFrom="column">
                  <wp:posOffset>-178435</wp:posOffset>
                </wp:positionH>
                <wp:positionV relativeFrom="paragraph">
                  <wp:posOffset>219710</wp:posOffset>
                </wp:positionV>
                <wp:extent cx="726440" cy="483235"/>
                <wp:effectExtent l="0" t="0" r="0" b="0"/>
                <wp:wrapNone/>
                <wp:docPr id="292" name="文本框 292"/>
                <wp:cNvGraphicFramePr/>
                <a:graphic xmlns:a="http://schemas.openxmlformats.org/drawingml/2006/main">
                  <a:graphicData uri="http://schemas.microsoft.com/office/word/2010/wordprocessingShape">
                    <wps:wsp>
                      <wps:cNvSpPr txBox="1"/>
                      <wps:spPr>
                        <a:xfrm>
                          <a:off x="0" y="0"/>
                          <a:ext cx="726440" cy="483235"/>
                        </a:xfrm>
                        <a:prstGeom prst="rect">
                          <a:avLst/>
                        </a:prstGeom>
                        <a:noFill/>
                        <a:ln>
                          <a:noFill/>
                        </a:ln>
                        <a:effectLst/>
                      </wps:spPr>
                      <wps:txbx>
                        <w:txbxContent>
                          <w:p w14:paraId="0FDDDEA7">
                            <w:pPr>
                              <w:pStyle w:val="10"/>
                              <w:spacing w:line="200" w:lineRule="exact"/>
                              <w:rPr>
                                <w:rFonts w:ascii="楷体_GB2312" w:hAnsi="宋体" w:eastAsia="楷体_GB2312"/>
                                <w:b/>
                                <w:bCs/>
                                <w:sz w:val="18"/>
                                <w:szCs w:val="18"/>
                              </w:rPr>
                            </w:pPr>
                            <w:r>
                              <w:rPr>
                                <w:rFonts w:hint="eastAsia" w:ascii="楷体_GB2312" w:hAnsi="宋体" w:eastAsia="楷体_GB2312" w:cs="楷体_GB2312"/>
                                <w:b/>
                                <w:bCs/>
                                <w:sz w:val="18"/>
                                <w:szCs w:val="18"/>
                              </w:rPr>
                              <w:t>合同价款的方式</w:t>
                            </w:r>
                          </w:p>
                        </w:txbxContent>
                      </wps:txbx>
                      <wps:bodyPr wrap="square" upright="1"/>
                    </wps:wsp>
                  </a:graphicData>
                </a:graphic>
              </wp:anchor>
            </w:drawing>
          </mc:Choice>
          <mc:Fallback>
            <w:pict>
              <v:shape id="_x0000_s1026" o:spid="_x0000_s1026" o:spt="202" type="#_x0000_t202" style="position:absolute;left:0pt;margin-left:-14.05pt;margin-top:17.3pt;height:38.05pt;width:57.2pt;z-index:251952128;mso-width-relative:page;mso-height-relative:page;" filled="f" stroked="f" coordsize="21600,21600" o:gfxdata="UEsDBAoAAAAAAIdO4kAAAAAAAAAAAAAAAAAEAAAAZHJzL1BLAwQUAAAACACHTuJAQiLF1tcAAAAJ&#10;AQAADwAAAGRycy9kb3ducmV2LnhtbE2Py07DMBBF90j9B2uQ2LV22hJCiNNFEVsqykNi58bTJCIe&#10;R7HbhL9nuqLL0T2690yxmVwnzjiE1pOGZKFAIFXetlRr+Hh/mWcgQjRkTecJNfxigE05uylMbv1I&#10;b3jex1pwCYXcaGhi7HMpQ9WgM2HheyTOjn5wJvI51NIOZuRy18mlUql0piVeaEyP2warn/3Jafh8&#10;PX5/rdWufnb3/egnJck9Sq3vbhP1BCLiFP9huOizOpTsdPAnskF0GubLLGFUw2qdgmAgS1cgDgwm&#10;6gFkWcjrD8o/UEsDBBQAAAAIAIdO4kAbuWvFvQEAAG0DAAAOAAAAZHJzL2Uyb0RvYy54bWytU0tu&#10;2zAQ3RfIHQjuazmKk6aC5QCFkW6KtkDaA9DU0CLAXzi0JV8gvUFX3XTfc/kcHUqKm6abLLqhhvN5&#10;nPdmtLzprWF7iKi9q/n5bM4ZOOkb7bY1//rl9vU1Z5iEa4TxDmp+AOQ3q7NXyy5UUPrWmwYiIxCH&#10;VRdq3qYUqqJA2YIVOPMBHAWVj1YkusZt0UTREbo1RTmfXxWdj02IXgIieddjkE+I8SWAXiktYe3l&#10;zoJLI2oEIxJRwlYH5KuhW6VApk9KISRmak5M03DSI2Rv8lmslqLaRhFaLacWxEtaeMbJCu3o0RPU&#10;WiTBdlH/A2W1jB69SjPpbTESGRQhFufzZ9rctSLAwIWkxnASHf8frPy4/xyZbmpevi05c8LSyI/f&#10;vx1//Dr+fGDZSRJ1ASvKvAuUm/p3vqfFefQjOTPzXkWbv8SJUZwEPpwEhj4xSc435dViQRFJocX1&#10;RXlxmVGKP8UhYnoP3rJs1DzS/AZZxf4DpjH1MSW/5fytNmaYoXF/OQhz9MCwBFN15jH2m63Ub/qJ&#10;3MY3B+LW0SLUHO93IgJnuxD1tqU2Bq5FLqEpDP1OG5PH/PRO9tO/ZPU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QiLF1tcAAAAJAQAADwAAAAAAAAABACAAAAAiAAAAZHJzL2Rvd25yZXYueG1sUEsB&#10;AhQAFAAAAAgAh07iQBu5a8W9AQAAbQMAAA4AAAAAAAAAAQAgAAAAJgEAAGRycy9lMm9Eb2MueG1s&#10;UEsFBgAAAAAGAAYAWQEAAFUFAAAAAA==&#10;">
                <v:fill on="f" focussize="0,0"/>
                <v:stroke on="f"/>
                <v:imagedata o:title=""/>
                <o:lock v:ext="edit" aspectratio="f"/>
                <v:textbox>
                  <w:txbxContent>
                    <w:p w14:paraId="0FDDDEA7">
                      <w:pPr>
                        <w:pStyle w:val="10"/>
                        <w:spacing w:line="200" w:lineRule="exact"/>
                        <w:rPr>
                          <w:rFonts w:ascii="楷体_GB2312" w:hAnsi="宋体" w:eastAsia="楷体_GB2312"/>
                          <w:b/>
                          <w:bCs/>
                          <w:sz w:val="18"/>
                          <w:szCs w:val="18"/>
                        </w:rPr>
                      </w:pPr>
                      <w:r>
                        <w:rPr>
                          <w:rFonts w:hint="eastAsia" w:ascii="楷体_GB2312" w:hAnsi="宋体" w:eastAsia="楷体_GB2312" w:cs="楷体_GB2312"/>
                          <w:b/>
                          <w:bCs/>
                          <w:sz w:val="18"/>
                          <w:szCs w:val="18"/>
                        </w:rPr>
                        <w:t>合同价款的方式</w:t>
                      </w:r>
                    </w:p>
                  </w:txbxContent>
                </v:textbox>
              </v:shape>
            </w:pict>
          </mc:Fallback>
        </mc:AlternateContent>
      </w:r>
      <w:r>
        <w:rPr>
          <w:rFonts w:hint="default" w:ascii="Times New Roman" w:hAnsi="Times New Roman" w:cs="Times New Roman"/>
          <w:color w:val="auto"/>
          <w:sz w:val="22"/>
          <w:szCs w:val="22"/>
          <w:highlight w:val="none"/>
        </w:rPr>
        <w:t xml:space="preserve">68.2  </w:t>
      </w:r>
      <w:r>
        <w:rPr>
          <w:rFonts w:hint="default" w:ascii="Times New Roman" w:hAnsi="Times New Roman" w:cs="Times New Roman"/>
          <w:color w:val="auto"/>
          <w:sz w:val="22"/>
          <w:szCs w:val="22"/>
          <w:highlight w:val="none"/>
          <w:u w:val="dotted"/>
        </w:rPr>
        <w:t xml:space="preserve">                                                                                 </w:t>
      </w:r>
    </w:p>
    <w:p w14:paraId="72CF95E4">
      <w:pPr>
        <w:pStyle w:val="15"/>
        <w:adjustRightInd w:val="0"/>
        <w:snapToGrid w:val="0"/>
        <w:spacing w:line="420" w:lineRule="exact"/>
        <w:ind w:firstLine="1321" w:firstLineChars="600"/>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下列各种确定合同价款的方式，双方可在专用条款内约定采用其中一种：</w:t>
      </w:r>
    </w:p>
    <w:p w14:paraId="76888658">
      <w:pPr>
        <w:pStyle w:val="15"/>
        <w:adjustRightInd w:val="0"/>
        <w:snapToGrid w:val="0"/>
        <w:spacing w:line="420" w:lineRule="exact"/>
        <w:ind w:left="1407" w:hanging="1402" w:hangingChars="637"/>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 xml:space="preserve">            </w:t>
      </w:r>
      <w:r>
        <w:rPr>
          <w:rFonts w:hint="default" w:ascii="Times New Roman" w:hAnsi="Times New Roman" w:cs="Times New Roman"/>
          <w:color w:val="auto"/>
          <w:sz w:val="22"/>
          <w:szCs w:val="22"/>
          <w:highlight w:val="none"/>
        </w:rPr>
        <w:t>（1）总价合同。总价合同是指合同当事人约定以施工图、已标价工程量清单或预算书及有关条件进行合同价格计算、调整和确认的建设工程施工合同，在约定的范围内合同总价不作调整。合同当事人应在专用合同条款中约定总价包含的风险范围和风险费用的计算方法，并约定风险范围以外的合同价格的调整方法。</w:t>
      </w:r>
    </w:p>
    <w:p w14:paraId="31F59C86">
      <w:pPr>
        <w:pStyle w:val="15"/>
        <w:adjustRightInd w:val="0"/>
        <w:snapToGrid w:val="0"/>
        <w:spacing w:line="420" w:lineRule="exact"/>
        <w:ind w:left="1401" w:leftChars="667"/>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2）单价合同。是指合同当事人约定以工程量清单及其综合单价进行合同价格计算、调整和确认的建设工程施工合同，在约定的范围内合同单价不作调整。合同当事人应在专用合同条款中约定综合单价包含的风险范围和风险费用的计算方法，并约定风险范围以外的合同价格的调整方法。</w:t>
      </w:r>
    </w:p>
    <w:p w14:paraId="32BB7F4B">
      <w:pPr>
        <w:spacing w:line="420" w:lineRule="exact"/>
        <w:ind w:left="1525" w:leftChars="674" w:hanging="110" w:hangingChars="5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（3）按实结算合同。承包方根据相关资料编制预算，合同价款是暂定价，双方在专用条款内约定合同价款调整方法。</w:t>
      </w:r>
    </w:p>
    <w:p w14:paraId="6A0A91E2">
      <w:pPr>
        <w:pStyle w:val="15"/>
        <w:adjustRightInd w:val="0"/>
        <w:snapToGrid w:val="0"/>
        <w:spacing w:line="420" w:lineRule="exact"/>
        <w:ind w:left="1401" w:leftChars="667"/>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（4）</w:t>
      </w:r>
      <w:r>
        <w:rPr>
          <w:rFonts w:hint="default" w:ascii="Times New Roman" w:hAnsi="Times New Roman" w:cs="Times New Roman"/>
          <w:color w:val="auto"/>
          <w:sz w:val="22"/>
          <w:szCs w:val="22"/>
          <w:highlight w:val="none"/>
          <w:lang w:eastAsia="zh-CN"/>
        </w:rPr>
        <w:t>其他</w:t>
      </w:r>
      <w:r>
        <w:rPr>
          <w:rFonts w:hint="default" w:ascii="Times New Roman" w:hAnsi="Times New Roman" w:cs="Times New Roman"/>
          <w:color w:val="auto"/>
          <w:sz w:val="22"/>
          <w:szCs w:val="22"/>
          <w:highlight w:val="none"/>
        </w:rPr>
        <w:t>价格形式。合同当事人可在专用条款中约定其他合同价格形式。</w:t>
      </w:r>
    </w:p>
    <w:p w14:paraId="49A618CB">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68.3  </w:t>
      </w:r>
      <w:r>
        <w:rPr>
          <w:rFonts w:hint="default" w:ascii="Times New Roman" w:hAnsi="Times New Roman" w:cs="Times New Roman"/>
          <w:b/>
          <w:bCs/>
          <w:color w:val="auto"/>
          <w:sz w:val="22"/>
          <w:szCs w:val="22"/>
          <w:highlight w:val="none"/>
          <w:u w:val="dotted"/>
        </w:rPr>
        <w:t xml:space="preserve">                                                                                                        </w:t>
      </w:r>
    </w:p>
    <w:p w14:paraId="3B5BE703">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53152" behindDoc="0" locked="0" layoutInCell="1" allowOverlap="1">
                <wp:simplePos x="0" y="0"/>
                <wp:positionH relativeFrom="column">
                  <wp:posOffset>-114300</wp:posOffset>
                </wp:positionH>
                <wp:positionV relativeFrom="paragraph">
                  <wp:posOffset>5080</wp:posOffset>
                </wp:positionV>
                <wp:extent cx="914400" cy="521335"/>
                <wp:effectExtent l="0" t="0" r="0" b="0"/>
                <wp:wrapNone/>
                <wp:docPr id="293" name="文本框 293"/>
                <wp:cNvGraphicFramePr/>
                <a:graphic xmlns:a="http://schemas.openxmlformats.org/drawingml/2006/main">
                  <a:graphicData uri="http://schemas.microsoft.com/office/word/2010/wordprocessingShape">
                    <wps:wsp>
                      <wps:cNvSpPr txBox="1"/>
                      <wps:spPr>
                        <a:xfrm>
                          <a:off x="0" y="0"/>
                          <a:ext cx="914400" cy="521335"/>
                        </a:xfrm>
                        <a:prstGeom prst="rect">
                          <a:avLst/>
                        </a:prstGeom>
                        <a:noFill/>
                        <a:ln>
                          <a:noFill/>
                        </a:ln>
                        <a:effectLst/>
                      </wps:spPr>
                      <wps:txbx>
                        <w:txbxContent>
                          <w:p w14:paraId="1604B404">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合同价款的调整事件</w:t>
                            </w:r>
                          </w:p>
                        </w:txbxContent>
                      </wps:txbx>
                      <wps:bodyPr wrap="square" upright="1"/>
                    </wps:wsp>
                  </a:graphicData>
                </a:graphic>
              </wp:anchor>
            </w:drawing>
          </mc:Choice>
          <mc:Fallback>
            <w:pict>
              <v:shape id="_x0000_s1026" o:spid="_x0000_s1026" o:spt="202" type="#_x0000_t202" style="position:absolute;left:0pt;margin-left:-9pt;margin-top:0.4pt;height:41.05pt;width:72pt;z-index:251953152;mso-width-relative:page;mso-height-relative:page;" filled="f" stroked="f" coordsize="21600,21600" o:gfxdata="UEsDBAoAAAAAAIdO4kAAAAAAAAAAAAAAAAAEAAAAZHJzL1BLAwQUAAAACACHTuJAc7hr+9MAAAAH&#10;AQAADwAAAGRycy9kb3ducmV2LnhtbE2PwU7DMBBE70j8g7VI3Np1IqjaEKcHEFcQpSBxc+NtEhGv&#10;o9htwt+zPcHxaVazb8rt7Ht1pjF2gQ1kSw2KuA6u48bA/v15sQYVk2Vn+8Bk4IcibKvrq9IWLkz8&#10;RuddapSUcCysgTaloUCMdUvexmUYiCU7htHbJDg26EY7SbnvMdd6hd52LB9aO9BjS/X37uQNfLwc&#10;vz7v9Gvz5O+HKcwa2W/QmNubTD+ASjSnv2O46Is6VOJ0CCd2UfUGFtlatiQDMuAS5yvBg2C+AaxK&#10;/O9f/QJQSwMEFAAAAAgAh07iQE/5fxK9AQAAbQMAAA4AAABkcnMvZTJvRG9jLnhtbK1TS27bMBDd&#10;F+gdCO5ryXZSNILlAIWRboq2QJoD0NTQIiB+yqEt+QLtDbrqpvuey+fokFLcNNlkkQ01nM/jvDej&#10;1fVgOnaAgNrZms9nJWdgpWu03dX87uvNm3ecYRS2EZ2zUPMjIL9ev3616n0FC9e6roHACMRi1fua&#10;tzH6qihQtmAEzpwHS0HlghGRrmFXNEH0hG66YlGWb4vehcYHJwGRvJsxyCfE8BxAp5SWsHFyb8DG&#10;ETVAJyJRwlZ75OvcrVIg42elECLrak5MYz7pEbK36SzWK1HtgvCtllML4jktPOJkhLb06BlqI6Jg&#10;+6CfQBktg0On4kw6U4xEsiLEYl4+0ua2FR4yF5Ia/Vl0fDlY+enwJTDd1HxxteTMCkMjP/38cfr1&#10;5/T7O0tOkqj3WFHmrafcOLx3Ay3OvR/JmZgPKpj0JU6M4iTw8SwwDJFJcl7NLy5KikgKXS7my+Vl&#10;Qin+FfuA8QM4w5JR80Dzy7KKw0eMY+p9SnrLuhvddXmGnf3PQZijB/ISTNWJx9hvsuKwHSZyW9cc&#10;iVtPi1Bz/LYXATjb+6B3LbWRuRaphKaQ+502Jo354Z3sh3/J+i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BzuGv70wAAAAcBAAAPAAAAAAAAAAEAIAAAACIAAABkcnMvZG93bnJldi54bWxQSwECFAAU&#10;AAAACACHTuJAT/l/Er0BAABtAwAADgAAAAAAAAABACAAAAAiAQAAZHJzL2Uyb0RvYy54bWxQSwUG&#10;AAAAAAYABgBZAQAAUQUAAAAA&#10;">
                <v:fill on="f" focussize="0,0"/>
                <v:stroke on="f"/>
                <v:imagedata o:title=""/>
                <o:lock v:ext="edit" aspectratio="f"/>
                <v:textbox>
                  <w:txbxContent>
                    <w:p w14:paraId="1604B404">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合同价款的调整事件</w:t>
                      </w:r>
                    </w:p>
                  </w:txbxContent>
                </v:textbox>
              </v:shape>
            </w:pict>
          </mc:Fallback>
        </mc:AlternateContent>
      </w:r>
      <w:r>
        <w:rPr>
          <w:rFonts w:hint="default" w:ascii="Times New Roman" w:hAnsi="Times New Roman" w:cs="Times New Roman"/>
          <w:b/>
          <w:bCs/>
          <w:color w:val="auto"/>
          <w:sz w:val="22"/>
          <w:szCs w:val="22"/>
          <w:highlight w:val="none"/>
        </w:rPr>
        <w:t>合同双方当事人应明确合同价款的调整事件。除专用条款另有约定外，调整事件应包括：</w:t>
      </w:r>
    </w:p>
    <w:p w14:paraId="7D8D5EBC">
      <w:pPr>
        <w:pStyle w:val="15"/>
        <w:numPr>
          <w:ilvl w:val="0"/>
          <w:numId w:val="23"/>
        </w:numPr>
        <w:adjustRightInd w:val="0"/>
        <w:snapToGrid w:val="0"/>
        <w:spacing w:line="420" w:lineRule="exact"/>
        <w:ind w:firstLine="42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后继法律变化事件；</w:t>
      </w:r>
    </w:p>
    <w:p w14:paraId="7B7FCFC5">
      <w:pPr>
        <w:pStyle w:val="15"/>
        <w:numPr>
          <w:ilvl w:val="0"/>
          <w:numId w:val="23"/>
        </w:numPr>
        <w:adjustRightInd w:val="0"/>
        <w:snapToGrid w:val="0"/>
        <w:spacing w:line="420" w:lineRule="exact"/>
        <w:ind w:firstLine="42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项目特征描述不符事件；</w:t>
      </w:r>
    </w:p>
    <w:p w14:paraId="54842F8D">
      <w:pPr>
        <w:pStyle w:val="15"/>
        <w:numPr>
          <w:ilvl w:val="0"/>
          <w:numId w:val="23"/>
        </w:numPr>
        <w:adjustRightInd w:val="0"/>
        <w:snapToGrid w:val="0"/>
        <w:spacing w:line="420" w:lineRule="exact"/>
        <w:ind w:firstLine="42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分部分项工程量清单缺项漏项事件；</w:t>
      </w:r>
    </w:p>
    <w:p w14:paraId="54E782F6">
      <w:pPr>
        <w:pStyle w:val="15"/>
        <w:numPr>
          <w:ilvl w:val="0"/>
          <w:numId w:val="23"/>
        </w:numPr>
        <w:adjustRightInd w:val="0"/>
        <w:snapToGrid w:val="0"/>
        <w:spacing w:line="420" w:lineRule="exact"/>
        <w:ind w:firstLine="42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工程变更事件；</w:t>
      </w:r>
    </w:p>
    <w:p w14:paraId="74C553E7">
      <w:pPr>
        <w:pStyle w:val="15"/>
        <w:numPr>
          <w:ilvl w:val="0"/>
          <w:numId w:val="23"/>
        </w:numPr>
        <w:adjustRightInd w:val="0"/>
        <w:snapToGrid w:val="0"/>
        <w:spacing w:line="420" w:lineRule="exact"/>
        <w:ind w:firstLine="42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工程量偏差事件；</w:t>
      </w:r>
    </w:p>
    <w:p w14:paraId="04B85C40">
      <w:pPr>
        <w:pStyle w:val="15"/>
        <w:numPr>
          <w:ilvl w:val="0"/>
          <w:numId w:val="23"/>
        </w:numPr>
        <w:adjustRightInd w:val="0"/>
        <w:snapToGrid w:val="0"/>
        <w:spacing w:line="420" w:lineRule="exact"/>
        <w:ind w:firstLine="42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费用索赔事件；</w:t>
      </w:r>
    </w:p>
    <w:p w14:paraId="4649F700">
      <w:pPr>
        <w:pStyle w:val="15"/>
        <w:numPr>
          <w:ilvl w:val="0"/>
          <w:numId w:val="23"/>
        </w:numPr>
        <w:adjustRightInd w:val="0"/>
        <w:snapToGrid w:val="0"/>
        <w:spacing w:line="420" w:lineRule="exact"/>
        <w:ind w:firstLine="42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现场签证事件；</w:t>
      </w:r>
    </w:p>
    <w:p w14:paraId="441A3ECE">
      <w:pPr>
        <w:pStyle w:val="15"/>
        <w:numPr>
          <w:ilvl w:val="0"/>
          <w:numId w:val="23"/>
        </w:numPr>
        <w:adjustRightInd w:val="0"/>
        <w:snapToGrid w:val="0"/>
        <w:spacing w:line="420" w:lineRule="exact"/>
        <w:ind w:firstLine="42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物价涨落事件；</w:t>
      </w:r>
    </w:p>
    <w:p w14:paraId="0981E88B">
      <w:pPr>
        <w:pStyle w:val="15"/>
        <w:numPr>
          <w:ilvl w:val="0"/>
          <w:numId w:val="23"/>
        </w:numPr>
        <w:adjustRightInd w:val="0"/>
        <w:snapToGrid w:val="0"/>
        <w:spacing w:line="420" w:lineRule="exact"/>
        <w:ind w:firstLine="42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专用条款约定的其他事件。</w:t>
      </w:r>
    </w:p>
    <w:p w14:paraId="27378447">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本款</w:t>
      </w:r>
      <w:r>
        <w:rPr>
          <w:rFonts w:hint="default" w:ascii="Times New Roman" w:hAnsi="Times New Roman" w:cs="Times New Roman"/>
          <w:color w:val="auto"/>
          <w:sz w:val="22"/>
          <w:szCs w:val="22"/>
          <w:highlight w:val="none"/>
          <w:lang w:eastAsia="zh-CN"/>
        </w:rPr>
        <w:t>（</w:t>
      </w:r>
      <w:r>
        <w:rPr>
          <w:rFonts w:hint="default" w:ascii="Times New Roman" w:hAnsi="Times New Roman" w:cs="Times New Roman"/>
          <w:color w:val="auto"/>
          <w:sz w:val="22"/>
          <w:szCs w:val="22"/>
          <w:highlight w:val="none"/>
        </w:rPr>
        <w:t>1</w:t>
      </w:r>
      <w:r>
        <w:rPr>
          <w:rFonts w:hint="default" w:ascii="Times New Roman" w:hAnsi="Times New Roman" w:cs="Times New Roman"/>
          <w:color w:val="auto"/>
          <w:sz w:val="22"/>
          <w:szCs w:val="22"/>
          <w:highlight w:val="none"/>
          <w:lang w:eastAsia="zh-CN"/>
        </w:rPr>
        <w:t>）</w:t>
      </w:r>
      <w:r>
        <w:rPr>
          <w:rFonts w:hint="default" w:ascii="Times New Roman" w:hAnsi="Times New Roman" w:cs="Times New Roman"/>
          <w:color w:val="auto"/>
          <w:sz w:val="22"/>
          <w:szCs w:val="22"/>
          <w:highlight w:val="none"/>
        </w:rPr>
        <w:t>至</w:t>
      </w:r>
      <w:r>
        <w:rPr>
          <w:rFonts w:hint="default" w:ascii="Times New Roman" w:hAnsi="Times New Roman" w:cs="Times New Roman"/>
          <w:color w:val="auto"/>
          <w:sz w:val="22"/>
          <w:szCs w:val="22"/>
          <w:highlight w:val="none"/>
          <w:lang w:eastAsia="zh-CN"/>
        </w:rPr>
        <w:t>（</w:t>
      </w:r>
      <w:r>
        <w:rPr>
          <w:rFonts w:hint="default" w:ascii="Times New Roman" w:hAnsi="Times New Roman" w:cs="Times New Roman"/>
          <w:color w:val="auto"/>
          <w:sz w:val="22"/>
          <w:szCs w:val="22"/>
          <w:highlight w:val="none"/>
        </w:rPr>
        <w:t>9</w:t>
      </w:r>
      <w:r>
        <w:rPr>
          <w:rFonts w:hint="default" w:ascii="Times New Roman" w:hAnsi="Times New Roman" w:cs="Times New Roman"/>
          <w:color w:val="auto"/>
          <w:sz w:val="22"/>
          <w:szCs w:val="22"/>
          <w:highlight w:val="none"/>
          <w:lang w:eastAsia="zh-CN"/>
        </w:rPr>
        <w:t>）</w:t>
      </w:r>
      <w:r>
        <w:rPr>
          <w:rFonts w:hint="default" w:ascii="Times New Roman" w:hAnsi="Times New Roman" w:cs="Times New Roman"/>
          <w:color w:val="auto"/>
          <w:sz w:val="22"/>
          <w:szCs w:val="22"/>
          <w:highlight w:val="none"/>
        </w:rPr>
        <w:t>调整事件应分别按照第69条至第76条的规定调整合同价款。</w:t>
      </w:r>
    </w:p>
    <w:p w14:paraId="00D9D1E5">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68.4  </w:t>
      </w:r>
      <w:r>
        <w:rPr>
          <w:rFonts w:hint="default" w:ascii="Times New Roman" w:hAnsi="Times New Roman" w:cs="Times New Roman"/>
          <w:b/>
          <w:bCs/>
          <w:color w:val="auto"/>
          <w:sz w:val="22"/>
          <w:szCs w:val="22"/>
          <w:highlight w:val="none"/>
          <w:u w:val="dotted"/>
        </w:rPr>
        <w:t xml:space="preserve">                                                                                                        </w:t>
      </w:r>
    </w:p>
    <w:p w14:paraId="38DCF9B2">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54176" behindDoc="0" locked="0" layoutInCell="1" allowOverlap="1">
                <wp:simplePos x="0" y="0"/>
                <wp:positionH relativeFrom="column">
                  <wp:posOffset>-114300</wp:posOffset>
                </wp:positionH>
                <wp:positionV relativeFrom="paragraph">
                  <wp:posOffset>5080</wp:posOffset>
                </wp:positionV>
                <wp:extent cx="914400" cy="521335"/>
                <wp:effectExtent l="0" t="0" r="0" b="0"/>
                <wp:wrapNone/>
                <wp:docPr id="294" name="文本框 294"/>
                <wp:cNvGraphicFramePr/>
                <a:graphic xmlns:a="http://schemas.openxmlformats.org/drawingml/2006/main">
                  <a:graphicData uri="http://schemas.microsoft.com/office/word/2010/wordprocessingShape">
                    <wps:wsp>
                      <wps:cNvSpPr txBox="1"/>
                      <wps:spPr>
                        <a:xfrm>
                          <a:off x="0" y="0"/>
                          <a:ext cx="914400" cy="521335"/>
                        </a:xfrm>
                        <a:prstGeom prst="rect">
                          <a:avLst/>
                        </a:prstGeom>
                        <a:noFill/>
                        <a:ln>
                          <a:noFill/>
                        </a:ln>
                        <a:effectLst/>
                      </wps:spPr>
                      <wps:txbx>
                        <w:txbxContent>
                          <w:p w14:paraId="43B1A8C6">
                            <w:pPr>
                              <w:pStyle w:val="10"/>
                              <w:spacing w:line="200" w:lineRule="exact"/>
                              <w:rPr>
                                <w:rFonts w:ascii="宋体"/>
                                <w:sz w:val="18"/>
                                <w:szCs w:val="18"/>
                              </w:rPr>
                            </w:pPr>
                            <w:r>
                              <w:rPr>
                                <w:rFonts w:hint="eastAsia" w:ascii="楷体_GB2312" w:hAnsi="宋体" w:eastAsia="楷体_GB2312" w:cs="楷体_GB2312"/>
                                <w:b/>
                                <w:bCs/>
                                <w:color w:val="000000"/>
                                <w:sz w:val="18"/>
                                <w:szCs w:val="18"/>
                              </w:rPr>
                              <w:t>调整合同价款</w:t>
                            </w:r>
                          </w:p>
                        </w:txbxContent>
                      </wps:txbx>
                      <wps:bodyPr wrap="square" upright="1"/>
                    </wps:wsp>
                  </a:graphicData>
                </a:graphic>
              </wp:anchor>
            </w:drawing>
          </mc:Choice>
          <mc:Fallback>
            <w:pict>
              <v:shape id="_x0000_s1026" o:spid="_x0000_s1026" o:spt="202" type="#_x0000_t202" style="position:absolute;left:0pt;margin-left:-9pt;margin-top:0.4pt;height:41.05pt;width:72pt;z-index:251954176;mso-width-relative:page;mso-height-relative:page;" filled="f" stroked="f" coordsize="21600,21600" o:gfxdata="UEsDBAoAAAAAAIdO4kAAAAAAAAAAAAAAAAAEAAAAZHJzL1BLAwQUAAAACACHTuJAc7hr+9MAAAAH&#10;AQAADwAAAGRycy9kb3ducmV2LnhtbE2PwU7DMBBE70j8g7VI3Np1IqjaEKcHEFcQpSBxc+NtEhGv&#10;o9htwt+zPcHxaVazb8rt7Ht1pjF2gQ1kSw2KuA6u48bA/v15sQYVk2Vn+8Bk4IcibKvrq9IWLkz8&#10;RuddapSUcCysgTaloUCMdUvexmUYiCU7htHbJDg26EY7SbnvMdd6hd52LB9aO9BjS/X37uQNfLwc&#10;vz7v9Gvz5O+HKcwa2W/QmNubTD+ASjSnv2O46Is6VOJ0CCd2UfUGFtlatiQDMuAS5yvBg2C+AaxK&#10;/O9f/QJQSwMEFAAAAAgAh07iQFIMoIm9AQAAbQMAAA4AAABkcnMvZTJvRG9jLnhtbK1TS27bMBDd&#10;F+gdCO5ryY5TNILlAIWRboq2QJoD0NTQIiB+yqEt+QLtDbrqpvuey+fokFLcNNlkkQ01nM/jvDej&#10;1fVgOnaAgNrZms9nJWdgpWu03dX87uvNm3ecYRS2EZ2zUPMjIL9ev3616n0FC9e6roHACMRi1fua&#10;tzH6qihQtmAEzpwHS0HlghGRrmFXNEH0hG66YlGWb4vehcYHJwGRvJsxyCfE8BxAp5SWsHFyb8DG&#10;ETVAJyJRwlZ75OvcrVIg42elECLrak5MYz7pEbK36SzWK1HtgvCtllML4jktPOJkhLb06BlqI6Jg&#10;+6CfQBktg0On4kw6U4xEsiLEYl4+0ua2FR4yF5Ia/Vl0fDlY+enwJTDd1HxxteTMCkMjP/38cfr1&#10;5/T7O0tOkqj3WFHmrafcOLx3Ay3OvR/JmZgPKpj0JU6M4iTw8SwwDJFJcl7Nl8uSIpJCl4v5xcVl&#10;Qin+FfuA8QM4w5JR80Dzy7KKw0eMY+p9SnrLuhvddXmGnf3PQZijB/ISTNWJx9hvsuKwHSZyW9cc&#10;iVtPi1Bz/LYXATjb+6B3LbWRuRaphKaQ+502Jo354Z3sh3/J+i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BzuGv70wAAAAcBAAAPAAAAAAAAAAEAIAAAACIAAABkcnMvZG93bnJldi54bWxQSwECFAAU&#10;AAAACACHTuJAUgygib0BAABtAwAADgAAAAAAAAABACAAAAAiAQAAZHJzL2Uyb0RvYy54bWxQSwUG&#10;AAAAAAYABgBZAQAAUQUAAAAA&#10;">
                <v:fill on="f" focussize="0,0"/>
                <v:stroke on="f"/>
                <v:imagedata o:title=""/>
                <o:lock v:ext="edit" aspectratio="f"/>
                <v:textbox>
                  <w:txbxContent>
                    <w:p w14:paraId="43B1A8C6">
                      <w:pPr>
                        <w:pStyle w:val="10"/>
                        <w:spacing w:line="200" w:lineRule="exact"/>
                        <w:rPr>
                          <w:rFonts w:ascii="宋体"/>
                          <w:sz w:val="18"/>
                          <w:szCs w:val="18"/>
                        </w:rPr>
                      </w:pPr>
                      <w:r>
                        <w:rPr>
                          <w:rFonts w:hint="eastAsia" w:ascii="楷体_GB2312" w:hAnsi="宋体" w:eastAsia="楷体_GB2312" w:cs="楷体_GB2312"/>
                          <w:b/>
                          <w:bCs/>
                          <w:color w:val="000000"/>
                          <w:sz w:val="18"/>
                          <w:szCs w:val="18"/>
                        </w:rPr>
                        <w:t>调整合同价款</w:t>
                      </w:r>
                    </w:p>
                  </w:txbxContent>
                </v:textbox>
              </v:shape>
            </w:pict>
          </mc:Fallback>
        </mc:AlternateContent>
      </w:r>
      <w:r>
        <w:rPr>
          <w:rFonts w:hint="default" w:ascii="Times New Roman" w:hAnsi="Times New Roman" w:cs="Times New Roman"/>
          <w:color w:val="auto"/>
          <w:sz w:val="22"/>
          <w:szCs w:val="22"/>
          <w:highlight w:val="none"/>
        </w:rPr>
        <w:t>出现第68.2款规定调整合同价款事件的，合同双方当事人应调整合同价款。除费用索赔、现场签证事件分别按照第74条、第75条规定外，调整合同价款的提出、核实、确认与支付等事项，由合同双方当事人按照第77条规定办理。</w:t>
      </w:r>
    </w:p>
    <w:p w14:paraId="73300272">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根据第68.2款规定事件调整合同价款，如果是按照第48条规定由发包人自行供应或发包人招标、承包人采购材料和工程设备的，均不应考虑第72.2款规定的承包人报价下浮率因素。</w:t>
      </w:r>
    </w:p>
    <w:p w14:paraId="3383640C">
      <w:pPr>
        <w:pStyle w:val="15"/>
        <w:tabs>
          <w:tab w:val="left" w:pos="3480"/>
        </w:tabs>
        <w:adjustRightInd w:val="0"/>
        <w:snapToGrid w:val="0"/>
        <w:spacing w:line="420" w:lineRule="exact"/>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36333068">
      <w:pPr>
        <w:pStyle w:val="5"/>
        <w:numPr>
          <w:ilvl w:val="0"/>
          <w:numId w:val="0"/>
        </w:numPr>
        <w:tabs>
          <w:tab w:val="left" w:pos="360"/>
          <w:tab w:val="left" w:pos="420"/>
          <w:tab w:val="left" w:pos="1287"/>
        </w:tabs>
        <w:spacing w:line="420" w:lineRule="exact"/>
        <w:rPr>
          <w:rFonts w:hint="default" w:ascii="Times New Roman" w:hAnsi="Times New Roman" w:cs="Times New Roman"/>
          <w:color w:val="auto"/>
          <w:sz w:val="22"/>
          <w:szCs w:val="22"/>
          <w:highlight w:val="none"/>
        </w:rPr>
      </w:pPr>
      <w:bookmarkStart w:id="239" w:name="_Toc31680"/>
      <w:bookmarkStart w:id="240" w:name="_Toc469384053"/>
      <w:r>
        <w:rPr>
          <w:rFonts w:hint="default" w:ascii="Times New Roman" w:hAnsi="Times New Roman" w:cs="Times New Roman"/>
          <w:b w:val="0"/>
          <w:bCs w:val="0"/>
          <w:color w:val="auto"/>
          <w:sz w:val="22"/>
          <w:szCs w:val="22"/>
          <w:highlight w:val="none"/>
        </w:rPr>
        <w:t>★</w:t>
      </w:r>
      <w:r>
        <w:rPr>
          <w:rFonts w:hint="default" w:ascii="Times New Roman" w:hAnsi="Times New Roman" w:cs="Times New Roman"/>
          <w:color w:val="auto"/>
          <w:sz w:val="22"/>
          <w:szCs w:val="22"/>
          <w:highlight w:val="none"/>
        </w:rPr>
        <w:t>69  后继法律变化事件</w:t>
      </w:r>
      <w:bookmarkEnd w:id="239"/>
      <w:bookmarkEnd w:id="240"/>
    </w:p>
    <w:p w14:paraId="1B59643B">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55200" behindDoc="0" locked="0" layoutInCell="1" allowOverlap="1">
                <wp:simplePos x="0" y="0"/>
                <wp:positionH relativeFrom="column">
                  <wp:posOffset>-133350</wp:posOffset>
                </wp:positionH>
                <wp:positionV relativeFrom="paragraph">
                  <wp:posOffset>273685</wp:posOffset>
                </wp:positionV>
                <wp:extent cx="914400" cy="619125"/>
                <wp:effectExtent l="0" t="0" r="0" b="0"/>
                <wp:wrapNone/>
                <wp:docPr id="295" name="文本框 295"/>
                <wp:cNvGraphicFramePr/>
                <a:graphic xmlns:a="http://schemas.openxmlformats.org/drawingml/2006/main">
                  <a:graphicData uri="http://schemas.microsoft.com/office/word/2010/wordprocessingShape">
                    <wps:wsp>
                      <wps:cNvSpPr txBox="1"/>
                      <wps:spPr>
                        <a:xfrm>
                          <a:off x="0" y="0"/>
                          <a:ext cx="914400" cy="619125"/>
                        </a:xfrm>
                        <a:prstGeom prst="rect">
                          <a:avLst/>
                        </a:prstGeom>
                        <a:noFill/>
                        <a:ln>
                          <a:noFill/>
                        </a:ln>
                        <a:effectLst/>
                      </wps:spPr>
                      <wps:txbx>
                        <w:txbxContent>
                          <w:p w14:paraId="5693E36A">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后继法律变化的价款调整</w:t>
                            </w:r>
                          </w:p>
                        </w:txbxContent>
                      </wps:txbx>
                      <wps:bodyPr wrap="square" upright="1"/>
                    </wps:wsp>
                  </a:graphicData>
                </a:graphic>
              </wp:anchor>
            </w:drawing>
          </mc:Choice>
          <mc:Fallback>
            <w:pict>
              <v:shape id="_x0000_s1026" o:spid="_x0000_s1026" o:spt="202" type="#_x0000_t202" style="position:absolute;left:0pt;margin-left:-10.5pt;margin-top:21.55pt;height:48.75pt;width:72pt;z-index:251955200;mso-width-relative:page;mso-height-relative:page;" filled="f" stroked="f" coordsize="21600,21600" o:gfxdata="UEsDBAoAAAAAAIdO4kAAAAAAAAAAAAAAAAAEAAAAZHJzL1BLAwQUAAAACACHTuJAX3YAHNcAAAAK&#10;AQAADwAAAGRycy9kb3ducmV2LnhtbE2PQU/DMAyF70j8h8iTuG1JuzKN0nQHEFcQg03aLWu8tlrj&#10;VE22ln+Pd4Kb7ff0/L1iM7lOXHEIrScNyUKBQKq8banW8P31Nl+DCNGQNZ0n1PCDATbl/V1hcutH&#10;+sTrNtaCQyjkRkMTY59LGaoGnQkL3yOxdvKDM5HXoZZ2MCOHu06mSq2kMy3xh8b0+NJgdd5enIbd&#10;++mwz9RH/eoe+9FPSpJ7klo/zBL1DCLiFP/McMNndCiZ6egvZIPoNMzThLtEDdkyAXEzpEs+HHnI&#10;1ApkWcj/FcpfUEsDBBQAAAAIAIdO4kAPhCCJvQEAAG0DAAAOAAAAZHJzL2Uyb0RvYy54bWytU82O&#10;0zAQviPxDpbv1Em1rGjUdCVULRcESAsP4DqTxlL8g8dt0heAN+DEhTvP1edg7GS7y3LZAxdnPD+f&#10;5/tmsr4ZTc+OEFA7W/NyUXAGVrlG233Nv3y+ffWGM4zSNrJ3Fmp+AuQ3m5cv1oOvYOk61zcQGIFY&#10;rAZf8y5GXwmBqgMjceE8WAq2LhgZ6Rr2oglyIHTTi2VRXIvBhcYHpwCRvNspyGfE8BxA17Zawdap&#10;gwEbJ9QAvYxECTvtkW9yt20LKn5sW4TI+poT05hPeoTsXTrFZi2rfZC+02puQT6nhSecjNSWHr1A&#10;bWWU7BD0P1BGq+DQtXGhnBETkawIsSiLJ9rcddJD5kJSo7+Ijv8PVn04fgpMNzVfrl5zZqWhkZ9/&#10;fD///H3+9Y0lJ0k0eKwo885TbhzfupEW596P5EzMxzaY9CVOjOIk8OkiMIyRKXKuyqurgiKKQtfl&#10;qlxmdPFQ7APGd+AMS0bNA80vyyqP7zFSI5R6n5Lesu5W932eYW//clDi5IG8BHN14jH1m6w47saZ&#10;3M41J+I20CLUHL8eZADODj7ofUdtZK4ildAUchPzxqQxP76T/fgv2fw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X3YAHNcAAAAKAQAADwAAAAAAAAABACAAAAAiAAAAZHJzL2Rvd25yZXYueG1sUEsB&#10;AhQAFAAAAAgAh07iQA+EIIm9AQAAbQMAAA4AAAAAAAAAAQAgAAAAJgEAAGRycy9lMm9Eb2MueG1s&#10;UEsFBgAAAAAGAAYAWQEAAFUFAAAAAA==&#10;">
                <v:fill on="f" focussize="0,0"/>
                <v:stroke on="f"/>
                <v:imagedata o:title=""/>
                <o:lock v:ext="edit" aspectratio="f"/>
                <v:textbox>
                  <w:txbxContent>
                    <w:p w14:paraId="5693E36A">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后继法律变化的价款调整</w:t>
                      </w:r>
                    </w:p>
                  </w:txbxContent>
                </v:textbox>
              </v:shape>
            </w:pict>
          </mc:Fallback>
        </mc:AlternateContent>
      </w:r>
      <w:r>
        <w:rPr>
          <w:rFonts w:hint="default" w:ascii="Times New Roman" w:hAnsi="Times New Roman" w:cs="Times New Roman"/>
          <w:b/>
          <w:bCs/>
          <w:color w:val="auto"/>
          <w:sz w:val="22"/>
          <w:szCs w:val="22"/>
          <w:highlight w:val="none"/>
        </w:rPr>
        <w:t xml:space="preserve">69.1 </w:t>
      </w:r>
    </w:p>
    <w:p w14:paraId="4BA1DE6E">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合同履行期间，出现国家或省颁布的法律和政策在合同工程基准日期后发生变化，且因执行上述法律和政策引起除第76条规定以外的工程造价增减事件的，合同双方当事人应调整合同价款。</w:t>
      </w:r>
    </w:p>
    <w:p w14:paraId="0E5CD49B">
      <w:pPr>
        <w:pStyle w:val="15"/>
        <w:tabs>
          <w:tab w:val="left" w:pos="540"/>
        </w:tabs>
        <w:adjustRightInd w:val="0"/>
        <w:snapToGrid w:val="0"/>
        <w:spacing w:line="420" w:lineRule="exact"/>
        <w:rPr>
          <w:rFonts w:hint="default" w:ascii="Times New Roman" w:hAnsi="Times New Roman" w:cs="Times New Roman"/>
          <w:b/>
          <w:bCs/>
          <w:color w:val="auto"/>
          <w:sz w:val="22"/>
          <w:szCs w:val="22"/>
          <w:highlight w:val="none"/>
          <w:u w:val="dotted"/>
        </w:rPr>
      </w:pPr>
      <w:r>
        <w:rPr>
          <w:rFonts w:hint="default" w:ascii="Times New Roman" w:hAnsi="Times New Roman" w:cs="Times New Roman"/>
          <w:b/>
          <w:bCs/>
          <w:color w:val="auto"/>
          <w:sz w:val="22"/>
          <w:szCs w:val="22"/>
          <w:highlight w:val="none"/>
        </w:rPr>
        <w:t xml:space="preserve">69.2  </w:t>
      </w:r>
      <w:r>
        <w:rPr>
          <w:rFonts w:hint="default" w:ascii="Times New Roman" w:hAnsi="Times New Roman" w:cs="Times New Roman"/>
          <w:b/>
          <w:bCs/>
          <w:color w:val="auto"/>
          <w:sz w:val="22"/>
          <w:szCs w:val="22"/>
          <w:highlight w:val="none"/>
          <w:u w:val="dotted"/>
        </w:rPr>
        <w:t xml:space="preserve">                                                                                                        </w:t>
      </w:r>
    </w:p>
    <w:p w14:paraId="21CE4612">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56224" behindDoc="0" locked="0" layoutInCell="1" allowOverlap="1">
                <wp:simplePos x="0" y="0"/>
                <wp:positionH relativeFrom="column">
                  <wp:posOffset>-114300</wp:posOffset>
                </wp:positionH>
                <wp:positionV relativeFrom="paragraph">
                  <wp:posOffset>15875</wp:posOffset>
                </wp:positionV>
                <wp:extent cx="914400" cy="619125"/>
                <wp:effectExtent l="0" t="0" r="0" b="0"/>
                <wp:wrapNone/>
                <wp:docPr id="296" name="文本框 296"/>
                <wp:cNvGraphicFramePr/>
                <a:graphic xmlns:a="http://schemas.openxmlformats.org/drawingml/2006/main">
                  <a:graphicData uri="http://schemas.microsoft.com/office/word/2010/wordprocessingShape">
                    <wps:wsp>
                      <wps:cNvSpPr txBox="1"/>
                      <wps:spPr>
                        <a:xfrm>
                          <a:off x="0" y="0"/>
                          <a:ext cx="914400" cy="619125"/>
                        </a:xfrm>
                        <a:prstGeom prst="rect">
                          <a:avLst/>
                        </a:prstGeom>
                        <a:noFill/>
                        <a:ln>
                          <a:noFill/>
                        </a:ln>
                        <a:effectLst/>
                      </wps:spPr>
                      <wps:txbx>
                        <w:txbxContent>
                          <w:p w14:paraId="28E8503C">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调整价款的方法</w:t>
                            </w:r>
                          </w:p>
                        </w:txbxContent>
                      </wps:txbx>
                      <wps:bodyPr wrap="square" upright="1"/>
                    </wps:wsp>
                  </a:graphicData>
                </a:graphic>
              </wp:anchor>
            </w:drawing>
          </mc:Choice>
          <mc:Fallback>
            <w:pict>
              <v:shape id="_x0000_s1026" o:spid="_x0000_s1026" o:spt="202" type="#_x0000_t202" style="position:absolute;left:0pt;margin-left:-9pt;margin-top:1.25pt;height:48.75pt;width:72pt;z-index:251956224;mso-width-relative:page;mso-height-relative:page;" filled="f" stroked="f" coordsize="21600,21600" o:gfxdata="UEsDBAoAAAAAAIdO4kAAAAAAAAAAAAAAAAAEAAAAZHJzL1BLAwQUAAAACACHTuJA08gMB9UAAAAJ&#10;AQAADwAAAGRycy9kb3ducmV2LnhtbE2PwU7DMBBE70j8g7VI3Np1IlqVEKcHEFcQpSBxc+NtEhGv&#10;o9htwt+zPcFtRzOafVNuZ9+rM42xC2wgW2pQxHVwHTcG9u/Piw2omCw72wcmAz8UYVtdX5W2cGHi&#10;NzrvUqOkhGNhDbQpDQVirFvyNi7DQCzeMYzeJpFjg260k5T7HnOt1+htx/KhtQM9tlR/707ewMfL&#10;8evzTr82T341TGHWyP4ejbm9yfQDqERz+gvDBV/QoRKmQzixi6o3sMg2siUZyFegLn6+Fn2QQ2sN&#10;WJX4f0H1C1BLAwQUAAAACACHTuJAWIIWV7wBAABtAwAADgAAAGRycy9lMm9Eb2MueG1srVNLbtsw&#10;EN0X6B0I7mtJRmrUguUAgZFuiqZA2gPQ1MgiIH7KoS35As0Nuuqm+57L5+iQUpzfJotsqOF8Hue9&#10;Ga0uB92xA3hU1lS8mOWcgZG2VmZX8R/frz984gyDMLXorIGKHwH55fr9u1XvSpjb1nY1eEYgBsve&#10;VbwNwZVZhrIFLXBmHRgKNtZrEejqd1ntRU/ousvmeb7Ieutr560ERPJuxiCfEP1rAG3TKAkbK/ca&#10;TBhRPXQiECVslUO+Tt02Dchw0zQIgXUVJ6YhnfQI2dt4ZuuVKHdeuFbJqQXxmhaecdJCGXr0DLUR&#10;QbC9Vy+gtJLeom3CTFqdjUSSIsSiyJ9pc9sKB4kLSY3uLDq+Haz8evjmmaorPl8uODNC08hPv+9O&#10;f/6d/v5i0UkS9Q5Lyrx1lBuGKzvQ4tz7kZyR+dB4Hb/EiVGcBD6eBYYhMEnOZXFxkVNEUmhRLIv5&#10;x4iSPRQ7j+EzWM2iUXFP80uyisMXDGPqfUp8y9hr1XVphp154iDM0QNpCabqyGPsN1ph2A4Tua2t&#10;j8Stp0WoOP7cCw+c7Z1Xu5baSFyzWEJTSP1OGxPH/PhO9uO/ZP0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08gMB9UAAAAJAQAADwAAAAAAAAABACAAAAAiAAAAZHJzL2Rvd25yZXYueG1sUEsBAhQA&#10;FAAAAAgAh07iQFiCFle8AQAAbQMAAA4AAAAAAAAAAQAgAAAAJAEAAGRycy9lMm9Eb2MueG1sUEsF&#10;BgAAAAAGAAYAWQEAAFIFAAAAAA==&#10;">
                <v:fill on="f" focussize="0,0"/>
                <v:stroke on="f"/>
                <v:imagedata o:title=""/>
                <o:lock v:ext="edit" aspectratio="f"/>
                <v:textbox>
                  <w:txbxContent>
                    <w:p w14:paraId="28E8503C">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调整价款的方法</w:t>
                      </w:r>
                    </w:p>
                  </w:txbxContent>
                </v:textbox>
              </v:shape>
            </w:pict>
          </mc:Fallback>
        </mc:AlternateContent>
      </w:r>
      <w:r>
        <w:rPr>
          <w:rFonts w:hint="default" w:ascii="Times New Roman" w:hAnsi="Times New Roman" w:cs="Times New Roman"/>
          <w:color w:val="auto"/>
          <w:sz w:val="22"/>
          <w:szCs w:val="22"/>
          <w:highlight w:val="none"/>
        </w:rPr>
        <w:t>发生第69.1款情况的，应根据合同工程实际情况，按照上述法律和政策规定计算调整的合同价款。</w:t>
      </w:r>
    </w:p>
    <w:p w14:paraId="3423A9E1">
      <w:pPr>
        <w:tabs>
          <w:tab w:val="left" w:pos="1620"/>
        </w:tabs>
        <w:spacing w:line="420" w:lineRule="exact"/>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4B077B85">
      <w:pPr>
        <w:pStyle w:val="5"/>
        <w:numPr>
          <w:ilvl w:val="0"/>
          <w:numId w:val="0"/>
        </w:numPr>
        <w:tabs>
          <w:tab w:val="left" w:pos="360"/>
          <w:tab w:val="left" w:pos="420"/>
          <w:tab w:val="left" w:pos="1287"/>
        </w:tabs>
        <w:spacing w:line="420" w:lineRule="exact"/>
        <w:rPr>
          <w:rFonts w:hint="default" w:ascii="Times New Roman" w:hAnsi="Times New Roman" w:cs="Times New Roman"/>
          <w:b w:val="0"/>
          <w:bCs w:val="0"/>
          <w:color w:val="auto"/>
          <w:sz w:val="22"/>
          <w:szCs w:val="22"/>
          <w:highlight w:val="none"/>
        </w:rPr>
      </w:pPr>
      <w:bookmarkStart w:id="241" w:name="_Toc469384054"/>
      <w:bookmarkStart w:id="242" w:name="_Toc20721"/>
      <w:r>
        <w:rPr>
          <w:rFonts w:hint="default" w:ascii="Times New Roman" w:hAnsi="Times New Roman" w:cs="Times New Roman"/>
          <w:b w:val="0"/>
          <w:bCs w:val="0"/>
          <w:color w:val="auto"/>
          <w:sz w:val="22"/>
          <w:szCs w:val="22"/>
          <w:highlight w:val="none"/>
        </w:rPr>
        <w:t>★</w:t>
      </w:r>
      <w:r>
        <w:rPr>
          <w:rFonts w:hint="default" w:ascii="Times New Roman" w:hAnsi="Times New Roman" w:cs="Times New Roman"/>
          <w:bCs w:val="0"/>
          <w:color w:val="auto"/>
          <w:sz w:val="22"/>
          <w:szCs w:val="22"/>
          <w:highlight w:val="none"/>
        </w:rPr>
        <w:t>70  项目特征描述不符事件</w:t>
      </w:r>
      <w:bookmarkEnd w:id="241"/>
      <w:bookmarkEnd w:id="242"/>
    </w:p>
    <w:p w14:paraId="0EFEBA88">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70.1 </w:t>
      </w:r>
    </w:p>
    <w:p w14:paraId="13D7F33B">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57248" behindDoc="0" locked="0" layoutInCell="1" allowOverlap="1">
                <wp:simplePos x="0" y="0"/>
                <wp:positionH relativeFrom="column">
                  <wp:posOffset>-114300</wp:posOffset>
                </wp:positionH>
                <wp:positionV relativeFrom="paragraph">
                  <wp:posOffset>34290</wp:posOffset>
                </wp:positionV>
                <wp:extent cx="914400" cy="619125"/>
                <wp:effectExtent l="0" t="0" r="0" b="0"/>
                <wp:wrapNone/>
                <wp:docPr id="297" name="文本框 297"/>
                <wp:cNvGraphicFramePr/>
                <a:graphic xmlns:a="http://schemas.openxmlformats.org/drawingml/2006/main">
                  <a:graphicData uri="http://schemas.microsoft.com/office/word/2010/wordprocessingShape">
                    <wps:wsp>
                      <wps:cNvSpPr txBox="1"/>
                      <wps:spPr>
                        <a:xfrm>
                          <a:off x="0" y="0"/>
                          <a:ext cx="914400" cy="619125"/>
                        </a:xfrm>
                        <a:prstGeom prst="rect">
                          <a:avLst/>
                        </a:prstGeom>
                        <a:noFill/>
                        <a:ln>
                          <a:noFill/>
                        </a:ln>
                        <a:effectLst/>
                      </wps:spPr>
                      <wps:txbx>
                        <w:txbxContent>
                          <w:p w14:paraId="238DA68B">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项目特征的准确性</w:t>
                            </w:r>
                          </w:p>
                        </w:txbxContent>
                      </wps:txbx>
                      <wps:bodyPr wrap="square" upright="1"/>
                    </wps:wsp>
                  </a:graphicData>
                </a:graphic>
              </wp:anchor>
            </w:drawing>
          </mc:Choice>
          <mc:Fallback>
            <w:pict>
              <v:shape id="_x0000_s1026" o:spid="_x0000_s1026" o:spt="202" type="#_x0000_t202" style="position:absolute;left:0pt;margin-left:-9pt;margin-top:2.7pt;height:48.75pt;width:72pt;z-index:251957248;mso-width-relative:page;mso-height-relative:page;" filled="f" stroked="f" coordsize="21600,21600" o:gfxdata="UEsDBAoAAAAAAIdO4kAAAAAAAAAAAAAAAAAEAAAAZHJzL1BLAwQUAAAACACHTuJAsckphdYAAAAJ&#10;AQAADwAAAGRycy9kb3ducmV2LnhtbE2PwW7CMBBE75X4B2uRuIGdCBCkcThQ9UpVSiv1ZuIliYjX&#10;UWxI+vddTu1tRzOafZPvRteKO/ah8aQhWSgQSKW3DVUaTh+v8w2IEA1Z03pCDT8YYFdMnnKTWT/Q&#10;O96PsRJcQiEzGuoYu0zKUNboTFj4Dom9i++diSz7StreDFzuWpkqtZbONMQfatPhvsbyerw5DZ+H&#10;y/fXUr1VL27VDX5UktxWaj2bJuoZRMQx/oXhgc/oUDDT2d/IBtFqmCcb3hI1rJYgHn66Zn3mQ6Vb&#10;kEUu/y8ofgFQSwMEFAAAAAgAh07iQKp91Ku8AQAAbQMAAA4AAABkcnMvZTJvRG9jLnhtbK1TzY7T&#10;MBC+I/EOlu/USbUsNGq6EqqWCwKkhQdwnXFjKf7B4zbpC8AbcOLCnefqczBOsmVZLnvg4ozn5/N8&#10;30zWN4Pt2BEiGu9qXi4KzsAp3xi3r/nnT7cvXnOGSbpGdt5BzU+A/Gbz/Nm6DxUsfeu7BiIjEIdV&#10;H2rephQqIVC1YCUufABHQe2jlYmucS+aKHtCt51YFsW16H1sQvQKEMm7nYJ8RoxPAfRaGwVbrw4W&#10;XJpQI3QyESVsTUC+GbvVGlT6oDVCYl3NiWkaT3qE7F0+xWYtq32UoTVqbkE+pYVHnKw0jh69QG1l&#10;kuwQzT9Q1qjo0eu0UN6KicioCLEoi0fa3LUywMiFpMZwER3/H6x6f/wYmWlqvly94sxJSyM/f/92&#10;/vHr/PMry06SqA9YUeZdoNw0vPEDLc69H8mZmQ862vwlToziJPDpIjAMiSlyrsqrq4IiikLX5apc&#10;vswo4k9xiJjegrcsGzWPNL9RVnl8h2lKvU/Jbzl/a7punGHn/nIQ5uSBcQnm6sxj6jdbadgNM7md&#10;b07EradFqDl+OcgInB1CNPuW2hi5ilxCUxj7nTcmj/nhneyHf8nm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LHJKYXWAAAACQEAAA8AAAAAAAAAAQAgAAAAIgAAAGRycy9kb3ducmV2LnhtbFBLAQIU&#10;ABQAAAAIAIdO4kCqfdSrvAEAAG0DAAAOAAAAAAAAAAEAIAAAACUBAABkcnMvZTJvRG9jLnhtbFBL&#10;BQYAAAAABgAGAFkBAABTBQAAAAA=&#10;">
                <v:fill on="f" focussize="0,0"/>
                <v:stroke on="f"/>
                <v:imagedata o:title=""/>
                <o:lock v:ext="edit" aspectratio="f"/>
                <v:textbox>
                  <w:txbxContent>
                    <w:p w14:paraId="238DA68B">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项目特征的准确性</w:t>
                      </w:r>
                    </w:p>
                  </w:txbxContent>
                </v:textbox>
              </v:shape>
            </w:pict>
          </mc:Fallback>
        </mc:AlternateContent>
      </w:r>
      <w:r>
        <w:rPr>
          <w:rFonts w:hint="default" w:ascii="Times New Roman" w:hAnsi="Times New Roman" w:cs="Times New Roman"/>
          <w:color w:val="auto"/>
          <w:sz w:val="22"/>
          <w:szCs w:val="22"/>
          <w:highlight w:val="none"/>
        </w:rPr>
        <w:t>发包人在工程量清单中对项目特征的描述，应被认为是准确的和全面的，并且与实际施工要求相符合。承包人应按照发包人提供的工程量清单，根据其项目特征描述的内容及有关要求实施合同工程，直到其被改变为止。</w:t>
      </w:r>
    </w:p>
    <w:p w14:paraId="4732E0DA">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70.2  </w:t>
      </w:r>
      <w:r>
        <w:rPr>
          <w:rFonts w:hint="default" w:ascii="Times New Roman" w:hAnsi="Times New Roman" w:cs="Times New Roman"/>
          <w:b/>
          <w:bCs/>
          <w:color w:val="auto"/>
          <w:sz w:val="22"/>
          <w:szCs w:val="22"/>
          <w:highlight w:val="none"/>
          <w:u w:val="dotted"/>
        </w:rPr>
        <w:t xml:space="preserve">                                                                               </w:t>
      </w:r>
    </w:p>
    <w:p w14:paraId="52F50F75">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58272" behindDoc="0" locked="0" layoutInCell="1" allowOverlap="1">
                <wp:simplePos x="0" y="0"/>
                <wp:positionH relativeFrom="column">
                  <wp:posOffset>-114300</wp:posOffset>
                </wp:positionH>
                <wp:positionV relativeFrom="paragraph">
                  <wp:posOffset>5715</wp:posOffset>
                </wp:positionV>
                <wp:extent cx="914400" cy="619125"/>
                <wp:effectExtent l="0" t="0" r="0" b="0"/>
                <wp:wrapNone/>
                <wp:docPr id="298" name="文本框 298"/>
                <wp:cNvGraphicFramePr/>
                <a:graphic xmlns:a="http://schemas.openxmlformats.org/drawingml/2006/main">
                  <a:graphicData uri="http://schemas.microsoft.com/office/word/2010/wordprocessingShape">
                    <wps:wsp>
                      <wps:cNvSpPr txBox="1"/>
                      <wps:spPr>
                        <a:xfrm>
                          <a:off x="0" y="0"/>
                          <a:ext cx="914400" cy="619125"/>
                        </a:xfrm>
                        <a:prstGeom prst="rect">
                          <a:avLst/>
                        </a:prstGeom>
                        <a:noFill/>
                        <a:ln>
                          <a:noFill/>
                        </a:ln>
                        <a:effectLst/>
                      </wps:spPr>
                      <wps:txbx>
                        <w:txbxContent>
                          <w:p w14:paraId="637092A7">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项目特征描述不符的价款调整</w:t>
                            </w:r>
                          </w:p>
                          <w:p w14:paraId="158ADC28">
                            <w:pPr>
                              <w:pStyle w:val="24"/>
                              <w:spacing w:line="200" w:lineRule="exact"/>
                              <w:rPr>
                                <w:sz w:val="18"/>
                                <w:szCs w:val="18"/>
                              </w:rPr>
                            </w:pPr>
                          </w:p>
                        </w:txbxContent>
                      </wps:txbx>
                      <wps:bodyPr wrap="square" upright="1"/>
                    </wps:wsp>
                  </a:graphicData>
                </a:graphic>
              </wp:anchor>
            </w:drawing>
          </mc:Choice>
          <mc:Fallback>
            <w:pict>
              <v:shape id="_x0000_s1026" o:spid="_x0000_s1026" o:spt="202" type="#_x0000_t202" style="position:absolute;left:0pt;margin-left:-9pt;margin-top:0.45pt;height:48.75pt;width:72pt;z-index:251958272;mso-width-relative:page;mso-height-relative:page;" filled="f" stroked="f" coordsize="21600,21600" o:gfxdata="UEsDBAoAAAAAAIdO4kAAAAAAAAAAAAAAAAAEAAAAZHJzL1BLAwQUAAAACACHTuJAed//kdQAAAAH&#10;AQAADwAAAGRycy9kb3ducmV2LnhtbE2Py07DMBBF90j8gzVI7Fo7VanSEKcLEFsQ5SGxm8bTJCIe&#10;R7HbhL9nuoLl0R3de6bczb5XZxpjF9hCtjSgiOvgOm4svL89LXJQMSE77AOThR+KsKuur0osXJj4&#10;lc771Cgp4VighTalodA61i15jMswEEt2DKPHJDg22o04Sbnv9cqYjfbYsSy0ONBDS/X3/uQtfDwf&#10;vz7X5qV59HfDFGaj2W+1tbc3mbkHlWhOf8dw0Rd1qMTpEE7souotLLJcfkkWtqAu8WojeBDM16Cr&#10;Uv/3r34BUEsDBBQAAAAIAIdO4kAjbti7vAEAAG0DAAAOAAAAZHJzL2Uyb0RvYy54bWytU82O0zAQ&#10;viPxDpbv1Em1rGjUdCVULRcESAsP4DqTxlL8g8dt0heAN+DEhTvP1edg7GS7y3LZAxdnPD+f5/tm&#10;sr4ZTc+OEFA7W/NyUXAGVrlG233Nv3y+ffWGM4zSNrJ3Fmp+AuQ3m5cv1oOvYOk61zcQGIFYrAZf&#10;8y5GXwmBqgMjceE8WAq2LhgZ6Rr2oglyIHTTi2VRXIvBhcYHpwCRvNspyGfE8BxA17ZawdapgwEb&#10;J9QAvYxECTvtkW9yt20LKn5sW4TI+poT05hPeoTsXTrFZi2rfZC+02puQT6nhSecjNSWHr1AbWWU&#10;7BD0P1BGq+DQtXGhnBETkawIsSiLJ9rcddJD5kJSo7+Ijv8PVn04fgpMNzVfrmjwVhoa+fnH9/PP&#10;3+df31hykkSDx4oy7zzlxvGtG2lx7v1IzsR8bINJX+LEKE4Cny4CwxiZIueqvLoqKKIodF2uyuXr&#10;hCIein3A+A6cYcmoeaD5ZVnl8T3GKfU+Jb1l3a3u+zzD3v7lIMzJA3kJ5urEY+o3WXHcjTO5nWtO&#10;xG2gRag5fj3IAJwdfND7jtrIXEUqoSnkfueNSWN+fCf78V+y+Q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B53/+R1AAAAAcBAAAPAAAAAAAAAAEAIAAAACIAAABkcnMvZG93bnJldi54bWxQSwECFAAU&#10;AAAACACHTuJAI27Yu7wBAABtAwAADgAAAAAAAAABACAAAAAjAQAAZHJzL2Uyb0RvYy54bWxQSwUG&#10;AAAAAAYABgBZAQAAUQUAAAAA&#10;">
                <v:fill on="f" focussize="0,0"/>
                <v:stroke on="f"/>
                <v:imagedata o:title=""/>
                <o:lock v:ext="edit" aspectratio="f"/>
                <v:textbox>
                  <w:txbxContent>
                    <w:p w14:paraId="637092A7">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项目特征描述不符的价款调整</w:t>
                      </w:r>
                    </w:p>
                    <w:p w14:paraId="158ADC28">
                      <w:pPr>
                        <w:pStyle w:val="24"/>
                        <w:spacing w:line="200" w:lineRule="exact"/>
                        <w:rPr>
                          <w:sz w:val="18"/>
                          <w:szCs w:val="18"/>
                        </w:rPr>
                      </w:pPr>
                    </w:p>
                  </w:txbxContent>
                </v:textbox>
              </v:shape>
            </w:pict>
          </mc:Fallback>
        </mc:AlternateContent>
      </w:r>
      <w:r>
        <w:rPr>
          <w:rFonts w:hint="default" w:ascii="Times New Roman" w:hAnsi="Times New Roman" w:cs="Times New Roman"/>
          <w:color w:val="auto"/>
          <w:sz w:val="22"/>
          <w:szCs w:val="22"/>
          <w:highlight w:val="none"/>
        </w:rPr>
        <w:t>合同履行期间，出现实际施工设计图纸（含设计变更）与招标文件提供的工程量清单任一项目特征描述不符，且该变化引起工程造价增减事件的，合同双方当事人应调整合同价款。</w:t>
      </w:r>
    </w:p>
    <w:p w14:paraId="2A8F6126">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70.3 </w:t>
      </w:r>
      <w:r>
        <w:rPr>
          <w:rFonts w:hint="default" w:ascii="Times New Roman" w:hAnsi="Times New Roman" w:cs="Times New Roman"/>
          <w:b/>
          <w:bCs/>
          <w:color w:val="auto"/>
          <w:sz w:val="22"/>
          <w:szCs w:val="22"/>
          <w:highlight w:val="none"/>
          <w:u w:val="dotted"/>
        </w:rPr>
        <w:t xml:space="preserve">                                                                              </w:t>
      </w:r>
      <w:r>
        <w:rPr>
          <w:rFonts w:hint="default" w:ascii="Times New Roman" w:hAnsi="Times New Roman" w:cs="Times New Roman"/>
          <w:b/>
          <w:bCs/>
          <w:color w:val="auto"/>
          <w:sz w:val="22"/>
          <w:szCs w:val="22"/>
          <w:highlight w:val="none"/>
        </w:rPr>
        <w:t xml:space="preserve"> </w:t>
      </w:r>
    </w:p>
    <w:p w14:paraId="1F7F3FA0">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59296" behindDoc="0" locked="0" layoutInCell="1" allowOverlap="1">
                <wp:simplePos x="0" y="0"/>
                <wp:positionH relativeFrom="column">
                  <wp:posOffset>-114300</wp:posOffset>
                </wp:positionH>
                <wp:positionV relativeFrom="paragraph">
                  <wp:posOffset>5715</wp:posOffset>
                </wp:positionV>
                <wp:extent cx="914400" cy="619125"/>
                <wp:effectExtent l="0" t="0" r="0" b="0"/>
                <wp:wrapNone/>
                <wp:docPr id="299" name="文本框 299"/>
                <wp:cNvGraphicFramePr/>
                <a:graphic xmlns:a="http://schemas.openxmlformats.org/drawingml/2006/main">
                  <a:graphicData uri="http://schemas.microsoft.com/office/word/2010/wordprocessingShape">
                    <wps:wsp>
                      <wps:cNvSpPr txBox="1"/>
                      <wps:spPr>
                        <a:xfrm>
                          <a:off x="0" y="0"/>
                          <a:ext cx="914400" cy="619125"/>
                        </a:xfrm>
                        <a:prstGeom prst="rect">
                          <a:avLst/>
                        </a:prstGeom>
                        <a:noFill/>
                        <a:ln>
                          <a:noFill/>
                        </a:ln>
                        <a:effectLst/>
                      </wps:spPr>
                      <wps:txbx>
                        <w:txbxContent>
                          <w:p w14:paraId="296EFD91">
                            <w:pPr>
                              <w:pStyle w:val="10"/>
                              <w:spacing w:line="200" w:lineRule="exact"/>
                              <w:rPr>
                                <w:rFonts w:ascii="宋体"/>
                                <w:color w:val="FF0000"/>
                                <w:sz w:val="24"/>
                                <w:szCs w:val="24"/>
                              </w:rPr>
                            </w:pPr>
                            <w:r>
                              <w:rPr>
                                <w:rFonts w:hint="eastAsia" w:ascii="楷体_GB2312" w:hAnsi="宋体" w:eastAsia="楷体_GB2312" w:cs="楷体_GB2312"/>
                                <w:b/>
                                <w:bCs/>
                                <w:color w:val="000000"/>
                                <w:sz w:val="18"/>
                                <w:szCs w:val="18"/>
                              </w:rPr>
                              <w:t>调整价款的方法</w:t>
                            </w:r>
                          </w:p>
                          <w:p w14:paraId="0D4CC33C">
                            <w:pPr>
                              <w:pStyle w:val="24"/>
                              <w:spacing w:line="200" w:lineRule="exact"/>
                              <w:rPr>
                                <w:sz w:val="18"/>
                                <w:szCs w:val="18"/>
                              </w:rPr>
                            </w:pPr>
                          </w:p>
                        </w:txbxContent>
                      </wps:txbx>
                      <wps:bodyPr wrap="square" upright="1"/>
                    </wps:wsp>
                  </a:graphicData>
                </a:graphic>
              </wp:anchor>
            </w:drawing>
          </mc:Choice>
          <mc:Fallback>
            <w:pict>
              <v:shape id="_x0000_s1026" o:spid="_x0000_s1026" o:spt="202" type="#_x0000_t202" style="position:absolute;left:0pt;margin-left:-9pt;margin-top:0.45pt;height:48.75pt;width:72pt;z-index:251959296;mso-width-relative:page;mso-height-relative:page;" filled="f" stroked="f" coordsize="21600,21600" o:gfxdata="UEsDBAoAAAAAAIdO4kAAAAAAAAAAAAAAAAAEAAAAZHJzL1BLAwQUAAAACACHTuJAed//kdQAAAAH&#10;AQAADwAAAGRycy9kb3ducmV2LnhtbE2Py07DMBBF90j8gzVI7Fo7VanSEKcLEFsQ5SGxm8bTJCIe&#10;R7HbhL9nuoLl0R3de6bczb5XZxpjF9hCtjSgiOvgOm4svL89LXJQMSE77AOThR+KsKuur0osXJj4&#10;lc771Cgp4VighTalodA61i15jMswEEt2DKPHJDg22o04Sbnv9cqYjfbYsSy0ONBDS/X3/uQtfDwf&#10;vz7X5qV59HfDFGaj2W+1tbc3mbkHlWhOf8dw0Rd1qMTpEE7souotLLJcfkkWtqAu8WojeBDM16Cr&#10;Uv/3r34BUEsDBBQAAAAIAIdO4kDRkRpHvAEAAG0DAAAOAAAAZHJzL2Uyb0RvYy54bWytU82O0zAQ&#10;viPxDpbvNEm1rGjUdCVULRcESAsP4DrjxpL/8LhN+gLwBpy4cOe5+hyMk2x3WS574OKM5+fzfN9M&#10;1jeDNewIEbV3Da8WJWfgpG+12zf8y+fbV284wyRcK4x30PATIL/ZvHyx7kMNS99500JkBOKw7kPD&#10;u5RCXRQoO7ACFz6Ao6Dy0YpE17gv2ih6QremWJblddH72IboJSCSdzsF+YwYnwPoldIStl4eLLg0&#10;oUYwIhEl7HRAvhm7VQpk+qgUQmKm4cQ0jSc9QvYun8VmLep9FKHTcm5BPKeFJ5ys0I4evUBtRRLs&#10;EPU/UFbL6NGrtJDeFhORURFiUZVPtLnrRICRC0mN4SI6/j9Y+eH4KTLdNny5WnHmhKWRn398P//8&#10;ff71jWUnSdQHrCnzLlBuGt76gRbn3o/kzMwHFW3+EidGcRL4dBEYhsQkOVfV1VVJEUmh62pVLV9n&#10;lOKhOERM78Bblo2GR5rfKKs4vsc0pd6n5Lecv9XGjDM07i8HYU4eGJdgrs48pn6zlYbdMJPb+fZE&#10;3HpahIbj14OIwNkhRL3vqI2Ra5FLaApjv/PG5DE/vpP9+C/Z/A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B53/+R1AAAAAcBAAAPAAAAAAAAAAEAIAAAACIAAABkcnMvZG93bnJldi54bWxQSwECFAAU&#10;AAAACACHTuJA0ZEaR7wBAABtAwAADgAAAAAAAAABACAAAAAjAQAAZHJzL2Uyb0RvYy54bWxQSwUG&#10;AAAAAAYABgBZAQAAUQUAAAAA&#10;">
                <v:fill on="f" focussize="0,0"/>
                <v:stroke on="f"/>
                <v:imagedata o:title=""/>
                <o:lock v:ext="edit" aspectratio="f"/>
                <v:textbox>
                  <w:txbxContent>
                    <w:p w14:paraId="296EFD91">
                      <w:pPr>
                        <w:pStyle w:val="10"/>
                        <w:spacing w:line="200" w:lineRule="exact"/>
                        <w:rPr>
                          <w:rFonts w:ascii="宋体"/>
                          <w:color w:val="FF0000"/>
                          <w:sz w:val="24"/>
                          <w:szCs w:val="24"/>
                        </w:rPr>
                      </w:pPr>
                      <w:r>
                        <w:rPr>
                          <w:rFonts w:hint="eastAsia" w:ascii="楷体_GB2312" w:hAnsi="宋体" w:eastAsia="楷体_GB2312" w:cs="楷体_GB2312"/>
                          <w:b/>
                          <w:bCs/>
                          <w:color w:val="000000"/>
                          <w:sz w:val="18"/>
                          <w:szCs w:val="18"/>
                        </w:rPr>
                        <w:t>调整价款的方法</w:t>
                      </w:r>
                    </w:p>
                    <w:p w14:paraId="0D4CC33C">
                      <w:pPr>
                        <w:pStyle w:val="24"/>
                        <w:spacing w:line="200" w:lineRule="exact"/>
                        <w:rPr>
                          <w:sz w:val="18"/>
                          <w:szCs w:val="18"/>
                        </w:rPr>
                      </w:pPr>
                    </w:p>
                  </w:txbxContent>
                </v:textbox>
              </v:shape>
            </w:pict>
          </mc:Fallback>
        </mc:AlternateContent>
      </w:r>
      <w:r>
        <w:rPr>
          <w:rFonts w:hint="default" w:ascii="Times New Roman" w:hAnsi="Times New Roman" w:cs="Times New Roman"/>
          <w:color w:val="auto"/>
          <w:sz w:val="22"/>
          <w:szCs w:val="22"/>
          <w:highlight w:val="none"/>
        </w:rPr>
        <w:t>发生第70.2款情况的，应按照实际施工的项目特征重新确定相应工程量清单项目的综合单价，计算调整的合同价款。</w:t>
      </w:r>
    </w:p>
    <w:p w14:paraId="45AF4FA4">
      <w:pPr>
        <w:pStyle w:val="15"/>
        <w:adjustRightInd w:val="0"/>
        <w:snapToGrid w:val="0"/>
        <w:spacing w:line="420" w:lineRule="exact"/>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0F1385D6">
      <w:pPr>
        <w:pStyle w:val="15"/>
        <w:adjustRightInd w:val="0"/>
        <w:snapToGrid w:val="0"/>
        <w:spacing w:line="420" w:lineRule="exact"/>
        <w:outlineLvl w:val="2"/>
        <w:rPr>
          <w:rFonts w:hint="default" w:ascii="Times New Roman" w:hAnsi="Times New Roman" w:cs="Times New Roman"/>
          <w:color w:val="auto"/>
          <w:sz w:val="22"/>
          <w:szCs w:val="22"/>
          <w:highlight w:val="none"/>
        </w:rPr>
      </w:pPr>
      <w:bookmarkStart w:id="243" w:name="_Toc18695"/>
      <w:bookmarkStart w:id="244" w:name="_Toc469384055"/>
      <w:r>
        <w:rPr>
          <w:rFonts w:hint="default" w:ascii="Times New Roman" w:hAnsi="Times New Roman" w:cs="Times New Roman"/>
          <w:b/>
          <w:bCs/>
          <w:color w:val="auto"/>
          <w:sz w:val="22"/>
          <w:szCs w:val="22"/>
          <w:highlight w:val="none"/>
        </w:rPr>
        <w:t>★71  分部分项工程量清单缺项漏项事件</w:t>
      </w:r>
      <w:bookmarkEnd w:id="243"/>
      <w:bookmarkEnd w:id="244"/>
    </w:p>
    <w:p w14:paraId="21163119">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71.1  </w:t>
      </w:r>
    </w:p>
    <w:p w14:paraId="7E10086D">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60320" behindDoc="0" locked="0" layoutInCell="1" allowOverlap="1">
                <wp:simplePos x="0" y="0"/>
                <wp:positionH relativeFrom="column">
                  <wp:posOffset>-133350</wp:posOffset>
                </wp:positionH>
                <wp:positionV relativeFrom="paragraph">
                  <wp:posOffset>6350</wp:posOffset>
                </wp:positionV>
                <wp:extent cx="914400" cy="692150"/>
                <wp:effectExtent l="0" t="0" r="0" b="0"/>
                <wp:wrapNone/>
                <wp:docPr id="300" name="文本框 300"/>
                <wp:cNvGraphicFramePr/>
                <a:graphic xmlns:a="http://schemas.openxmlformats.org/drawingml/2006/main">
                  <a:graphicData uri="http://schemas.microsoft.com/office/word/2010/wordprocessingShape">
                    <wps:wsp>
                      <wps:cNvSpPr txBox="1"/>
                      <wps:spPr>
                        <a:xfrm>
                          <a:off x="0" y="0"/>
                          <a:ext cx="914400" cy="692150"/>
                        </a:xfrm>
                        <a:prstGeom prst="rect">
                          <a:avLst/>
                        </a:prstGeom>
                        <a:noFill/>
                        <a:ln>
                          <a:noFill/>
                        </a:ln>
                        <a:effectLst/>
                      </wps:spPr>
                      <wps:txbx>
                        <w:txbxContent>
                          <w:p w14:paraId="7D4244DC">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清单缺项漏项的价款调整</w:t>
                            </w:r>
                          </w:p>
                        </w:txbxContent>
                      </wps:txbx>
                      <wps:bodyPr wrap="square" upright="1"/>
                    </wps:wsp>
                  </a:graphicData>
                </a:graphic>
              </wp:anchor>
            </w:drawing>
          </mc:Choice>
          <mc:Fallback>
            <w:pict>
              <v:shape id="_x0000_s1026" o:spid="_x0000_s1026" o:spt="202" type="#_x0000_t202" style="position:absolute;left:0pt;margin-left:-10.5pt;margin-top:0.5pt;height:54.5pt;width:72pt;z-index:251960320;mso-width-relative:page;mso-height-relative:page;" filled="f" stroked="f" coordsize="21600,21600" o:gfxdata="UEsDBAoAAAAAAIdO4kAAAAAAAAAAAAAAAAAEAAAAZHJzL1BLAwQUAAAACACHTuJAIWTeMNQAAAAJ&#10;AQAADwAAAGRycy9kb3ducmV2LnhtbE2PT0/DMAzF70h8h8hI3Lak5Y9GaboDiCuIDZB28xqvrWic&#10;qsnW8u3xTnDys37W83vleva9OtEYu8AWsqUBRVwH13Fj4WP7sliBignZYR+YLPxQhHV1eVFi4cLE&#10;73TapEaJCccCLbQpDYXWsW7JY1yGgVjYIYwek6xjo92Ik5j7XufG3GuPHcuHFgd6aqn+3hy9hc/X&#10;w+7r1rw1z/5umMJsNPsHbe31VWYeQSWa098xnONLdKgk0z4c2UXVW1jkmXRJAmSceX4jYi8iMwZ0&#10;Ver/DapfUEsDBBQAAAAIAIdO4kC2yEzuvQEAAG0DAAAOAAAAZHJzL2Uyb0RvYy54bWytU81u2zAM&#10;vg/oOwi6N3KyrliNOAWKoL0U24BuD6DIdCzA+pmoxM4LbG+w0y6777nyHKNkN+u6Sw+9yBRJfeT3&#10;kV5eD6Zjewiona34fFZwBla5Wtttxb98vj1/zxlGaWvZOQsVPwDy69XZm2XvS1i41nU1BEYgFsve&#10;V7yN0ZdCoGrBSJw5D5aCjQtGRrqGraiD7AnddGJRFJeid6H2wSlAJO96DPIJMbwE0DWNVrB2amfA&#10;xhE1QCcjUcJWe+Sr3G3TgIofmwYhsq7ixDTmk4qQvUmnWC1luQ3St1pNLciXtPCMk5HaUtET1FpG&#10;yXZB/wdltAoOXRNnyhkxEsmKEIt58Uybh1Z6yFxIavQn0fH1YNWH/afAdF3xtwVpYqWhkR9/fD/+&#10;/H389Y0lJ0nUeywp88FTbhxu3ECL8+hHcibmQxNM+hInRnECO5wEhiEyRc6r+cVFKqModHm1mL/L&#10;6OLvYx8w3oEzLBkVDzS/LKvc32OkRij1MSXVsu5Wd12eYWf/cVDi6IG8BNPrxGPsN1lx2AwTuY2r&#10;D8Stp0WoOH7dyQCc7XzQ25bayFxFekJTyE1MG5PG/PRO9tO/ZPUH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IWTeMNQAAAAJAQAADwAAAAAAAAABACAAAAAiAAAAZHJzL2Rvd25yZXYueG1sUEsBAhQA&#10;FAAAAAgAh07iQLbITO69AQAAbQMAAA4AAAAAAAAAAQAgAAAAIwEAAGRycy9lMm9Eb2MueG1sUEsF&#10;BgAAAAAGAAYAWQEAAFIFAAAAAA==&#10;">
                <v:fill on="f" focussize="0,0"/>
                <v:stroke on="f"/>
                <v:imagedata o:title=""/>
                <o:lock v:ext="edit" aspectratio="f"/>
                <v:textbox>
                  <w:txbxContent>
                    <w:p w14:paraId="7D4244DC">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清单缺项漏项的价款调整</w:t>
                      </w:r>
                    </w:p>
                  </w:txbxContent>
                </v:textbox>
              </v:shape>
            </w:pict>
          </mc:Fallback>
        </mc:AlternateContent>
      </w: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61344" behindDoc="0" locked="0" layoutInCell="1" allowOverlap="1">
                <wp:simplePos x="0" y="0"/>
                <wp:positionH relativeFrom="column">
                  <wp:posOffset>-133350</wp:posOffset>
                </wp:positionH>
                <wp:positionV relativeFrom="paragraph">
                  <wp:posOffset>6350</wp:posOffset>
                </wp:positionV>
                <wp:extent cx="914400" cy="693420"/>
                <wp:effectExtent l="0" t="0" r="0" b="0"/>
                <wp:wrapNone/>
                <wp:docPr id="301" name="文本框 301"/>
                <wp:cNvGraphicFramePr/>
                <a:graphic xmlns:a="http://schemas.openxmlformats.org/drawingml/2006/main">
                  <a:graphicData uri="http://schemas.microsoft.com/office/word/2010/wordprocessingShape">
                    <wps:wsp>
                      <wps:cNvSpPr txBox="1"/>
                      <wps:spPr>
                        <a:xfrm>
                          <a:off x="0" y="0"/>
                          <a:ext cx="914400" cy="693420"/>
                        </a:xfrm>
                        <a:prstGeom prst="rect">
                          <a:avLst/>
                        </a:prstGeom>
                        <a:noFill/>
                        <a:ln>
                          <a:noFill/>
                        </a:ln>
                        <a:effectLst/>
                      </wps:spPr>
                      <wps:txbx>
                        <w:txbxContent>
                          <w:p w14:paraId="1D23ECD6">
                            <w:pPr>
                              <w:rPr>
                                <w:rFonts w:cs="Times New Roman"/>
                              </w:rPr>
                            </w:pPr>
                          </w:p>
                        </w:txbxContent>
                      </wps:txbx>
                      <wps:bodyPr wrap="square" upright="1"/>
                    </wps:wsp>
                  </a:graphicData>
                </a:graphic>
              </wp:anchor>
            </w:drawing>
          </mc:Choice>
          <mc:Fallback>
            <w:pict>
              <v:shape id="_x0000_s1026" o:spid="_x0000_s1026" o:spt="202" type="#_x0000_t202" style="position:absolute;left:0pt;margin-left:-10.5pt;margin-top:0.5pt;height:54.6pt;width:72pt;z-index:251961344;mso-width-relative:page;mso-height-relative:page;" filled="f" stroked="f" coordsize="21600,21600" o:gfxdata="UEsDBAoAAAAAAIdO4kAAAAAAAAAAAAAAAAAEAAAAZHJzL1BLAwQUAAAACACHTuJA0GJqRNQAAAAJ&#10;AQAADwAAAGRycy9kb3ducmV2LnhtbE2PT0/DMAzF70h8h8hI3Lak5Y9GaboDiCuIDZB28xqvrWic&#10;qsnW8u3xTnDys37W83vleva9OtEYu8AWsqUBRVwH13Fj4WP7sliBignZYR+YLPxQhHV1eVFi4cLE&#10;73TapEaJCccCLbQpDYXWsW7JY1yGgVjYIYwek6xjo92Ik5j7XufG3GuPHcuHFgd6aqn+3hy9hc/X&#10;w+7r1rw1z/5umMJsNPsHbe31VWYeQSWa098xnONLdKgk0z4c2UXVW1jkmXRJAmSceX4jYi8iMzno&#10;qtT/G1S/UEsDBBQAAAAIAIdO4kBaTKG2vQEAAG0DAAAOAAAAZHJzL2Uyb0RvYy54bWytU0tu2zAQ&#10;3RfIHQjuY8mOETSC5QCFkWyCtkDaA9DUyCLAXzm0JV+gvUFX3XTfc/kcHVKKm6abLLqhhvN5nPdm&#10;tLodjGYHCKicrfl8VnIGVrpG2V3NP3+6u3zLGUZhG6GdhZofAfnt+uLNqvcVLFzndAOBEYjFqvc1&#10;72L0VVGg7MAInDkPloKtC0ZEuoZd0QTRE7rRxaIsr4vehcYHJwGRvJsxyCfE8BpA17ZKwsbJvQEb&#10;R9QAWkSihJ3yyNe527YFGT+0LUJkuubENOaTHiF7m85ivRLVLgjfKTm1IF7TwgtORihLj56hNiIK&#10;tg/qHyijZHDo2jiTzhQjkawIsZiXL7R57ISHzIWkRn8WHf8frHx/+BiYamp+Vc45s8LQyE/fv51+&#10;/Dr9/MqSkyTqPVaU+egpNw7v3ECL8+RHcibmQxtM+hInRnES+HgWGIbIJDlv5stlSRFJoeubq+Ui&#10;D6D4U+wDxntwhiWj5oHml2UVhweM1AilPqWkt6y7U1rnGWr7l4MSRw/kJZiqE4+x32TFYTtM5Lau&#10;ORK3nhah5vhlLwJwtvdB7TpqI3MtUglNITcxbUwa8/M72c//kv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0GJqRNQAAAAJAQAADwAAAAAAAAABACAAAAAiAAAAZHJzL2Rvd25yZXYueG1sUEsBAhQA&#10;FAAAAAgAh07iQFpMoba9AQAAbQMAAA4AAAAAAAAAAQAgAAAAIwEAAGRycy9lMm9Eb2MueG1sUEsF&#10;BgAAAAAGAAYAWQEAAFIFAAAAAA==&#10;">
                <v:fill on="f" focussize="0,0"/>
                <v:stroke on="f"/>
                <v:imagedata o:title=""/>
                <o:lock v:ext="edit" aspectratio="f"/>
                <v:textbox>
                  <w:txbxContent>
                    <w:p w14:paraId="1D23ECD6">
                      <w:pPr>
                        <w:rPr>
                          <w:rFonts w:cs="Times New Roman"/>
                        </w:rPr>
                      </w:pPr>
                    </w:p>
                  </w:txbxContent>
                </v:textbox>
              </v:shape>
            </w:pict>
          </mc:Fallback>
        </mc:AlternateContent>
      </w:r>
      <w:r>
        <w:rPr>
          <w:rFonts w:hint="default" w:ascii="Times New Roman" w:hAnsi="Times New Roman" w:cs="Times New Roman"/>
          <w:color w:val="auto"/>
          <w:sz w:val="22"/>
          <w:szCs w:val="22"/>
          <w:highlight w:val="none"/>
        </w:rPr>
        <w:t>合同履行期间，出现工程量清单中分部分项工程缺项漏项事件的，合同双方当事人应调整合同价款。</w:t>
      </w:r>
    </w:p>
    <w:p w14:paraId="47DF1619">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71.2   </w:t>
      </w:r>
      <w:r>
        <w:rPr>
          <w:rFonts w:hint="default" w:ascii="Times New Roman" w:hAnsi="Times New Roman" w:cs="Times New Roman"/>
          <w:b/>
          <w:bCs/>
          <w:color w:val="auto"/>
          <w:sz w:val="22"/>
          <w:szCs w:val="22"/>
          <w:highlight w:val="none"/>
          <w:u w:val="dotted"/>
        </w:rPr>
        <w:t xml:space="preserve">                                                                               </w:t>
      </w:r>
    </w:p>
    <w:p w14:paraId="29589F61">
      <w:pPr>
        <w:pStyle w:val="15"/>
        <w:adjustRightInd w:val="0"/>
        <w:snapToGrid w:val="0"/>
        <w:spacing w:line="420" w:lineRule="exact"/>
        <w:ind w:left="1619" w:leftChars="771" w:firstLine="1"/>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62368" behindDoc="0" locked="0" layoutInCell="1" allowOverlap="1">
                <wp:simplePos x="0" y="0"/>
                <wp:positionH relativeFrom="column">
                  <wp:posOffset>-66675</wp:posOffset>
                </wp:positionH>
                <wp:positionV relativeFrom="paragraph">
                  <wp:posOffset>8890</wp:posOffset>
                </wp:positionV>
                <wp:extent cx="914400" cy="692150"/>
                <wp:effectExtent l="0" t="0" r="0" b="0"/>
                <wp:wrapNone/>
                <wp:docPr id="302" name="文本框 302"/>
                <wp:cNvGraphicFramePr/>
                <a:graphic xmlns:a="http://schemas.openxmlformats.org/drawingml/2006/main">
                  <a:graphicData uri="http://schemas.microsoft.com/office/word/2010/wordprocessingShape">
                    <wps:wsp>
                      <wps:cNvSpPr txBox="1"/>
                      <wps:spPr>
                        <a:xfrm>
                          <a:off x="0" y="0"/>
                          <a:ext cx="914400" cy="692150"/>
                        </a:xfrm>
                        <a:prstGeom prst="rect">
                          <a:avLst/>
                        </a:prstGeom>
                        <a:noFill/>
                        <a:ln>
                          <a:noFill/>
                        </a:ln>
                        <a:effectLst/>
                      </wps:spPr>
                      <wps:txbx>
                        <w:txbxContent>
                          <w:p w14:paraId="638BE06B">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调整分部分项工程费的方法</w:t>
                            </w:r>
                          </w:p>
                          <w:p w14:paraId="7F6BF745">
                            <w:pPr>
                              <w:spacing w:line="240" w:lineRule="exact"/>
                              <w:rPr>
                                <w:rFonts w:cs="Times New Roman"/>
                                <w:sz w:val="18"/>
                                <w:szCs w:val="18"/>
                              </w:rPr>
                            </w:pPr>
                          </w:p>
                        </w:txbxContent>
                      </wps:txbx>
                      <wps:bodyPr wrap="square" upright="1"/>
                    </wps:wsp>
                  </a:graphicData>
                </a:graphic>
              </wp:anchor>
            </w:drawing>
          </mc:Choice>
          <mc:Fallback>
            <w:pict>
              <v:shape id="_x0000_s1026" o:spid="_x0000_s1026" o:spt="202" type="#_x0000_t202" style="position:absolute;left:0pt;margin-left:-5.25pt;margin-top:0.7pt;height:54.5pt;width:72pt;z-index:251962368;mso-width-relative:page;mso-height-relative:page;" filled="f" stroked="f" coordsize="21600,21600" o:gfxdata="UEsDBAoAAAAAAIdO4kAAAAAAAAAAAAAAAAAEAAAAZHJzL1BLAwQUAAAACACHTuJADoijLdQAAAAJ&#10;AQAADwAAAGRycy9kb3ducmV2LnhtbE2PwU7DMBBE70j8g7VI3Fo7NEUQ4vQA4gqiBSRu23ibRMTr&#10;KHab8PdsT3Db0RvNzpSb2ffqRGPsAlvIlgYUcR1cx42F993z4g5UTMgO+8Bk4YcibKrLixILFyZ+&#10;o9M2NUpCOBZooU1pKLSOdUse4zIMxMIOYfSYRI6NdiNOEu57fWPMrfbYsXxocaDHlurv7dFb+Hg5&#10;fH3m5rV58uthCrPR7O+1tddXmXkAlWhOf2Y415fqUEmnfTiyi6q3sMjMWqwCclBnvlqJ3suRmRx0&#10;Ver/C6pfUEsDBBQAAAAIAIdO4kATMbjMvgEAAG0DAAAOAAAAZHJzL2Uyb0RvYy54bWytU0tu2zAQ&#10;3RfIHQjuY8puGjSC5QCBkWyCtkDaA9DUyCIgfsqhLfkC7Q266qb7nsvn6JBS3DTdZJENNZzP47w3&#10;o+X1YDq2h4Da2YrPZwVnYJWrtd1W/Mvn2/P3nGGUtpads1DxAyC/Xp29Wfa+hIVrXVdDYARisex9&#10;xdsYfSkEqhaMxJnzYCnYuGBkpGvYijrIntBNJxZFcSl6F2ofnAJE8q7HIJ8Qw0sAXdNoBWundgZs&#10;HFEDdDISJWy1R77K3TYNqPixaRAi6ypOTGM+6RGyN+kUq6Ust0H6VqupBfmSFp5xMlJbevQEtZZR&#10;sl3Q/0EZrYJD18SZckaMRLIixGJePNPmoZUeMheSGv1JdHw9WPVh/ykwXVf8bbHgzEpDIz/++H78&#10;+fv46xtLTpKo91hS5oOn3DjcuIEW59GP5EzMhyaY9CVOjOIk8OEkMAyRKXJezS8uCoooCl1eLebv&#10;8gDE32IfMN6BMywZFQ80vyyr3N9jpEYo9TElvWXdre66PMPO/uOgxNEDeQmm6sRj7DdZcdgME7mN&#10;qw/EradFqDh+3ckAnO180NuW2shcRSqhKeQmpo1JY356J/vpX7L6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A6Ioy3UAAAACQEAAA8AAAAAAAAAAQAgAAAAIgAAAGRycy9kb3ducmV2LnhtbFBLAQIU&#10;ABQAAAAIAIdO4kATMbjMvgEAAG0DAAAOAAAAAAAAAAEAIAAAACMBAABkcnMvZTJvRG9jLnhtbFBL&#10;BQYAAAAABgAGAFkBAABTBQAAAAA=&#10;">
                <v:fill on="f" focussize="0,0"/>
                <v:stroke on="f"/>
                <v:imagedata o:title=""/>
                <o:lock v:ext="edit" aspectratio="f"/>
                <v:textbox>
                  <w:txbxContent>
                    <w:p w14:paraId="638BE06B">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调整分部分项工程费的方法</w:t>
                      </w:r>
                    </w:p>
                    <w:p w14:paraId="7F6BF745">
                      <w:pPr>
                        <w:spacing w:line="240" w:lineRule="exact"/>
                        <w:rPr>
                          <w:rFonts w:cs="Times New Roman"/>
                          <w:sz w:val="18"/>
                          <w:szCs w:val="18"/>
                        </w:rPr>
                      </w:pPr>
                    </w:p>
                  </w:txbxContent>
                </v:textbox>
              </v:shape>
            </w:pict>
          </mc:Fallback>
        </mc:AlternateContent>
      </w:r>
      <w:r>
        <w:rPr>
          <w:rFonts w:hint="default" w:ascii="Times New Roman" w:hAnsi="Times New Roman" w:cs="Times New Roman"/>
          <w:color w:val="auto"/>
          <w:sz w:val="22"/>
          <w:szCs w:val="22"/>
          <w:highlight w:val="none"/>
        </w:rPr>
        <w:t>工程量清单中分部分项工程出现缺项漏项，造成新增工程量清单项目的，应按照第72.2款规定计算调整的分部分项工程费。</w:t>
      </w:r>
    </w:p>
    <w:p w14:paraId="02001D7B">
      <w:pPr>
        <w:pStyle w:val="15"/>
        <w:tabs>
          <w:tab w:val="left" w:pos="540"/>
        </w:tabs>
        <w:adjustRightInd w:val="0"/>
        <w:snapToGrid w:val="0"/>
        <w:spacing w:before="240" w:beforeLines="100" w:line="420" w:lineRule="exact"/>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 xml:space="preserve">71.3  </w:t>
      </w:r>
      <w:r>
        <w:rPr>
          <w:rFonts w:hint="default" w:ascii="Times New Roman" w:hAnsi="Times New Roman" w:cs="Times New Roman"/>
          <w:color w:val="auto"/>
          <w:sz w:val="22"/>
          <w:szCs w:val="22"/>
          <w:highlight w:val="none"/>
        </w:rPr>
        <w:t xml:space="preserve"> </w:t>
      </w:r>
      <w:r>
        <w:rPr>
          <w:rFonts w:hint="default" w:ascii="Times New Roman" w:hAnsi="Times New Roman" w:cs="Times New Roman"/>
          <w:color w:val="auto"/>
          <w:sz w:val="22"/>
          <w:szCs w:val="22"/>
          <w:highlight w:val="none"/>
          <w:u w:val="dotted"/>
        </w:rPr>
        <w:t xml:space="preserve">                                                                               </w:t>
      </w:r>
    </w:p>
    <w:p w14:paraId="663FD7D4">
      <w:pPr>
        <w:pStyle w:val="15"/>
        <w:adjustRightInd w:val="0"/>
        <w:snapToGrid w:val="0"/>
        <w:spacing w:line="420" w:lineRule="exact"/>
        <w:ind w:left="1619" w:leftChars="771" w:firstLine="2"/>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63392" behindDoc="0" locked="0" layoutInCell="1" allowOverlap="1">
                <wp:simplePos x="0" y="0"/>
                <wp:positionH relativeFrom="column">
                  <wp:posOffset>-133350</wp:posOffset>
                </wp:positionH>
                <wp:positionV relativeFrom="paragraph">
                  <wp:posOffset>5080</wp:posOffset>
                </wp:positionV>
                <wp:extent cx="914400" cy="692150"/>
                <wp:effectExtent l="0" t="0" r="0" b="0"/>
                <wp:wrapNone/>
                <wp:docPr id="303" name="文本框 303"/>
                <wp:cNvGraphicFramePr/>
                <a:graphic xmlns:a="http://schemas.openxmlformats.org/drawingml/2006/main">
                  <a:graphicData uri="http://schemas.microsoft.com/office/word/2010/wordprocessingShape">
                    <wps:wsp>
                      <wps:cNvSpPr txBox="1"/>
                      <wps:spPr>
                        <a:xfrm>
                          <a:off x="0" y="0"/>
                          <a:ext cx="914400" cy="692150"/>
                        </a:xfrm>
                        <a:prstGeom prst="rect">
                          <a:avLst/>
                        </a:prstGeom>
                        <a:noFill/>
                        <a:ln>
                          <a:noFill/>
                        </a:ln>
                        <a:effectLst/>
                      </wps:spPr>
                      <wps:txbx>
                        <w:txbxContent>
                          <w:p w14:paraId="63FFB1B2">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调整措施项目费的方法</w:t>
                            </w:r>
                          </w:p>
                          <w:p w14:paraId="5A55AF14">
                            <w:pPr>
                              <w:spacing w:line="240" w:lineRule="exact"/>
                              <w:rPr>
                                <w:rFonts w:cs="Times New Roman"/>
                                <w:sz w:val="18"/>
                                <w:szCs w:val="18"/>
                              </w:rPr>
                            </w:pPr>
                          </w:p>
                        </w:txbxContent>
                      </wps:txbx>
                      <wps:bodyPr wrap="square" upright="1"/>
                    </wps:wsp>
                  </a:graphicData>
                </a:graphic>
              </wp:anchor>
            </w:drawing>
          </mc:Choice>
          <mc:Fallback>
            <w:pict>
              <v:shape id="_x0000_s1026" o:spid="_x0000_s1026" o:spt="202" type="#_x0000_t202" style="position:absolute;left:0pt;margin-left:-10.5pt;margin-top:0.4pt;height:54.5pt;width:72pt;z-index:251963392;mso-width-relative:page;mso-height-relative:page;" filled="f" stroked="f" coordsize="21600,21600" o:gfxdata="UEsDBAoAAAAAAIdO4kAAAAAAAAAAAAAAAAAEAAAAZHJzL1BLAwQUAAAACACHTuJA198cOdUAAAAI&#10;AQAADwAAAGRycy9kb3ducmV2LnhtbE2PzU7DMBCE70i8g7VI3Fo74UdtyKYHEFcQLSBxc+NtEhGv&#10;o9htwtuzPcFtRzOana/czL5XJxpjFxghWxpQxHVwHTcI77vnxQpUTJad7QMTwg9F2FSXF6UtXJj4&#10;jU7b1Cgp4VhYhDalodA61i15G5dhIBbvEEZvk8ix0W60k5T7XufG3GtvO5YPrR3osaX6e3v0CB8v&#10;h6/PW/PaPPm7YQqz0ezXGvH6KjMPoBLN6S8M5/kyHSrZtA9HdlH1CIs8E5aEIABnO78RuZfDrFeg&#10;q1L/B6h+AVBLAwQUAAAACACHTuJA4c56ML4BAABtAwAADgAAAGRycy9lMm9Eb2MueG1srVNLbtsw&#10;EN0X6B0I7mvJTho0guUAhZFsgrZAmgPQ1NAiIH7KoS35Au0Nuuqm+57L5+iQUpxPN1l0Qw3n8zjv&#10;zWh5NZiO7SGgdrbm81nJGVjpGm23Nb//ev3uA2cYhW1E5yzU/ADIr1Zv3yx7X8HCta5rIDACsVj1&#10;vuZtjL4qCpQtGIEz58FSULlgRKRr2BZNED2hm65YlOVF0bvQ+OAkIJJ3PQb5hBheA+iU0hLWTu4M&#10;2DiiBuhEJErYao98lbtVCmT8rBRCZF3NiWnMJz1C9iadxWopqm0QvtVyakG8poUXnIzQlh49Qa1F&#10;FGwX9D9QRsvg0Kk4k84UI5GsCLGYly+0uWuFh8yFpEZ/Eh3/H6z8tP8SmG5qflaecWaFoZEff/44&#10;/vpz/P2dJSdJ1HusKPPOU24cPrqBFufBj+RMzAcVTPoSJ0ZxEvhwEhiGyCQ5L+fn5yVFJIUuLhfz&#10;93kAxWOxDxhvwBmWjJoHml+WVexvMVIjlPqQkt6y7lp3XZ5hZ585KHH0QF6CqTrxGPtNVhw2w0Ru&#10;45oDcetpEWqO33YiAGc7H/S2pTYy1yKV0BRyE9PGpDE/vZP99C9Z/QV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X3xw51QAAAAgBAAAPAAAAAAAAAAEAIAAAACIAAABkcnMvZG93bnJldi54bWxQSwEC&#10;FAAUAAAACACHTuJA4c56ML4BAABtAwAADgAAAAAAAAABACAAAAAkAQAAZHJzL2Uyb0RvYy54bWxQ&#10;SwUGAAAAAAYABgBZAQAAVAUAAAAA&#10;">
                <v:fill on="f" focussize="0,0"/>
                <v:stroke on="f"/>
                <v:imagedata o:title=""/>
                <o:lock v:ext="edit" aspectratio="f"/>
                <v:textbox>
                  <w:txbxContent>
                    <w:p w14:paraId="63FFB1B2">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调整措施项目费的方法</w:t>
                      </w:r>
                    </w:p>
                    <w:p w14:paraId="5A55AF14">
                      <w:pPr>
                        <w:spacing w:line="240" w:lineRule="exact"/>
                        <w:rPr>
                          <w:rFonts w:cs="Times New Roman"/>
                          <w:sz w:val="18"/>
                          <w:szCs w:val="18"/>
                        </w:rPr>
                      </w:pPr>
                    </w:p>
                  </w:txbxContent>
                </v:textbox>
              </v:shape>
            </w:pict>
          </mc:Fallback>
        </mc:AlternateContent>
      </w:r>
      <w:r>
        <w:rPr>
          <w:rFonts w:hint="default" w:ascii="Times New Roman" w:hAnsi="Times New Roman" w:cs="Times New Roman"/>
          <w:color w:val="auto"/>
          <w:sz w:val="22"/>
          <w:szCs w:val="22"/>
          <w:highlight w:val="none"/>
        </w:rPr>
        <w:t>工程量清单中分部分项工程出现缺项漏项，引起增加措施项目的，应按照第72.3款规定在提交的实施方案被批准后计算调整的措施项目费。</w:t>
      </w:r>
    </w:p>
    <w:p w14:paraId="12EACB22">
      <w:pPr>
        <w:pStyle w:val="15"/>
        <w:adjustRightInd w:val="0"/>
        <w:snapToGrid w:val="0"/>
        <w:spacing w:line="420" w:lineRule="exact"/>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4AFB4762">
      <w:pPr>
        <w:pStyle w:val="15"/>
        <w:tabs>
          <w:tab w:val="left" w:pos="540"/>
        </w:tabs>
        <w:adjustRightInd w:val="0"/>
        <w:snapToGrid w:val="0"/>
        <w:spacing w:before="240" w:beforeLines="100" w:line="420" w:lineRule="exact"/>
        <w:outlineLvl w:val="2"/>
        <w:rPr>
          <w:rFonts w:hint="default" w:ascii="Times New Roman" w:hAnsi="Times New Roman" w:cs="Times New Roman"/>
          <w:b/>
          <w:bCs/>
          <w:color w:val="auto"/>
          <w:sz w:val="22"/>
          <w:szCs w:val="22"/>
          <w:highlight w:val="none"/>
        </w:rPr>
      </w:pPr>
      <w:bookmarkStart w:id="245" w:name="_Toc469384056"/>
      <w:bookmarkStart w:id="246" w:name="_Toc15992"/>
      <w:r>
        <w:rPr>
          <w:rFonts w:hint="default" w:ascii="Times New Roman" w:hAnsi="Times New Roman" w:cs="Times New Roman"/>
          <w:b/>
          <w:bCs/>
          <w:color w:val="auto"/>
          <w:sz w:val="22"/>
          <w:szCs w:val="22"/>
          <w:highlight w:val="none"/>
        </w:rPr>
        <w:t>★72  工程变更事件</w:t>
      </w:r>
      <w:bookmarkEnd w:id="245"/>
      <w:bookmarkEnd w:id="246"/>
    </w:p>
    <w:p w14:paraId="61CF8028">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64416" behindDoc="0" locked="0" layoutInCell="1" allowOverlap="1">
                <wp:simplePos x="0" y="0"/>
                <wp:positionH relativeFrom="column">
                  <wp:posOffset>-114300</wp:posOffset>
                </wp:positionH>
                <wp:positionV relativeFrom="paragraph">
                  <wp:posOffset>185420</wp:posOffset>
                </wp:positionV>
                <wp:extent cx="1028700" cy="396240"/>
                <wp:effectExtent l="0" t="0" r="0" b="0"/>
                <wp:wrapNone/>
                <wp:docPr id="304" name="文本框 304"/>
                <wp:cNvGraphicFramePr/>
                <a:graphic xmlns:a="http://schemas.openxmlformats.org/drawingml/2006/main">
                  <a:graphicData uri="http://schemas.microsoft.com/office/word/2010/wordprocessingShape">
                    <wps:wsp>
                      <wps:cNvSpPr txBox="1"/>
                      <wps:spPr>
                        <a:xfrm>
                          <a:off x="0" y="0"/>
                          <a:ext cx="1028700" cy="396240"/>
                        </a:xfrm>
                        <a:prstGeom prst="rect">
                          <a:avLst/>
                        </a:prstGeom>
                        <a:noFill/>
                        <a:ln>
                          <a:noFill/>
                        </a:ln>
                        <a:effectLst/>
                      </wps:spPr>
                      <wps:txbx>
                        <w:txbxContent>
                          <w:p w14:paraId="0CF6AA57">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工程变更的价</w:t>
                            </w:r>
                          </w:p>
                          <w:p w14:paraId="4C73A414">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款调整</w:t>
                            </w:r>
                          </w:p>
                        </w:txbxContent>
                      </wps:txbx>
                      <wps:bodyPr wrap="square" upright="1"/>
                    </wps:wsp>
                  </a:graphicData>
                </a:graphic>
              </wp:anchor>
            </w:drawing>
          </mc:Choice>
          <mc:Fallback>
            <w:pict>
              <v:shape id="_x0000_s1026" o:spid="_x0000_s1026" o:spt="202" type="#_x0000_t202" style="position:absolute;left:0pt;margin-left:-9pt;margin-top:14.6pt;height:31.2pt;width:81pt;z-index:251964416;mso-width-relative:page;mso-height-relative:page;" filled="f" stroked="f" coordsize="21600,21600" o:gfxdata="UEsDBAoAAAAAAIdO4kAAAAAAAAAAAAAAAAAEAAAAZHJzL1BLAwQUAAAACACHTuJA3K4/StcAAAAJ&#10;AQAADwAAAGRycy9kb3ducmV2LnhtbE2PzW6DMBCE75X6DtZWyi2xQTQKlCWHRL02avoj9ebgDaDi&#10;NcJOoG9f59QeZ2c0+025nW0vrjT6zjFCslIgiGtnOm4Q3t+elxsQPmg2undMCD/kYVvd35W6MG7i&#10;V7oeQyNiCftCI7QhDIWUvm7Jar9yA3H0zm60OkQ5NtKMeorltpepUmtpdcfxQ6sH2rVUfx8vFuHj&#10;5fz1malDs7ePw+RmJdnmEnHxkKgnEIHm8BeGG35EhyoyndyFjRc9wjLZxC0BIc1TELdAlsXDCSFP&#10;1iCrUv5fUP0CUEsDBBQAAAAIAIdO4kDZ6ohQvgEAAG4DAAAOAAAAZHJzL2Uyb0RvYy54bWytU0tu&#10;2zAQ3RfIHQjuaylOkCaC5QCBkWyKtkCaA9DU0CIgfsqhLfkC7Q266qb7nsvn6JBSnDTdZJENNZzP&#10;47w3o8X1YDq2g4Da2ZqfzkrOwErXaLup+cPX2/eXnGEUthGds1DzPSC/Xp68W/S+grlrXddAYARi&#10;sep9zdsYfVUUKFswAmfOg6WgcsGISNewKZogekI3XTEvy4uid6HxwUlAJO9qDPIJMbwG0CmlJayc&#10;3BqwcUQN0IlIlLDVHvkyd6sUyPhZKYTIupoT05hPeoTsdTqL5UJUmyB8q+XUgnhNCy84GaEtPXqE&#10;Woko2Dbo/6CMlsGhU3EmnSlGIlkRYnFavtDmvhUeMheSGv1RdHw7WPlp9yUw3dT8rDznzApDIz/8&#10;/HH49efw+ztLTpKo91hR5r2n3DjcuIEW59GP5EzMBxVM+hInRnESeH8UGIbIZCoq55cfSgpJip1d&#10;XczP8wSKp2ofMN6BMywZNQ80wKyr2H3ESJ1Q6mNKesy6W911eYid/cdBiaMH8hZM1YnI2HCy4rAe&#10;JnZr1+yJXE+bUHP8thUBONv6oDcttZHJFqmExpCbmFYmzfn5neznv8nyL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NyuP0rXAAAACQEAAA8AAAAAAAAAAQAgAAAAIgAAAGRycy9kb3ducmV2LnhtbFBL&#10;AQIUABQAAAAIAIdO4kDZ6ohQvgEAAG4DAAAOAAAAAAAAAAEAIAAAACYBAABkcnMvZTJvRG9jLnht&#10;bFBLBQYAAAAABgAGAFkBAABWBQAAAAA=&#10;">
                <v:fill on="f" focussize="0,0"/>
                <v:stroke on="f"/>
                <v:imagedata o:title=""/>
                <o:lock v:ext="edit" aspectratio="f"/>
                <v:textbox>
                  <w:txbxContent>
                    <w:p w14:paraId="0CF6AA57">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工程变更的价</w:t>
                      </w:r>
                    </w:p>
                    <w:p w14:paraId="4C73A414">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款调整</w:t>
                      </w:r>
                    </w:p>
                  </w:txbxContent>
                </v:textbox>
              </v:shape>
            </w:pict>
          </mc:Fallback>
        </mc:AlternateContent>
      </w:r>
      <w:r>
        <w:rPr>
          <w:rFonts w:hint="default" w:ascii="Times New Roman" w:hAnsi="Times New Roman" w:cs="Times New Roman"/>
          <w:b/>
          <w:bCs/>
          <w:color w:val="auto"/>
          <w:sz w:val="22"/>
          <w:szCs w:val="22"/>
          <w:highlight w:val="none"/>
        </w:rPr>
        <w:t xml:space="preserve">72.1      </w:t>
      </w:r>
    </w:p>
    <w:p w14:paraId="68DC9CCD">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合同履行期间，出现第56条工程变更事件的，合同双方当事人应调整合同价款。</w:t>
      </w:r>
    </w:p>
    <w:p w14:paraId="0C012C45">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72.2   </w:t>
      </w:r>
      <w:r>
        <w:rPr>
          <w:rFonts w:hint="default" w:ascii="Times New Roman" w:hAnsi="Times New Roman" w:cs="Times New Roman"/>
          <w:b/>
          <w:bCs/>
          <w:color w:val="auto"/>
          <w:sz w:val="22"/>
          <w:szCs w:val="22"/>
          <w:highlight w:val="none"/>
          <w:u w:val="dotted"/>
        </w:rPr>
        <w:t xml:space="preserve">                                                                               </w:t>
      </w:r>
      <w:r>
        <w:rPr>
          <w:rFonts w:hint="default" w:ascii="Times New Roman" w:hAnsi="Times New Roman" w:cs="Times New Roman"/>
          <w:b/>
          <w:bCs/>
          <w:color w:val="auto"/>
          <w:sz w:val="22"/>
          <w:szCs w:val="22"/>
          <w:highlight w:val="none"/>
        </w:rPr>
        <w:t xml:space="preserve">    </w:t>
      </w:r>
    </w:p>
    <w:p w14:paraId="14AA1596">
      <w:pPr>
        <w:pStyle w:val="15"/>
        <w:adjustRightInd w:val="0"/>
        <w:snapToGrid w:val="0"/>
        <w:spacing w:line="420" w:lineRule="exact"/>
        <w:ind w:left="162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65440" behindDoc="0" locked="0" layoutInCell="1" allowOverlap="1">
                <wp:simplePos x="0" y="0"/>
                <wp:positionH relativeFrom="column">
                  <wp:posOffset>-114300</wp:posOffset>
                </wp:positionH>
                <wp:positionV relativeFrom="paragraph">
                  <wp:posOffset>6350</wp:posOffset>
                </wp:positionV>
                <wp:extent cx="914400" cy="593090"/>
                <wp:effectExtent l="0" t="0" r="0" b="0"/>
                <wp:wrapNone/>
                <wp:docPr id="305" name="文本框 305"/>
                <wp:cNvGraphicFramePr/>
                <a:graphic xmlns:a="http://schemas.openxmlformats.org/drawingml/2006/main">
                  <a:graphicData uri="http://schemas.microsoft.com/office/word/2010/wordprocessingShape">
                    <wps:wsp>
                      <wps:cNvSpPr txBox="1"/>
                      <wps:spPr>
                        <a:xfrm>
                          <a:off x="0" y="0"/>
                          <a:ext cx="914400" cy="593090"/>
                        </a:xfrm>
                        <a:prstGeom prst="rect">
                          <a:avLst/>
                        </a:prstGeom>
                        <a:noFill/>
                        <a:ln>
                          <a:noFill/>
                        </a:ln>
                        <a:effectLst/>
                      </wps:spPr>
                      <wps:txbx>
                        <w:txbxContent>
                          <w:p w14:paraId="28C9BFEE">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调整分部分项工程费的方法</w:t>
                            </w:r>
                          </w:p>
                        </w:txbxContent>
                      </wps:txbx>
                      <wps:bodyPr wrap="square" upright="1"/>
                    </wps:wsp>
                  </a:graphicData>
                </a:graphic>
              </wp:anchor>
            </w:drawing>
          </mc:Choice>
          <mc:Fallback>
            <w:pict>
              <v:shape id="_x0000_s1026" o:spid="_x0000_s1026" o:spt="202" type="#_x0000_t202" style="position:absolute;left:0pt;margin-left:-9pt;margin-top:0.5pt;height:46.7pt;width:72pt;z-index:251965440;mso-width-relative:page;mso-height-relative:page;" filled="f" stroked="f" coordsize="21600,21600" o:gfxdata="UEsDBAoAAAAAAIdO4kAAAAAAAAAAAAAAAAAEAAAAZHJzL1BLAwQUAAAACACHTuJAfGOP/NUAAAAI&#10;AQAADwAAAGRycy9kb3ducmV2LnhtbE2PT0/DMAzF70h8h8hI3LakU5m2UncHEFcQ44/ELWu8tqJx&#10;qiZby7fHO8HJtt7T8++Vu9n36kxj7AIjZEsDirgOruMG4f3tabEBFZNlZ/vAhPBDEXbV9VVpCxcm&#10;fqXzPjVKQjgWFqFNaSi0jnVL3sZlGIhFO4bR2yTn2Gg32knCfa9Xxqy1tx3Lh9YO9NBS/b0/eYSP&#10;5+PXZ25emkd/N0xhNpr9ViPe3mTmHlSiOf2Z4YIv6FAJ0yGc2EXVIyyyjXRJIsi46Ku1LAeEbZ6D&#10;rkr9v0D1C1BLAwQUAAAACACHTuJATdWcU70BAABtAwAADgAAAGRycy9lMm9Eb2MueG1srVNLbtsw&#10;EN0X6B0I7mvK+RS1YDlAYSSboC2Q5gA0NbIIiJ9yaEu+QHuDrrrpvufyOTqkFOfTTRbdUMP5PM57&#10;M1peDaZjewiona34fFZwBla5Wtttxe+/Xr/7wBlGaWvZOQsVPwDyq9XbN8vel3DmWtfVEBiBWCx7&#10;X/E2Rl8KgaoFI3HmPFgKNi4YGekatqIOsid004mzongvehdqH5wCRPKuxyCfEMNrAF3TaAVrp3YG&#10;bBxRA3QyEiVstUe+yt02Daj4uWkQIusqTkxjPukRsjfpFKulLLdB+larqQX5mhZecDJSW3r0BLWW&#10;UbJd0P9AGa2CQ9fEmXJGjESyIsRiXrzQ5q6VHjIXkhr9SXT8f7Dq0/5LYLqu+HlxyZmVhkZ+/Pnj&#10;+OvP8fd3lpwkUe+xpMw7T7lx+OgGWpwHP5IzMR+aYNKXODGKk8CHk8AwRKbIuZhfXBQUURS6XJwX&#10;izwA8VjsA8YbcIYlo+KB5pdllftbjNQIpT6kpLesu9Zdl2fY2WcOShw9kJdgqk48xn6TFYfNMJHb&#10;uPpA3HpahIrjt50MwNnOB71tqY3MVaQSmkJuYtqYNOand7Kf/iWrv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Hxjj/zVAAAACAEAAA8AAAAAAAAAAQAgAAAAIgAAAGRycy9kb3ducmV2LnhtbFBLAQIU&#10;ABQAAAAIAIdO4kBN1ZxTvQEAAG0DAAAOAAAAAAAAAAEAIAAAACQBAABkcnMvZTJvRG9jLnhtbFBL&#10;BQYAAAAABgAGAFkBAABTBQAAAAA=&#10;">
                <v:fill on="f" focussize="0,0"/>
                <v:stroke on="f"/>
                <v:imagedata o:title=""/>
                <o:lock v:ext="edit" aspectratio="f"/>
                <v:textbox>
                  <w:txbxContent>
                    <w:p w14:paraId="28C9BFEE">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调整分部分项工程费的方法</w:t>
                      </w:r>
                    </w:p>
                  </w:txbxContent>
                </v:textbox>
              </v:shape>
            </w:pict>
          </mc:Fallback>
        </mc:AlternateContent>
      </w:r>
      <w:r>
        <w:rPr>
          <w:rFonts w:hint="default" w:ascii="Times New Roman" w:hAnsi="Times New Roman" w:cs="Times New Roman"/>
          <w:color w:val="auto"/>
          <w:sz w:val="22"/>
          <w:szCs w:val="22"/>
          <w:highlight w:val="none"/>
        </w:rPr>
        <w:t>工程变更引起分部分项工程项目发生变化，属于第73.2款规定情况的，按照其规定调整；否则按照下列规定调整分部分项工程费：</w:t>
      </w:r>
    </w:p>
    <w:p w14:paraId="46E00FC4">
      <w:pPr>
        <w:pStyle w:val="15"/>
        <w:tabs>
          <w:tab w:val="left" w:pos="1380"/>
          <w:tab w:val="left" w:pos="2160"/>
        </w:tabs>
        <w:adjustRightInd w:val="0"/>
        <w:snapToGrid w:val="0"/>
        <w:spacing w:line="420" w:lineRule="exact"/>
        <w:ind w:left="1380" w:leftChars="657" w:firstLine="220" w:firstLineChars="1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(1)合同中有适用于变更工程项目的，按照该项目的单价或合价调整;</w:t>
      </w:r>
    </w:p>
    <w:p w14:paraId="290BC8A4">
      <w:pPr>
        <w:pStyle w:val="15"/>
        <w:tabs>
          <w:tab w:val="left" w:pos="1620"/>
          <w:tab w:val="left" w:pos="2160"/>
        </w:tabs>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(2)合同中没有适用、只有类似于变更工程项目的，可在合理范围内参照类似项目的单价或合价调整;</w:t>
      </w:r>
    </w:p>
    <w:p w14:paraId="4C254A83">
      <w:pPr>
        <w:pStyle w:val="15"/>
        <w:tabs>
          <w:tab w:val="left" w:pos="1380"/>
          <w:tab w:val="left" w:pos="2160"/>
        </w:tabs>
        <w:adjustRightInd w:val="0"/>
        <w:snapToGrid w:val="0"/>
        <w:spacing w:line="420" w:lineRule="exact"/>
        <w:ind w:left="1619"/>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(3)合同中没有适用也没有类似于变更工程项目的，根据变更工程资料、计量规则和计价办法、施工相应时期工程造价管理机构发布的价格信息和承包人报价浮动率提出变更工程项目的单价或合价，经合同双方当事人确认后调整;</w:t>
      </w:r>
    </w:p>
    <w:p w14:paraId="3AE8BFE5">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其中，招标工程：承包人报价浮动率L=（1—中标价格/招标控制价）×100%；</w:t>
      </w:r>
    </w:p>
    <w:p w14:paraId="6E859D1E">
      <w:pPr>
        <w:pStyle w:val="15"/>
        <w:adjustRightInd w:val="0"/>
        <w:snapToGrid w:val="0"/>
        <w:spacing w:line="420" w:lineRule="exact"/>
        <w:ind w:firstLine="1980" w:firstLineChars="9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非招标工程：承包人报价浮动率L=（1—报价值/施工图预算）×100%。</w:t>
      </w:r>
    </w:p>
    <w:p w14:paraId="30321179">
      <w:pPr>
        <w:pStyle w:val="15"/>
        <w:adjustRightInd w:val="0"/>
        <w:snapToGrid w:val="0"/>
        <w:spacing w:line="420" w:lineRule="exact"/>
        <w:ind w:left="1619" w:leftChars="771" w:firstLine="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式中：中标价格、招标控制价或报价值、施工图预算，均不含绿色施工安全防护费。</w:t>
      </w:r>
    </w:p>
    <w:p w14:paraId="4FB80451">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(4) 合同中没有适用也没有类似于变更工程项目，且施工相应时期工程造价管理机构发布的价格信息缺项的，根据变更工程资料、计量规则、计价办法和通过市场调查等的有合法依据的市场价格提出变更工程项目的单价或合价，经合同双方当事人确认后调整。</w:t>
      </w:r>
    </w:p>
    <w:p w14:paraId="3096177B">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72.3  </w:t>
      </w:r>
      <w:r>
        <w:rPr>
          <w:rFonts w:hint="default" w:ascii="Times New Roman" w:hAnsi="Times New Roman" w:cs="Times New Roman"/>
          <w:b/>
          <w:bCs/>
          <w:color w:val="auto"/>
          <w:sz w:val="22"/>
          <w:szCs w:val="22"/>
          <w:highlight w:val="none"/>
          <w:u w:val="dotted"/>
        </w:rPr>
        <w:t xml:space="preserve">                                                                                                       </w:t>
      </w:r>
    </w:p>
    <w:p w14:paraId="50EE1256">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66464" behindDoc="0" locked="0" layoutInCell="1" allowOverlap="1">
                <wp:simplePos x="0" y="0"/>
                <wp:positionH relativeFrom="column">
                  <wp:posOffset>-114300</wp:posOffset>
                </wp:positionH>
                <wp:positionV relativeFrom="paragraph">
                  <wp:posOffset>45720</wp:posOffset>
                </wp:positionV>
                <wp:extent cx="914400" cy="396240"/>
                <wp:effectExtent l="0" t="0" r="0" b="0"/>
                <wp:wrapNone/>
                <wp:docPr id="306" name="文本框 306"/>
                <wp:cNvGraphicFramePr/>
                <a:graphic xmlns:a="http://schemas.openxmlformats.org/drawingml/2006/main">
                  <a:graphicData uri="http://schemas.microsoft.com/office/word/2010/wordprocessingShape">
                    <wps:wsp>
                      <wps:cNvSpPr txBox="1"/>
                      <wps:spPr>
                        <a:xfrm>
                          <a:off x="0" y="0"/>
                          <a:ext cx="914400" cy="396240"/>
                        </a:xfrm>
                        <a:prstGeom prst="rect">
                          <a:avLst/>
                        </a:prstGeom>
                        <a:noFill/>
                        <a:ln>
                          <a:noFill/>
                        </a:ln>
                        <a:effectLst/>
                      </wps:spPr>
                      <wps:txbx>
                        <w:txbxContent>
                          <w:p w14:paraId="3EC295C1">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调整措施项目费的方法</w:t>
                            </w:r>
                          </w:p>
                        </w:txbxContent>
                      </wps:txbx>
                      <wps:bodyPr wrap="square" upright="1"/>
                    </wps:wsp>
                  </a:graphicData>
                </a:graphic>
              </wp:anchor>
            </w:drawing>
          </mc:Choice>
          <mc:Fallback>
            <w:pict>
              <v:shape id="_x0000_s1026" o:spid="_x0000_s1026" o:spt="202" type="#_x0000_t202" style="position:absolute;left:0pt;margin-left:-9pt;margin-top:3.6pt;height:31.2pt;width:72pt;z-index:251966464;mso-width-relative:page;mso-height-relative:page;" filled="f" stroked="f" coordsize="21600,21600" o:gfxdata="UEsDBAoAAAAAAIdO4kAAAAAAAAAAAAAAAAAEAAAAZHJzL1BLAwQUAAAACACHTuJApT0tN9UAAAAI&#10;AQAADwAAAGRycy9kb3ducmV2LnhtbE2PzW7CMBCE75V4B2uRegM7UZtCmg0HUK9FpT9SbyZekqjx&#10;OooNCW9fc2qPoxnNfFNsJtuJCw2+dYyQLBUI4sqZlmuEj/eXxQqED5qN7hwTwpU8bMrZXaFz40Z+&#10;o8sh1CKWsM81QhNCn0vpq4as9kvXE0fv5AarQ5RDLc2gx1huO5kqlUmrW44Lje5p21D1czhbhM/X&#10;0/fXg9rXO/vYj25Sku1aIt7PE/UMItAU/sJww4/oUEamozuz8aJDWCSr+CUgPKUgbn6aRX1EyNYZ&#10;yLKQ/w+Uv1BLAwQUAAAACACHTuJAeLXklr0BAABtAwAADgAAAGRycy9lMm9Eb2MueG1srVNLbtsw&#10;EN0X6B0I7mvJjmE0guUAgZFuirZA2gPQ1MgiwF84tCVfoL1BV91033P5HB1Sipummyy6oYbzeZz3&#10;ZrS+GYxmRwionK35fFZyBla6Rtl9zb98vnvzljOMwjZCOws1PwHym83rV+veV7BwndMNBEYgFqve&#10;17yL0VdFgbIDI3DmPFgKti4YEeka9kUTRE/oRheLslwVvQuND04CInm3Y5BPiOElgK5tlYStkwcD&#10;No6oAbSIRAk75ZFvcrdtCzJ+bFuEyHTNiWnMJz1C9i6dxWYtqn0QvlNyakG8pIVnnIxQlh69QG1F&#10;FOwQ1D9QRsng0LVxJp0pRiJZEWIxL59pc98JD5kLSY3+Ijr+P1j54fgpMNXU/KpccWaFoZGfv387&#10;//h1/vmVJSdJ1HusKPPeU24cbt1Ai/PoR3Im5kMbTPoSJ0ZxEvh0ERiGyCQ5r+fLZUkRSaGr69Vi&#10;mQdQ/Cn2AeM7cIYlo+aB5pdlFcf3GKkRSn1MSW9Zd6e0zjPU9i8HJY4eyEswVSceY7/JisNumMjt&#10;XHMibj0tQs3x4SACcHbwQe07aiNzLVIJTSE3MW1MGvPTO9lP/5LN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U9LTfVAAAACAEAAA8AAAAAAAAAAQAgAAAAIgAAAGRycy9kb3ducmV2LnhtbFBLAQIU&#10;ABQAAAAIAIdO4kB4teSWvQEAAG0DAAAOAAAAAAAAAAEAIAAAACQBAABkcnMvZTJvRG9jLnhtbFBL&#10;BQYAAAAABgAGAFkBAABTBQAAAAA=&#10;">
                <v:fill on="f" focussize="0,0"/>
                <v:stroke on="f"/>
                <v:imagedata o:title=""/>
                <o:lock v:ext="edit" aspectratio="f"/>
                <v:textbox>
                  <w:txbxContent>
                    <w:p w14:paraId="3EC295C1">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调整措施项目费的方法</w:t>
                      </w:r>
                    </w:p>
                  </w:txbxContent>
                </v:textbox>
              </v:shape>
            </w:pict>
          </mc:Fallback>
        </mc:AlternateContent>
      </w:r>
      <w:r>
        <w:rPr>
          <w:rFonts w:hint="default" w:ascii="Times New Roman" w:hAnsi="Times New Roman" w:cs="Times New Roman"/>
          <w:color w:val="auto"/>
          <w:sz w:val="22"/>
          <w:szCs w:val="22"/>
          <w:highlight w:val="none"/>
        </w:rPr>
        <w:t>工程变更引起措施项目发生变化的，合同双方当事人不利一方当事人有权提出调整措施项目费。提出调整措施项目费的，应事先将拟实施的方案提交另一方当事人确认，并详细说明与原方案措施项目相比的变化情况。拟实施的方案，经合同双方当事人确认后执行。该情况下，应按照下列规定调整措施项目费：</w:t>
      </w:r>
    </w:p>
    <w:p w14:paraId="04BB2456">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(1) 绿色施工安全防护费，按照实际发生变化的措施项目调整，不得浮动。</w:t>
      </w:r>
    </w:p>
    <w:p w14:paraId="06A8B0AC">
      <w:pPr>
        <w:pStyle w:val="15"/>
        <w:adjustRightInd w:val="0"/>
        <w:snapToGrid w:val="0"/>
        <w:spacing w:line="420" w:lineRule="exact"/>
        <w:ind w:left="1630" w:leftChars="776"/>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(2)凡可计算工程量的措施项目费，按照实际发生变化的措施项目的工程量乘以第72.2款规定的单价或合价调整。</w:t>
      </w:r>
    </w:p>
    <w:p w14:paraId="6FE73693">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(3)凡按系数计算的措施项目费，除本款第</w:t>
      </w:r>
      <w:r>
        <w:rPr>
          <w:rFonts w:hint="default" w:ascii="Times New Roman" w:hAnsi="Times New Roman" w:cs="Times New Roman"/>
          <w:color w:val="auto"/>
          <w:sz w:val="22"/>
          <w:szCs w:val="22"/>
          <w:highlight w:val="none"/>
          <w:lang w:eastAsia="zh-CN"/>
        </w:rPr>
        <w:t>（</w:t>
      </w:r>
      <w:r>
        <w:rPr>
          <w:rFonts w:hint="default" w:ascii="Times New Roman" w:hAnsi="Times New Roman" w:cs="Times New Roman"/>
          <w:color w:val="auto"/>
          <w:sz w:val="22"/>
          <w:szCs w:val="22"/>
          <w:highlight w:val="none"/>
        </w:rPr>
        <w:t>1</w:t>
      </w:r>
      <w:r>
        <w:rPr>
          <w:rFonts w:hint="default" w:ascii="Times New Roman" w:hAnsi="Times New Roman" w:cs="Times New Roman"/>
          <w:color w:val="auto"/>
          <w:sz w:val="22"/>
          <w:szCs w:val="22"/>
          <w:highlight w:val="none"/>
          <w:lang w:eastAsia="zh-CN"/>
        </w:rPr>
        <w:t>）</w:t>
      </w:r>
      <w:r>
        <w:rPr>
          <w:rFonts w:hint="default" w:ascii="Times New Roman" w:hAnsi="Times New Roman" w:cs="Times New Roman"/>
          <w:color w:val="auto"/>
          <w:sz w:val="22"/>
          <w:szCs w:val="22"/>
          <w:highlight w:val="none"/>
        </w:rPr>
        <w:t>点情形外，按照实际发生变化的措施项目调整，但应考虑承包人报价浮动因素，即调整金额按照实际调整金额乘以第72.2款规定的承包人报价浮动率计算。</w:t>
      </w:r>
    </w:p>
    <w:p w14:paraId="5512D1CF">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如果不利一方当事人未按本款规定事先将拟实施的方案提交给另一方当事人，则认为工程变更不引起措施项目费的调整或不利一方当事人放弃调整措施项目费的权利。</w:t>
      </w:r>
    </w:p>
    <w:p w14:paraId="3A96D4BC">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72.4  </w:t>
      </w:r>
      <w:r>
        <w:rPr>
          <w:rFonts w:hint="default" w:ascii="Times New Roman" w:hAnsi="Times New Roman" w:cs="Times New Roman"/>
          <w:b/>
          <w:bCs/>
          <w:color w:val="auto"/>
          <w:sz w:val="22"/>
          <w:szCs w:val="22"/>
          <w:highlight w:val="none"/>
          <w:u w:val="dotted"/>
        </w:rPr>
        <w:t xml:space="preserve">                                                                                                       </w:t>
      </w:r>
    </w:p>
    <w:p w14:paraId="3CA422BC">
      <w:pPr>
        <w:spacing w:line="420" w:lineRule="exact"/>
        <w:ind w:left="1676" w:leftChars="798"/>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67488" behindDoc="0" locked="0" layoutInCell="1" allowOverlap="1">
                <wp:simplePos x="0" y="0"/>
                <wp:positionH relativeFrom="column">
                  <wp:posOffset>-114300</wp:posOffset>
                </wp:positionH>
                <wp:positionV relativeFrom="paragraph">
                  <wp:posOffset>13335</wp:posOffset>
                </wp:positionV>
                <wp:extent cx="1028700" cy="766445"/>
                <wp:effectExtent l="0" t="0" r="0" b="0"/>
                <wp:wrapNone/>
                <wp:docPr id="307" name="文本框 307"/>
                <wp:cNvGraphicFramePr/>
                <a:graphic xmlns:a="http://schemas.openxmlformats.org/drawingml/2006/main">
                  <a:graphicData uri="http://schemas.microsoft.com/office/word/2010/wordprocessingShape">
                    <wps:wsp>
                      <wps:cNvSpPr txBox="1"/>
                      <wps:spPr>
                        <a:xfrm>
                          <a:off x="0" y="0"/>
                          <a:ext cx="1028700" cy="766445"/>
                        </a:xfrm>
                        <a:prstGeom prst="rect">
                          <a:avLst/>
                        </a:prstGeom>
                        <a:noFill/>
                        <a:ln>
                          <a:noFill/>
                        </a:ln>
                        <a:effectLst/>
                      </wps:spPr>
                      <wps:txbx>
                        <w:txbxContent>
                          <w:p w14:paraId="273BEE1D">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调整承包人报</w:t>
                            </w:r>
                          </w:p>
                          <w:p w14:paraId="3EE85BC8">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价偏差的方法</w:t>
                            </w:r>
                          </w:p>
                        </w:txbxContent>
                      </wps:txbx>
                      <wps:bodyPr wrap="square" upright="1"/>
                    </wps:wsp>
                  </a:graphicData>
                </a:graphic>
              </wp:anchor>
            </w:drawing>
          </mc:Choice>
          <mc:Fallback>
            <w:pict>
              <v:shape id="_x0000_s1026" o:spid="_x0000_s1026" o:spt="202" type="#_x0000_t202" style="position:absolute;left:0pt;margin-left:-9pt;margin-top:1.05pt;height:60.35pt;width:81pt;z-index:251967488;mso-width-relative:page;mso-height-relative:page;" filled="f" stroked="f" coordsize="21600,21600" o:gfxdata="UEsDBAoAAAAAAIdO4kAAAAAAAAAAAAAAAAAEAAAAZHJzL1BLAwQUAAAACACHTuJAYAy5AdYAAAAJ&#10;AQAADwAAAGRycy9kb3ducmV2LnhtbE2PzW6DMBCE75XyDtZWyi2xQbQiBJNDql5TNf2RenPwBlDx&#10;GmEn0Lfv5tTedjSj2W/K3ex6ccUxdJ40JGsFAqn2tqNGw/vb8yoHEaIha3pPqOEHA+yqxV1pCusn&#10;esXrMTaCSygURkMb41BIGeoWnQlrPyCxd/ajM5Hl2Eg7monLXS9TpR6lMx3xh9YMuG+x/j5enIaP&#10;w/nrM1MvzZN7GCY/K0luI7Ve3idqCyLiHP/CcMNndKiY6eQvZIPoNaySnLdEDWkC4uZnGesTH2ma&#10;g6xK+X9B9QtQSwMEFAAAAAgAh07iQKhTUra9AQAAbgMAAA4AAABkcnMvZTJvRG9jLnhtbK1TS27b&#10;MBDdF+gdCO5rKW5qB4LlAIWRboq2QJoD0NTQIiB+yqEt+QLtDbrqpvuey+fokFLcNNlkkQ01nM/j&#10;vDej1fVgOnaAgNrZml/MSs7AStdou6v53debN1ecYRS2EZ2zUPMjIL9ev3616n0Fc9e6roHACMRi&#10;1fuatzH6qihQtmAEzpwHS0HlghGRrmFXNEH0hG66Yl6Wi6J3ofHBSUAk72YM8gkxPAfQKaUlbJzc&#10;G7BxRA3QiUiUsNUe+Tp3qxTI+FkphMi6mhPTmE96hOxtOov1SlS7IHyr5dSCeE4LjzgZoS09eoba&#10;iCjYPugnUEbL4NCpOJPOFCORrAixuCgfaXPbCg+ZC0mN/iw6vhys/HT4Ephuav62XHJmhaGRn37+&#10;OP36c/r9nSUnSdR7rCjz1lNuHN67gRbn3o/kTMwHFUz6EidGcRL4eBYYhshkKirnV8uSQpJiy8Xi&#10;8vJdgin+VfuA8QM4w5JR80ADzLqKw0eMY+p9SnrMuhvddXmInf3PQZijB/IWTNWJyNhwsuKwHSZ2&#10;W9cciVxPm1Bz/LYXATjb+6B3LbWRyRaphMaQ+51WJs354Z3sh7/J+i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gDLkB1gAAAAkBAAAPAAAAAAAAAAEAIAAAACIAAABkcnMvZG93bnJldi54bWxQSwEC&#10;FAAUAAAACACHTuJAqFNStr0BAABuAwAADgAAAAAAAAABACAAAAAlAQAAZHJzL2Uyb0RvYy54bWxQ&#10;SwUGAAAAAAYABgBZAQAAVAUAAAAA&#10;">
                <v:fill on="f" focussize="0,0"/>
                <v:stroke on="f"/>
                <v:imagedata o:title=""/>
                <o:lock v:ext="edit" aspectratio="f"/>
                <v:textbox>
                  <w:txbxContent>
                    <w:p w14:paraId="273BEE1D">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调整承包人报</w:t>
                      </w:r>
                    </w:p>
                    <w:p w14:paraId="3EE85BC8">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价偏差的方法</w:t>
                      </w:r>
                    </w:p>
                  </w:txbxContent>
                </v:textbox>
              </v:shape>
            </w:pict>
          </mc:Fallback>
        </mc:AlternateContent>
      </w:r>
      <w:r>
        <w:rPr>
          <w:rFonts w:hint="default" w:ascii="Times New Roman" w:hAnsi="Times New Roman" w:cs="Times New Roman"/>
          <w:color w:val="auto"/>
          <w:sz w:val="22"/>
          <w:szCs w:val="22"/>
          <w:highlight w:val="none"/>
        </w:rPr>
        <w:t>工程量发生变化的分部分项工程项目，如承包人投标价分部分项清单项目填报的综合单价与发包人招标控制价或预算价相应清单项目的综合单价偏差超过一定幅度时，合同双方当事人应调整合同价款。调整工程价款时，合同双方当事人不利一方应事先向另一方提出，经合同双方当事人确认后执行。除专用条款另有约定外，应按照下列规定调整分部分项工程费：</w:t>
      </w:r>
    </w:p>
    <w:p w14:paraId="77757541">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(1)当P</w:t>
      </w:r>
      <w:r>
        <w:rPr>
          <w:rFonts w:hint="default" w:ascii="Times New Roman" w:hAnsi="Times New Roman" w:cs="Times New Roman"/>
          <w:color w:val="auto"/>
          <w:sz w:val="22"/>
          <w:szCs w:val="22"/>
          <w:highlight w:val="none"/>
          <w:vertAlign w:val="subscript"/>
        </w:rPr>
        <w:t xml:space="preserve">0 </w:t>
      </w:r>
      <w:r>
        <w:rPr>
          <w:rFonts w:hint="default" w:ascii="Times New Roman" w:hAnsi="Times New Roman" w:cs="Times New Roman"/>
          <w:color w:val="auto"/>
          <w:sz w:val="22"/>
          <w:szCs w:val="22"/>
          <w:highlight w:val="none"/>
        </w:rPr>
        <w:t>&lt;P</w:t>
      </w:r>
      <w:r>
        <w:rPr>
          <w:rFonts w:hint="default" w:ascii="Times New Roman" w:hAnsi="Times New Roman" w:cs="Times New Roman"/>
          <w:color w:val="auto"/>
          <w:sz w:val="22"/>
          <w:szCs w:val="22"/>
          <w:highlight w:val="none"/>
          <w:vertAlign w:val="subscript"/>
        </w:rPr>
        <w:t>1</w:t>
      </w:r>
      <w:r>
        <w:rPr>
          <w:rFonts w:hint="default" w:ascii="Times New Roman" w:hAnsi="Times New Roman" w:cs="Times New Roman"/>
          <w:color w:val="auto"/>
          <w:sz w:val="22"/>
          <w:szCs w:val="22"/>
          <w:highlight w:val="none"/>
        </w:rPr>
        <w:t xml:space="preserve"> ×(1-L)×(1-15%</w:t>
      </w:r>
      <w:r>
        <w:rPr>
          <w:rFonts w:hint="default" w:ascii="Times New Roman" w:hAnsi="Times New Roman" w:cs="Times New Roman"/>
          <w:color w:val="auto"/>
          <w:sz w:val="22"/>
          <w:szCs w:val="22"/>
          <w:highlight w:val="none"/>
          <w:lang w:eastAsia="zh-CN"/>
        </w:rPr>
        <w:t>）</w:t>
      </w:r>
      <w:r>
        <w:rPr>
          <w:rFonts w:hint="default" w:ascii="Times New Roman" w:hAnsi="Times New Roman" w:cs="Times New Roman"/>
          <w:color w:val="auto"/>
          <w:sz w:val="22"/>
          <w:szCs w:val="22"/>
          <w:highlight w:val="none"/>
        </w:rPr>
        <w:t>时，该类项目的综合单价按照P</w:t>
      </w:r>
      <w:r>
        <w:rPr>
          <w:rFonts w:hint="default" w:ascii="Times New Roman" w:hAnsi="Times New Roman" w:cs="Times New Roman"/>
          <w:color w:val="auto"/>
          <w:sz w:val="22"/>
          <w:szCs w:val="22"/>
          <w:highlight w:val="none"/>
          <w:vertAlign w:val="subscript"/>
        </w:rPr>
        <w:t>1</w:t>
      </w:r>
      <w:r>
        <w:rPr>
          <w:rFonts w:hint="default" w:ascii="Times New Roman" w:hAnsi="Times New Roman" w:cs="Times New Roman"/>
          <w:color w:val="auto"/>
          <w:sz w:val="22"/>
          <w:szCs w:val="22"/>
          <w:highlight w:val="none"/>
        </w:rPr>
        <w:t xml:space="preserve"> ×(1-L)×(1-15%</w:t>
      </w:r>
      <w:r>
        <w:rPr>
          <w:rFonts w:hint="default" w:ascii="Times New Roman" w:hAnsi="Times New Roman" w:cs="Times New Roman"/>
          <w:color w:val="auto"/>
          <w:sz w:val="22"/>
          <w:szCs w:val="22"/>
          <w:highlight w:val="none"/>
          <w:lang w:eastAsia="zh-CN"/>
        </w:rPr>
        <w:t>）</w:t>
      </w:r>
      <w:r>
        <w:rPr>
          <w:rFonts w:hint="default" w:ascii="Times New Roman" w:hAnsi="Times New Roman" w:cs="Times New Roman"/>
          <w:color w:val="auto"/>
          <w:sz w:val="22"/>
          <w:szCs w:val="22"/>
          <w:highlight w:val="none"/>
        </w:rPr>
        <w:t xml:space="preserve">调整。 </w:t>
      </w:r>
    </w:p>
    <w:p w14:paraId="31B96491">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(2)当P</w:t>
      </w:r>
      <w:r>
        <w:rPr>
          <w:rFonts w:hint="default" w:ascii="Times New Roman" w:hAnsi="Times New Roman" w:cs="Times New Roman"/>
          <w:color w:val="auto"/>
          <w:sz w:val="22"/>
          <w:szCs w:val="22"/>
          <w:highlight w:val="none"/>
          <w:vertAlign w:val="subscript"/>
        </w:rPr>
        <w:t xml:space="preserve">0 </w:t>
      </w:r>
      <w:r>
        <w:rPr>
          <w:rFonts w:hint="default" w:ascii="Times New Roman" w:hAnsi="Times New Roman" w:cs="Times New Roman"/>
          <w:color w:val="auto"/>
          <w:sz w:val="22"/>
          <w:szCs w:val="22"/>
          <w:highlight w:val="none"/>
        </w:rPr>
        <w:t>&gt;P</w:t>
      </w:r>
      <w:r>
        <w:rPr>
          <w:rFonts w:hint="default" w:ascii="Times New Roman" w:hAnsi="Times New Roman" w:cs="Times New Roman"/>
          <w:color w:val="auto"/>
          <w:sz w:val="22"/>
          <w:szCs w:val="22"/>
          <w:highlight w:val="none"/>
          <w:vertAlign w:val="subscript"/>
        </w:rPr>
        <w:t>1</w:t>
      </w:r>
      <w:r>
        <w:rPr>
          <w:rFonts w:hint="default" w:ascii="Times New Roman" w:hAnsi="Times New Roman" w:cs="Times New Roman"/>
          <w:color w:val="auto"/>
          <w:sz w:val="22"/>
          <w:szCs w:val="22"/>
          <w:highlight w:val="none"/>
        </w:rPr>
        <w:t xml:space="preserve"> × (1+15%</w:t>
      </w:r>
      <w:r>
        <w:rPr>
          <w:rFonts w:hint="default" w:ascii="Times New Roman" w:hAnsi="Times New Roman" w:cs="Times New Roman"/>
          <w:color w:val="auto"/>
          <w:sz w:val="22"/>
          <w:szCs w:val="22"/>
          <w:highlight w:val="none"/>
          <w:lang w:eastAsia="zh-CN"/>
        </w:rPr>
        <w:t>）</w:t>
      </w:r>
      <w:r>
        <w:rPr>
          <w:rFonts w:hint="default" w:ascii="Times New Roman" w:hAnsi="Times New Roman" w:cs="Times New Roman"/>
          <w:color w:val="auto"/>
          <w:sz w:val="22"/>
          <w:szCs w:val="22"/>
          <w:highlight w:val="none"/>
        </w:rPr>
        <w:t>时，该类项目的综合单价按照P</w:t>
      </w:r>
      <w:r>
        <w:rPr>
          <w:rFonts w:hint="default" w:ascii="Times New Roman" w:hAnsi="Times New Roman" w:cs="Times New Roman"/>
          <w:color w:val="auto"/>
          <w:sz w:val="22"/>
          <w:szCs w:val="22"/>
          <w:highlight w:val="none"/>
          <w:vertAlign w:val="subscript"/>
        </w:rPr>
        <w:t>1</w:t>
      </w:r>
      <w:r>
        <w:rPr>
          <w:rFonts w:hint="default" w:ascii="Times New Roman" w:hAnsi="Times New Roman" w:cs="Times New Roman"/>
          <w:color w:val="auto"/>
          <w:sz w:val="22"/>
          <w:szCs w:val="22"/>
          <w:highlight w:val="none"/>
        </w:rPr>
        <w:t xml:space="preserve"> ×（1+15%</w:t>
      </w:r>
      <w:r>
        <w:rPr>
          <w:rFonts w:hint="default" w:ascii="Times New Roman" w:hAnsi="Times New Roman" w:cs="Times New Roman"/>
          <w:color w:val="auto"/>
          <w:sz w:val="22"/>
          <w:szCs w:val="22"/>
          <w:highlight w:val="none"/>
          <w:lang w:eastAsia="zh-CN"/>
        </w:rPr>
        <w:t>）</w:t>
      </w:r>
      <w:r>
        <w:rPr>
          <w:rFonts w:hint="default" w:ascii="Times New Roman" w:hAnsi="Times New Roman" w:cs="Times New Roman"/>
          <w:color w:val="auto"/>
          <w:sz w:val="22"/>
          <w:szCs w:val="22"/>
          <w:highlight w:val="none"/>
        </w:rPr>
        <w:t xml:space="preserve">调整。 </w:t>
      </w:r>
    </w:p>
    <w:p w14:paraId="2A074E20">
      <w:pPr>
        <w:pStyle w:val="15"/>
        <w:adjustRightInd w:val="0"/>
        <w:snapToGrid w:val="0"/>
        <w:spacing w:line="420" w:lineRule="exact"/>
        <w:ind w:firstLine="1485" w:firstLineChars="675"/>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式中：P</w:t>
      </w:r>
      <w:r>
        <w:rPr>
          <w:rFonts w:hint="default" w:ascii="Times New Roman" w:hAnsi="Times New Roman" w:cs="Times New Roman"/>
          <w:color w:val="auto"/>
          <w:sz w:val="22"/>
          <w:szCs w:val="22"/>
          <w:highlight w:val="none"/>
          <w:vertAlign w:val="subscript"/>
        </w:rPr>
        <w:t>0</w:t>
      </w:r>
      <w:r>
        <w:rPr>
          <w:rFonts w:hint="default" w:ascii="Times New Roman" w:hAnsi="Times New Roman" w:cs="Times New Roman"/>
          <w:color w:val="auto"/>
          <w:sz w:val="22"/>
          <w:szCs w:val="22"/>
          <w:highlight w:val="none"/>
        </w:rPr>
        <w:t>——承包人在工程量清单中填报的综合单价。</w:t>
      </w:r>
    </w:p>
    <w:p w14:paraId="5FB083F8">
      <w:pPr>
        <w:pStyle w:val="15"/>
        <w:adjustRightInd w:val="0"/>
        <w:snapToGrid w:val="0"/>
        <w:spacing w:line="420" w:lineRule="exact"/>
        <w:ind w:firstLine="2145" w:firstLineChars="975"/>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P</w:t>
      </w:r>
      <w:r>
        <w:rPr>
          <w:rFonts w:hint="default" w:ascii="Times New Roman" w:hAnsi="Times New Roman" w:cs="Times New Roman"/>
          <w:color w:val="auto"/>
          <w:sz w:val="22"/>
          <w:szCs w:val="22"/>
          <w:highlight w:val="none"/>
          <w:vertAlign w:val="subscript"/>
        </w:rPr>
        <w:t>1</w:t>
      </w:r>
      <w:r>
        <w:rPr>
          <w:rFonts w:hint="default" w:ascii="Times New Roman" w:hAnsi="Times New Roman" w:cs="Times New Roman"/>
          <w:color w:val="auto"/>
          <w:sz w:val="22"/>
          <w:szCs w:val="22"/>
          <w:highlight w:val="none"/>
        </w:rPr>
        <w:t>——发包人招标控制价或施工预算相应清单项目的综合单价。</w:t>
      </w:r>
    </w:p>
    <w:p w14:paraId="2DD2F6FC">
      <w:pPr>
        <w:pStyle w:val="15"/>
        <w:adjustRightInd w:val="0"/>
        <w:snapToGrid w:val="0"/>
        <w:spacing w:line="420" w:lineRule="exact"/>
        <w:ind w:firstLine="2145" w:firstLineChars="975"/>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w:t>L——第72.2款规定的承包人报价浮动率。</w:t>
      </w:r>
    </w:p>
    <w:p w14:paraId="72A5B120">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72.5  </w:t>
      </w:r>
      <w:r>
        <w:rPr>
          <w:rFonts w:hint="default" w:ascii="Times New Roman" w:hAnsi="Times New Roman" w:cs="Times New Roman"/>
          <w:b/>
          <w:bCs/>
          <w:color w:val="auto"/>
          <w:sz w:val="22"/>
          <w:szCs w:val="22"/>
          <w:highlight w:val="none"/>
          <w:u w:val="dotted"/>
        </w:rPr>
        <w:t xml:space="preserve">                                                                                                       </w:t>
      </w:r>
    </w:p>
    <w:p w14:paraId="4BCF5FB9">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68512" behindDoc="0" locked="0" layoutInCell="1" allowOverlap="1">
                <wp:simplePos x="0" y="0"/>
                <wp:positionH relativeFrom="column">
                  <wp:posOffset>-114300</wp:posOffset>
                </wp:positionH>
                <wp:positionV relativeFrom="paragraph">
                  <wp:posOffset>45720</wp:posOffset>
                </wp:positionV>
                <wp:extent cx="914400" cy="396240"/>
                <wp:effectExtent l="0" t="0" r="0" b="0"/>
                <wp:wrapNone/>
                <wp:docPr id="308" name="文本框 308"/>
                <wp:cNvGraphicFramePr/>
                <a:graphic xmlns:a="http://schemas.openxmlformats.org/drawingml/2006/main">
                  <a:graphicData uri="http://schemas.microsoft.com/office/word/2010/wordprocessingShape">
                    <wps:wsp>
                      <wps:cNvSpPr txBox="1"/>
                      <wps:spPr>
                        <a:xfrm>
                          <a:off x="0" y="0"/>
                          <a:ext cx="914400" cy="396240"/>
                        </a:xfrm>
                        <a:prstGeom prst="rect">
                          <a:avLst/>
                        </a:prstGeom>
                        <a:noFill/>
                        <a:ln>
                          <a:noFill/>
                        </a:ln>
                        <a:effectLst/>
                      </wps:spPr>
                      <wps:txbx>
                        <w:txbxContent>
                          <w:p w14:paraId="6324C542">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删减工作或工程的补偿</w:t>
                            </w:r>
                          </w:p>
                        </w:txbxContent>
                      </wps:txbx>
                      <wps:bodyPr wrap="square" upright="1"/>
                    </wps:wsp>
                  </a:graphicData>
                </a:graphic>
              </wp:anchor>
            </w:drawing>
          </mc:Choice>
          <mc:Fallback>
            <w:pict>
              <v:shape id="_x0000_s1026" o:spid="_x0000_s1026" o:spt="202" type="#_x0000_t202" style="position:absolute;left:0pt;margin-left:-9pt;margin-top:3.6pt;height:31.2pt;width:72pt;z-index:251968512;mso-width-relative:page;mso-height-relative:page;" filled="f" stroked="f" coordsize="21600,21600" o:gfxdata="UEsDBAoAAAAAAIdO4kAAAAAAAAAAAAAAAAAEAAAAZHJzL1BLAwQUAAAACACHTuJApT0tN9UAAAAI&#10;AQAADwAAAGRycy9kb3ducmV2LnhtbE2PzW7CMBCE75V4B2uRegM7UZtCmg0HUK9FpT9SbyZekqjx&#10;OooNCW9fc2qPoxnNfFNsJtuJCw2+dYyQLBUI4sqZlmuEj/eXxQqED5qN7hwTwpU8bMrZXaFz40Z+&#10;o8sh1CKWsM81QhNCn0vpq4as9kvXE0fv5AarQ5RDLc2gx1huO5kqlUmrW44Lje5p21D1czhbhM/X&#10;0/fXg9rXO/vYj25Sku1aIt7PE/UMItAU/sJww4/oUEamozuz8aJDWCSr+CUgPKUgbn6aRX1EyNYZ&#10;yLKQ/w+Uv1BLAwQUAAAACACHTuJAA1kqer0BAABtAwAADgAAAGRycy9lMm9Eb2MueG1srVNLbtsw&#10;EN0XyB0I7mPJjhE0guUAhZFsgrZA2gPQ1MgiwF85tCVfoL1BV91033P5HB1Sipummyy6oYbzeZz3&#10;ZrS6HYxmBwionK35fFZyBla6RtldzT9/urt8yxlGYRuhnYWaHwH57frizar3FSxc53QDgRGIxar3&#10;Ne9i9FVRoOzACJw5D5aCrQtGRLqGXdEE0RO60cWiLK+L3oXGBycBkbybMcgnxPAaQNe2SsLGyb0B&#10;G0fUAFpEooSd8sjXudu2BRk/tC1CZLrmxDTmkx4he5vOYr0S1S4I3yk5tSBe08ILTkYoS4+eoTYi&#10;CrYP6h8oo2Rw6No4k84UI5GsCLGYly+0eeyEh8yFpEZ/Fh3/H6x8f/gYmGpqflXS4K0wNPLT92+n&#10;H79OP7+y5CSJeo8VZT56yo3DOzfQ4jz5kZyJ+dAGk77EiVGcBD6eBYYhMknOm/lyWVJEUujq5nqx&#10;zAMo/hT7gPEenGHJqHmg+WVZxeEBIzVCqU8p6S3r7pTWeYba/uWgxNEDeQmm6sRj7DdZcdgOE7mt&#10;a47EradFqDl+2YsAnO19ULuO2shci1RCU8hNTBuTxvz8Tvbzv2T9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U9LTfVAAAACAEAAA8AAAAAAAAAAQAgAAAAIgAAAGRycy9kb3ducmV2LnhtbFBLAQIU&#10;ABQAAAAIAIdO4kADWSp6vQEAAG0DAAAOAAAAAAAAAAEAIAAAACQBAABkcnMvZTJvRG9jLnhtbFBL&#10;BQYAAAAABgAGAFkBAABTBQAAAAA=&#10;">
                <v:fill on="f" focussize="0,0"/>
                <v:stroke on="f"/>
                <v:imagedata o:title=""/>
                <o:lock v:ext="edit" aspectratio="f"/>
                <v:textbox>
                  <w:txbxContent>
                    <w:p w14:paraId="6324C542">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删减工作或工程的补偿</w:t>
                      </w:r>
                    </w:p>
                  </w:txbxContent>
                </v:textbox>
              </v:shape>
            </w:pict>
          </mc:Fallback>
        </mc:AlternateContent>
      </w:r>
      <w:r>
        <w:rPr>
          <w:rFonts w:hint="default" w:ascii="Times New Roman" w:hAnsi="Times New Roman" w:cs="Times New Roman"/>
          <w:color w:val="auto"/>
          <w:sz w:val="22"/>
          <w:szCs w:val="22"/>
          <w:highlight w:val="none"/>
        </w:rPr>
        <w:t>如果因为非承包人原因删减了合同中的某项原定工作或工程，致使承包人发生的费用或</w:t>
      </w:r>
      <w:r>
        <w:rPr>
          <w:rFonts w:hint="default" w:ascii="Times New Roman" w:hAnsi="Times New Roman" w:cs="Times New Roman"/>
          <w:color w:val="auto"/>
          <w:sz w:val="22"/>
          <w:szCs w:val="22"/>
          <w:highlight w:val="none"/>
          <w:lang w:eastAsia="zh-CN"/>
        </w:rPr>
        <w:t>（</w:t>
      </w:r>
      <w:r>
        <w:rPr>
          <w:rFonts w:hint="default" w:ascii="Times New Roman" w:hAnsi="Times New Roman" w:cs="Times New Roman"/>
          <w:color w:val="auto"/>
          <w:sz w:val="22"/>
          <w:szCs w:val="22"/>
          <w:highlight w:val="none"/>
        </w:rPr>
        <w:t>和</w:t>
      </w:r>
      <w:r>
        <w:rPr>
          <w:rFonts w:hint="default" w:ascii="Times New Roman" w:hAnsi="Times New Roman" w:cs="Times New Roman"/>
          <w:color w:val="auto"/>
          <w:sz w:val="22"/>
          <w:szCs w:val="22"/>
          <w:highlight w:val="none"/>
          <w:lang w:eastAsia="zh-CN"/>
        </w:rPr>
        <w:t>）</w:t>
      </w:r>
      <w:r>
        <w:rPr>
          <w:rFonts w:hint="default" w:ascii="Times New Roman" w:hAnsi="Times New Roman" w:cs="Times New Roman"/>
          <w:color w:val="auto"/>
          <w:sz w:val="22"/>
          <w:szCs w:val="22"/>
          <w:highlight w:val="none"/>
        </w:rPr>
        <w:t>得到的收益不能被包括在其他已支付或应支付的项目中，也未被包含在任何替代的工作或工程中，则承包人有权按照本条规定提出并得到补偿。</w:t>
      </w:r>
    </w:p>
    <w:p w14:paraId="2F17BCE2">
      <w:pPr>
        <w:pStyle w:val="15"/>
        <w:adjustRightInd w:val="0"/>
        <w:snapToGrid w:val="0"/>
        <w:spacing w:line="420" w:lineRule="exact"/>
        <w:ind w:right="-238"/>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44A8A70E">
      <w:pPr>
        <w:pStyle w:val="15"/>
        <w:tabs>
          <w:tab w:val="left" w:pos="540"/>
        </w:tabs>
        <w:adjustRightInd w:val="0"/>
        <w:snapToGrid w:val="0"/>
        <w:spacing w:before="240" w:beforeLines="100" w:line="420" w:lineRule="exact"/>
        <w:outlineLvl w:val="2"/>
        <w:rPr>
          <w:rFonts w:hint="default" w:ascii="Times New Roman" w:hAnsi="Times New Roman" w:cs="Times New Roman"/>
          <w:b/>
          <w:bCs/>
          <w:color w:val="auto"/>
          <w:sz w:val="22"/>
          <w:szCs w:val="22"/>
          <w:highlight w:val="none"/>
        </w:rPr>
      </w:pPr>
      <w:bookmarkStart w:id="247" w:name="_Toc14072"/>
      <w:bookmarkStart w:id="248" w:name="_Toc469384057"/>
      <w:r>
        <w:rPr>
          <w:rFonts w:hint="default" w:ascii="Times New Roman" w:hAnsi="Times New Roman" w:cs="Times New Roman"/>
          <w:b/>
          <w:bCs/>
          <w:color w:val="auto"/>
          <w:sz w:val="22"/>
          <w:szCs w:val="22"/>
          <w:highlight w:val="none"/>
        </w:rPr>
        <w:t>★73  工程量偏差事件</w:t>
      </w:r>
      <w:bookmarkEnd w:id="247"/>
      <w:bookmarkEnd w:id="248"/>
    </w:p>
    <w:p w14:paraId="4A7C01F8">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73.1</w:t>
      </w:r>
    </w:p>
    <w:p w14:paraId="7E1DC42E">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69536" behindDoc="0" locked="0" layoutInCell="1" allowOverlap="1">
                <wp:simplePos x="0" y="0"/>
                <wp:positionH relativeFrom="column">
                  <wp:posOffset>-114300</wp:posOffset>
                </wp:positionH>
                <wp:positionV relativeFrom="paragraph">
                  <wp:posOffset>1905</wp:posOffset>
                </wp:positionV>
                <wp:extent cx="1028700" cy="760095"/>
                <wp:effectExtent l="0" t="0" r="0" b="0"/>
                <wp:wrapNone/>
                <wp:docPr id="309" name="文本框 309"/>
                <wp:cNvGraphicFramePr/>
                <a:graphic xmlns:a="http://schemas.openxmlformats.org/drawingml/2006/main">
                  <a:graphicData uri="http://schemas.microsoft.com/office/word/2010/wordprocessingShape">
                    <wps:wsp>
                      <wps:cNvSpPr txBox="1"/>
                      <wps:spPr>
                        <a:xfrm>
                          <a:off x="0" y="0"/>
                          <a:ext cx="1028700" cy="760095"/>
                        </a:xfrm>
                        <a:prstGeom prst="rect">
                          <a:avLst/>
                        </a:prstGeom>
                        <a:noFill/>
                        <a:ln>
                          <a:noFill/>
                        </a:ln>
                        <a:effectLst/>
                      </wps:spPr>
                      <wps:txbx>
                        <w:txbxContent>
                          <w:p w14:paraId="42A780CF">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工程量偏差价</w:t>
                            </w:r>
                          </w:p>
                          <w:p w14:paraId="483F5AF2">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款调整</w:t>
                            </w:r>
                          </w:p>
                        </w:txbxContent>
                      </wps:txbx>
                      <wps:bodyPr wrap="square" upright="1"/>
                    </wps:wsp>
                  </a:graphicData>
                </a:graphic>
              </wp:anchor>
            </w:drawing>
          </mc:Choice>
          <mc:Fallback>
            <w:pict>
              <v:shape id="_x0000_s1026" o:spid="_x0000_s1026" o:spt="202" type="#_x0000_t202" style="position:absolute;left:0pt;margin-left:-9pt;margin-top:0.15pt;height:59.85pt;width:81pt;z-index:251969536;mso-width-relative:page;mso-height-relative:page;" filled="f" stroked="f" coordsize="21600,21600" o:gfxdata="UEsDBAoAAAAAAIdO4kAAAAAAAAAAAAAAAAAEAAAAZHJzL1BLAwQUAAAACACHTuJA7nz1TtQAAAAI&#10;AQAADwAAAGRycy9kb3ducmV2LnhtbE2PzU7DMBCE70i8g7VI3Fo7EFCbxukBxBVE+ZG4beNtEhGv&#10;o9htwtuzPcFtR7Oa+abczr5XJxpjF9hCtjSgiOvgOm4svL89LVagYkJ22AcmCz8UYVtdXpRYuDDx&#10;K512qVESwrFAC21KQ6F1rFvyGJdhIBbvEEaPSeTYaDfiJOG+1zfG3GuPHUtDiwM9tFR/747ewsfz&#10;4eszNy/No78bpjAbzX6trb2+yswGVKI5/T3DGV/QoRKmfTiyi6q3sMhWsiVZuAV1tvNc5F4OqQVd&#10;lfr/gOoXUEsDBBQAAAAIAIdO4kB4J7BAvAEAAG4DAAAOAAAAZHJzL2Uyb0RvYy54bWytU0tu2zAQ&#10;3RfIHQjuayoumo9gOUBhJJuiLZDmADQ1tAiIn3JoS75Ae4Ouuum+5/I5OpQU57fJIhtqOJ/HeW9G&#10;i6vetmwHEY13FT+dFZyBU742blPxu+/X7y84wyRdLVvvoOJ7QH61PHm36EIJc9/4tobICMRh2YWK&#10;NymFUghUDViJMx/AUVD7aGWia9yIOsqO0G0r5kVxJjof6xC9AkTyrsYgnxDjawC91kbByqutBZdG&#10;1AitTEQJGxOQL4dutQaVvmqNkFhbcWKahpMeIXudT7FcyHITZWiMmlqQr2nhGScrjaNHj1ArmSTb&#10;RvMCyhoVPXqdZspbMRIZFCEWp8UzbW4bGWDgQlJjOIqObwervuy+RWbqin8oLjlz0tLID79/Hf78&#10;O/z9ybKTJOoClpR5Gyg39Z98T4tz70dyZua9jjZ/iROjOAm8PwoMfWIqFxXzi/OCQopi52dFcfkx&#10;w4iH6hAx3YC3LBsVjzTAQVe5+4xpTL1PyY85f23adhhi6544CHP0wLAFU3UmMjacrdSv+4nd2td7&#10;ItfRJlQcf2xlBM62IZpNQ20MZEUuoTEM/U4rk+f8+E72499k+R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ufPVO1AAAAAgBAAAPAAAAAAAAAAEAIAAAACIAAABkcnMvZG93bnJldi54bWxQSwECFAAU&#10;AAAACACHTuJAeCewQLwBAABuAwAADgAAAAAAAAABACAAAAAjAQAAZHJzL2Uyb0RvYy54bWxQSwUG&#10;AAAAAAYABgBZAQAAUQUAAAAA&#10;">
                <v:fill on="f" focussize="0,0"/>
                <v:stroke on="f"/>
                <v:imagedata o:title=""/>
                <o:lock v:ext="edit" aspectratio="f"/>
                <v:textbox>
                  <w:txbxContent>
                    <w:p w14:paraId="42A780CF">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工程量偏差价</w:t>
                      </w:r>
                    </w:p>
                    <w:p w14:paraId="483F5AF2">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款调整</w:t>
                      </w:r>
                    </w:p>
                  </w:txbxContent>
                </v:textbox>
              </v:shape>
            </w:pict>
          </mc:Fallback>
        </mc:AlternateContent>
      </w:r>
      <w:r>
        <w:rPr>
          <w:rFonts w:hint="default" w:ascii="Times New Roman" w:hAnsi="Times New Roman" w:cs="Times New Roman"/>
          <w:color w:val="auto"/>
          <w:sz w:val="22"/>
          <w:szCs w:val="22"/>
          <w:highlight w:val="none"/>
        </w:rPr>
        <w:t>工程量偏差是指承包人按照合同签订时的图纸（含经发包人批准由承包人提供的施工设计图纸和履行本合同的相关大样图等）实施、完成合同工程的应予计量的实际工程量与工程量清单开列的工程量之间的偏差。</w:t>
      </w:r>
    </w:p>
    <w:p w14:paraId="7382E74F">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合同履行期间，出现工程量偏差，且符合第73.2款、第73.3款规定事件的，合同双方当事人应调整合同价款。调整合同价款时，出现第72.4款情形的，应先按照其规定调整，再按照本条规定调整。</w:t>
      </w:r>
    </w:p>
    <w:p w14:paraId="2870AF2C">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73.2  </w:t>
      </w:r>
      <w:r>
        <w:rPr>
          <w:rFonts w:hint="default" w:ascii="Times New Roman" w:hAnsi="Times New Roman" w:cs="Times New Roman"/>
          <w:b/>
          <w:bCs/>
          <w:color w:val="auto"/>
          <w:sz w:val="22"/>
          <w:szCs w:val="22"/>
          <w:highlight w:val="none"/>
          <w:u w:val="dotted"/>
        </w:rPr>
        <w:t xml:space="preserve">                                                                                                        </w:t>
      </w:r>
    </w:p>
    <w:p w14:paraId="379D46E2">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70560" behindDoc="0" locked="0" layoutInCell="1" allowOverlap="1">
                <wp:simplePos x="0" y="0"/>
                <wp:positionH relativeFrom="column">
                  <wp:posOffset>-114300</wp:posOffset>
                </wp:positionH>
                <wp:positionV relativeFrom="paragraph">
                  <wp:posOffset>26670</wp:posOffset>
                </wp:positionV>
                <wp:extent cx="914400" cy="444500"/>
                <wp:effectExtent l="0" t="0" r="0" b="0"/>
                <wp:wrapNone/>
                <wp:docPr id="310" name="文本框 310"/>
                <wp:cNvGraphicFramePr/>
                <a:graphic xmlns:a="http://schemas.openxmlformats.org/drawingml/2006/main">
                  <a:graphicData uri="http://schemas.microsoft.com/office/word/2010/wordprocessingShape">
                    <wps:wsp>
                      <wps:cNvSpPr txBox="1"/>
                      <wps:spPr>
                        <a:xfrm>
                          <a:off x="0" y="0"/>
                          <a:ext cx="914400" cy="444500"/>
                        </a:xfrm>
                        <a:prstGeom prst="rect">
                          <a:avLst/>
                        </a:prstGeom>
                        <a:noFill/>
                        <a:ln>
                          <a:noFill/>
                        </a:ln>
                        <a:effectLst/>
                      </wps:spPr>
                      <wps:txbx>
                        <w:txbxContent>
                          <w:p w14:paraId="10F8AA7A">
                            <w:pPr>
                              <w:pStyle w:val="10"/>
                              <w:spacing w:line="200" w:lineRule="exact"/>
                              <w:rPr>
                                <w:rFonts w:ascii="宋体"/>
                                <w:sz w:val="18"/>
                                <w:szCs w:val="18"/>
                              </w:rPr>
                            </w:pPr>
                            <w:r>
                              <w:rPr>
                                <w:rFonts w:hint="eastAsia" w:ascii="楷体_GB2312" w:hAnsi="宋体" w:eastAsia="楷体_GB2312" w:cs="楷体_GB2312"/>
                                <w:b/>
                                <w:bCs/>
                                <w:color w:val="000000"/>
                                <w:sz w:val="18"/>
                                <w:szCs w:val="18"/>
                              </w:rPr>
                              <w:t>调整分部分项工程费的方法</w:t>
                            </w:r>
                          </w:p>
                        </w:txbxContent>
                      </wps:txbx>
                      <wps:bodyPr wrap="square" upright="1"/>
                    </wps:wsp>
                  </a:graphicData>
                </a:graphic>
              </wp:anchor>
            </w:drawing>
          </mc:Choice>
          <mc:Fallback>
            <w:pict>
              <v:shape id="_x0000_s1026" o:spid="_x0000_s1026" o:spt="202" type="#_x0000_t202" style="position:absolute;left:0pt;margin-left:-9pt;margin-top:2.1pt;height:35pt;width:72pt;z-index:251970560;mso-width-relative:page;mso-height-relative:page;" filled="f" stroked="f" coordsize="21600,21600" o:gfxdata="UEsDBAoAAAAAAIdO4kAAAAAAAAAAAAAAAAAEAAAAZHJzL1BLAwQUAAAACACHTuJAFIqvrdUAAAAI&#10;AQAADwAAAGRycy9kb3ducmV2LnhtbE2PzU7DMBCE70i8g7VI3Fo7USklZNMDiCuI8iNxc+NtEhGv&#10;o9htwtuzPcFxdkaz35Tb2ffqRGPsAiNkSwOKuA6u4wbh/e1psQEVk2Vn+8CE8EMRttXlRWkLFyZ+&#10;pdMuNUpKOBYWoU1pKLSOdUvexmUYiMU7hNHbJHJstBvtJOW+17kxa+1tx/KhtQM9tFR/744e4eP5&#10;8PW5Mi/No78ZpjAbzf5OI15fZeYeVKI5/YXhjC/oUAnTPhzZRdUjLLKNbEkIqxzU2c/XovcIt3LQ&#10;Van/D6h+AVBLAwQUAAAACACHTuJAT26Di7sBAABtAwAADgAAAGRycy9lMm9Eb2MueG1srVPNjtMw&#10;EL4j8Q6W71unuwFB1HSlVbVcECAtPIDrTBpL/luP26QvAG/AiQt3nqvPwTjJlmW57IGLM56fz/N9&#10;M1ldD9awA0TU3tV8uSg4A6d8o92u5l8+31684QyTdI003kHNj4D8ev3yxaoPFVz6zpsGIiMQh1Uf&#10;at6lFCohUHVgJS58AEfB1kcrE13jTjRR9oRujbgsitei97EJ0StAJO9mCvIZMT4H0LetVrDxam/B&#10;pQk1gpGJKGGnA/L12G3bgkof2xYhMVNzYprGkx4he5tPsV7Jahdl6LSaW5DPaeEJJyu1o0fPUBuZ&#10;JNtH/Q+U1Sp69G1aKG/FRGRUhFgsiyfa3HUywMiFpMZwFh3/H6z6cPgUmW5qfrUkTZy0NPLT92+n&#10;H79OP7+y7CSJ+oAVZd4Fyk3DjR9ocR78SM7MfGijzV/ixChOYMezwDAkpsj5dlmWBUUUhcqyfEU2&#10;oYs/xSFiegfesmzUPNL8Rlnl4T2mKfUhJb/l/K02ZpyhcX85CHPywLgEc3XmMfWbrTRsh5nc1jdH&#10;4tbTItQc7/cyAmf7EPWuozZGriKX0BTGfueNyWN+fCf78V+y/g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Uiq+t1QAAAAgBAAAPAAAAAAAAAAEAIAAAACIAAABkcnMvZG93bnJldi54bWxQSwECFAAU&#10;AAAACACHTuJAT26Di7sBAABtAwAADgAAAAAAAAABACAAAAAkAQAAZHJzL2Uyb0RvYy54bWxQSwUG&#10;AAAAAAYABgBZAQAAUQUAAAAA&#10;">
                <v:fill on="f" focussize="0,0"/>
                <v:stroke on="f"/>
                <v:imagedata o:title=""/>
                <o:lock v:ext="edit" aspectratio="f"/>
                <v:textbox>
                  <w:txbxContent>
                    <w:p w14:paraId="10F8AA7A">
                      <w:pPr>
                        <w:pStyle w:val="10"/>
                        <w:spacing w:line="200" w:lineRule="exact"/>
                        <w:rPr>
                          <w:rFonts w:ascii="宋体"/>
                          <w:sz w:val="18"/>
                          <w:szCs w:val="18"/>
                        </w:rPr>
                      </w:pPr>
                      <w:r>
                        <w:rPr>
                          <w:rFonts w:hint="eastAsia" w:ascii="楷体_GB2312" w:hAnsi="宋体" w:eastAsia="楷体_GB2312" w:cs="楷体_GB2312"/>
                          <w:b/>
                          <w:bCs/>
                          <w:color w:val="000000"/>
                          <w:sz w:val="18"/>
                          <w:szCs w:val="18"/>
                        </w:rPr>
                        <w:t>调整分部分项工程费的方法</w:t>
                      </w:r>
                    </w:p>
                  </w:txbxContent>
                </v:textbox>
              </v:shape>
            </w:pict>
          </mc:Fallback>
        </mc:AlternateContent>
      </w:r>
      <w:r>
        <w:rPr>
          <w:rFonts w:hint="default" w:ascii="Times New Roman" w:hAnsi="Times New Roman" w:cs="Times New Roman"/>
          <w:color w:val="auto"/>
          <w:sz w:val="22"/>
          <w:szCs w:val="22"/>
          <w:highlight w:val="none"/>
        </w:rPr>
        <w:t>对于某一分部分项工程项目，如果因本条规定工程量偏差和第56条规定工程变更等原因导致工程量偏差超过10%，且该变化使其分部分项工程费变化超过0.1%，则超过10%部分的综合单价应予调整。除专用条款另有约定外，应按照下列规定调整该分部分项工程费结算价：</w:t>
      </w:r>
    </w:p>
    <w:p w14:paraId="0A142277">
      <w:pPr>
        <w:pStyle w:val="15"/>
        <w:adjustRightInd w:val="0"/>
        <w:snapToGrid w:val="0"/>
        <w:spacing w:line="420" w:lineRule="exact"/>
        <w:ind w:left="2090" w:leftChars="707" w:hanging="605" w:hangingChars="275"/>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（1）当Q</w:t>
      </w:r>
      <w:r>
        <w:rPr>
          <w:rFonts w:hint="default" w:ascii="Times New Roman" w:hAnsi="Times New Roman" w:cs="Times New Roman"/>
          <w:color w:val="auto"/>
          <w:sz w:val="22"/>
          <w:szCs w:val="22"/>
          <w:highlight w:val="none"/>
          <w:vertAlign w:val="subscript"/>
        </w:rPr>
        <w:t>1</w:t>
      </w:r>
      <w:r>
        <w:rPr>
          <w:rFonts w:hint="default" w:ascii="Times New Roman" w:hAnsi="Times New Roman" w:cs="Times New Roman"/>
          <w:color w:val="auto"/>
          <w:sz w:val="22"/>
          <w:szCs w:val="22"/>
          <w:highlight w:val="none"/>
        </w:rPr>
        <w:t>﹥1.1Q</w:t>
      </w:r>
      <w:r>
        <w:rPr>
          <w:rFonts w:hint="default" w:ascii="Times New Roman" w:hAnsi="Times New Roman" w:cs="Times New Roman"/>
          <w:color w:val="auto"/>
          <w:sz w:val="22"/>
          <w:szCs w:val="22"/>
          <w:highlight w:val="none"/>
          <w:vertAlign w:val="subscript"/>
        </w:rPr>
        <w:t>0</w:t>
      </w:r>
      <w:r>
        <w:rPr>
          <w:rFonts w:hint="default" w:ascii="Times New Roman" w:hAnsi="Times New Roman" w:cs="Times New Roman"/>
          <w:color w:val="auto"/>
          <w:sz w:val="22"/>
          <w:szCs w:val="22"/>
          <w:highlight w:val="none"/>
        </w:rPr>
        <w:t>时，S=1.1Q</w:t>
      </w:r>
      <w:r>
        <w:rPr>
          <w:rFonts w:hint="default" w:ascii="Times New Roman" w:hAnsi="Times New Roman" w:cs="Times New Roman"/>
          <w:color w:val="auto"/>
          <w:sz w:val="22"/>
          <w:szCs w:val="22"/>
          <w:highlight w:val="none"/>
          <w:vertAlign w:val="subscript"/>
        </w:rPr>
        <w:t>0</w:t>
      </w:r>
      <w:r>
        <w:rPr>
          <w:rFonts w:hint="default" w:ascii="Times New Roman" w:hAnsi="Times New Roman" w:cs="Times New Roman"/>
          <w:color w:val="auto"/>
          <w:sz w:val="22"/>
          <w:szCs w:val="22"/>
          <w:highlight w:val="none"/>
        </w:rPr>
        <w:t>×P</w:t>
      </w:r>
      <w:r>
        <w:rPr>
          <w:rFonts w:hint="default" w:ascii="Times New Roman" w:hAnsi="Times New Roman" w:cs="Times New Roman"/>
          <w:color w:val="auto"/>
          <w:sz w:val="22"/>
          <w:szCs w:val="22"/>
          <w:highlight w:val="none"/>
          <w:vertAlign w:val="subscript"/>
        </w:rPr>
        <w:t>0</w:t>
      </w:r>
      <w:r>
        <w:rPr>
          <w:rFonts w:hint="default" w:ascii="Times New Roman" w:hAnsi="Times New Roman" w:cs="Times New Roman"/>
          <w:color w:val="auto"/>
          <w:sz w:val="22"/>
          <w:szCs w:val="22"/>
          <w:highlight w:val="none"/>
        </w:rPr>
        <w:t>+（Q</w:t>
      </w:r>
      <w:r>
        <w:rPr>
          <w:rFonts w:hint="default" w:ascii="Times New Roman" w:hAnsi="Times New Roman" w:cs="Times New Roman"/>
          <w:color w:val="auto"/>
          <w:sz w:val="22"/>
          <w:szCs w:val="22"/>
          <w:highlight w:val="none"/>
          <w:vertAlign w:val="subscript"/>
        </w:rPr>
        <w:t>1</w:t>
      </w:r>
      <w:r>
        <w:rPr>
          <w:rFonts w:hint="default" w:ascii="Times New Roman" w:hAnsi="Times New Roman" w:cs="Times New Roman"/>
          <w:color w:val="auto"/>
          <w:sz w:val="22"/>
          <w:szCs w:val="22"/>
          <w:highlight w:val="none"/>
        </w:rPr>
        <w:t>-1.1Q</w:t>
      </w:r>
      <w:r>
        <w:rPr>
          <w:rFonts w:hint="default" w:ascii="Times New Roman" w:hAnsi="Times New Roman" w:cs="Times New Roman"/>
          <w:color w:val="auto"/>
          <w:sz w:val="22"/>
          <w:szCs w:val="22"/>
          <w:highlight w:val="none"/>
          <w:vertAlign w:val="subscript"/>
        </w:rPr>
        <w:t>0</w:t>
      </w:r>
      <w:r>
        <w:rPr>
          <w:rFonts w:hint="default" w:ascii="Times New Roman" w:hAnsi="Times New Roman" w:cs="Times New Roman"/>
          <w:color w:val="auto"/>
          <w:sz w:val="22"/>
          <w:szCs w:val="22"/>
          <w:highlight w:val="none"/>
        </w:rPr>
        <w:t>）×P</w:t>
      </w:r>
      <w:r>
        <w:rPr>
          <w:rFonts w:hint="default" w:ascii="Times New Roman" w:hAnsi="Times New Roman" w:cs="Times New Roman"/>
          <w:color w:val="auto"/>
          <w:sz w:val="22"/>
          <w:szCs w:val="22"/>
          <w:highlight w:val="none"/>
          <w:vertAlign w:val="subscript"/>
        </w:rPr>
        <w:t>1</w:t>
      </w:r>
    </w:p>
    <w:p w14:paraId="63CADDFA">
      <w:pPr>
        <w:pStyle w:val="15"/>
        <w:adjustRightInd w:val="0"/>
        <w:snapToGrid w:val="0"/>
        <w:spacing w:line="420" w:lineRule="exact"/>
        <w:ind w:left="2007" w:leftChars="694" w:hanging="550" w:hangingChars="250"/>
        <w:rPr>
          <w:rFonts w:hint="default" w:ascii="Times New Roman" w:hAnsi="Times New Roman" w:cs="Times New Roman"/>
          <w:color w:val="auto"/>
          <w:sz w:val="22"/>
          <w:szCs w:val="22"/>
          <w:highlight w:val="none"/>
          <w:vertAlign w:val="subscript"/>
        </w:rPr>
      </w:pPr>
      <w:r>
        <w:rPr>
          <w:rFonts w:hint="default" w:ascii="Times New Roman" w:hAnsi="Times New Roman" w:cs="Times New Roman"/>
          <w:color w:val="auto"/>
          <w:sz w:val="22"/>
          <w:szCs w:val="22"/>
          <w:highlight w:val="none"/>
        </w:rPr>
        <w:t>（2）当Q</w:t>
      </w:r>
      <w:r>
        <w:rPr>
          <w:rFonts w:hint="default" w:ascii="Times New Roman" w:hAnsi="Times New Roman" w:cs="Times New Roman"/>
          <w:color w:val="auto"/>
          <w:sz w:val="22"/>
          <w:szCs w:val="22"/>
          <w:highlight w:val="none"/>
          <w:vertAlign w:val="subscript"/>
        </w:rPr>
        <w:t>1</w:t>
      </w:r>
      <w:r>
        <w:rPr>
          <w:rFonts w:hint="default" w:ascii="Times New Roman" w:hAnsi="Times New Roman" w:cs="Times New Roman"/>
          <w:color w:val="auto"/>
          <w:sz w:val="22"/>
          <w:szCs w:val="22"/>
          <w:highlight w:val="none"/>
        </w:rPr>
        <w:t>﹤0.9Q</w:t>
      </w:r>
      <w:r>
        <w:rPr>
          <w:rFonts w:hint="default" w:ascii="Times New Roman" w:hAnsi="Times New Roman" w:cs="Times New Roman"/>
          <w:color w:val="auto"/>
          <w:sz w:val="22"/>
          <w:szCs w:val="22"/>
          <w:highlight w:val="none"/>
          <w:vertAlign w:val="subscript"/>
        </w:rPr>
        <w:t>0</w:t>
      </w:r>
      <w:r>
        <w:rPr>
          <w:rFonts w:hint="default" w:ascii="Times New Roman" w:hAnsi="Times New Roman" w:cs="Times New Roman"/>
          <w:color w:val="auto"/>
          <w:sz w:val="22"/>
          <w:szCs w:val="22"/>
          <w:highlight w:val="none"/>
        </w:rPr>
        <w:t>时，S=0.9Q</w:t>
      </w:r>
      <w:r>
        <w:rPr>
          <w:rFonts w:hint="default" w:ascii="Times New Roman" w:hAnsi="Times New Roman" w:cs="Times New Roman"/>
          <w:color w:val="auto"/>
          <w:sz w:val="22"/>
          <w:szCs w:val="22"/>
          <w:highlight w:val="none"/>
          <w:vertAlign w:val="subscript"/>
        </w:rPr>
        <w:t>0</w:t>
      </w:r>
      <w:r>
        <w:rPr>
          <w:rFonts w:hint="default" w:ascii="Times New Roman" w:hAnsi="Times New Roman" w:cs="Times New Roman"/>
          <w:color w:val="auto"/>
          <w:sz w:val="22"/>
          <w:szCs w:val="22"/>
          <w:highlight w:val="none"/>
        </w:rPr>
        <w:t>×P</w:t>
      </w:r>
      <w:r>
        <w:rPr>
          <w:rFonts w:hint="default" w:ascii="Times New Roman" w:hAnsi="Times New Roman" w:cs="Times New Roman"/>
          <w:color w:val="auto"/>
          <w:sz w:val="22"/>
          <w:szCs w:val="22"/>
          <w:highlight w:val="none"/>
          <w:vertAlign w:val="subscript"/>
        </w:rPr>
        <w:t>0</w:t>
      </w:r>
      <w:r>
        <w:rPr>
          <w:rFonts w:hint="default" w:ascii="Times New Roman" w:hAnsi="Times New Roman" w:cs="Times New Roman"/>
          <w:color w:val="auto"/>
          <w:sz w:val="22"/>
          <w:szCs w:val="22"/>
          <w:highlight w:val="none"/>
        </w:rPr>
        <w:t>-（0.9Q</w:t>
      </w:r>
      <w:r>
        <w:rPr>
          <w:rFonts w:hint="default" w:ascii="Times New Roman" w:hAnsi="Times New Roman" w:cs="Times New Roman"/>
          <w:color w:val="auto"/>
          <w:sz w:val="22"/>
          <w:szCs w:val="22"/>
          <w:highlight w:val="none"/>
          <w:vertAlign w:val="subscript"/>
        </w:rPr>
        <w:t>0</w:t>
      </w:r>
      <w:r>
        <w:rPr>
          <w:rFonts w:hint="default" w:ascii="Times New Roman" w:hAnsi="Times New Roman" w:cs="Times New Roman"/>
          <w:color w:val="auto"/>
          <w:sz w:val="22"/>
          <w:szCs w:val="22"/>
          <w:highlight w:val="none"/>
        </w:rPr>
        <w:t>-Q</w:t>
      </w:r>
      <w:r>
        <w:rPr>
          <w:rFonts w:hint="default" w:ascii="Times New Roman" w:hAnsi="Times New Roman" w:cs="Times New Roman"/>
          <w:color w:val="auto"/>
          <w:sz w:val="22"/>
          <w:szCs w:val="22"/>
          <w:highlight w:val="none"/>
          <w:vertAlign w:val="subscript"/>
        </w:rPr>
        <w:t>1</w:t>
      </w:r>
      <w:r>
        <w:rPr>
          <w:rFonts w:hint="default" w:ascii="Times New Roman" w:hAnsi="Times New Roman" w:cs="Times New Roman"/>
          <w:color w:val="auto"/>
          <w:sz w:val="22"/>
          <w:szCs w:val="22"/>
          <w:highlight w:val="none"/>
        </w:rPr>
        <w:t>）×P</w:t>
      </w:r>
      <w:r>
        <w:rPr>
          <w:rFonts w:hint="default" w:ascii="Times New Roman" w:hAnsi="Times New Roman" w:cs="Times New Roman"/>
          <w:color w:val="auto"/>
          <w:sz w:val="22"/>
          <w:szCs w:val="22"/>
          <w:highlight w:val="none"/>
          <w:vertAlign w:val="subscript"/>
        </w:rPr>
        <w:t>1</w:t>
      </w:r>
    </w:p>
    <w:p w14:paraId="0BFCED35">
      <w:pPr>
        <w:pStyle w:val="15"/>
        <w:adjustRightInd w:val="0"/>
        <w:snapToGrid w:val="0"/>
        <w:spacing w:line="420" w:lineRule="exact"/>
        <w:ind w:firstLine="1485" w:firstLineChars="675"/>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式中S——调整后的某一分部分项工程费结算价；</w:t>
      </w:r>
    </w:p>
    <w:p w14:paraId="1B1341BD">
      <w:pPr>
        <w:pStyle w:val="15"/>
        <w:adjustRightInd w:val="0"/>
        <w:snapToGrid w:val="0"/>
        <w:spacing w:line="420" w:lineRule="exact"/>
        <w:ind w:firstLine="1980" w:firstLineChars="9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Q</w:t>
      </w:r>
      <w:r>
        <w:rPr>
          <w:rFonts w:hint="default" w:ascii="Times New Roman" w:hAnsi="Times New Roman" w:cs="Times New Roman"/>
          <w:color w:val="auto"/>
          <w:sz w:val="22"/>
          <w:szCs w:val="22"/>
          <w:highlight w:val="none"/>
          <w:vertAlign w:val="subscript"/>
        </w:rPr>
        <w:t>1</w:t>
      </w:r>
      <w:r>
        <w:rPr>
          <w:rFonts w:hint="default" w:ascii="Times New Roman" w:hAnsi="Times New Roman" w:cs="Times New Roman"/>
          <w:color w:val="auto"/>
          <w:sz w:val="22"/>
          <w:szCs w:val="22"/>
          <w:highlight w:val="none"/>
        </w:rPr>
        <w:t>——最终完成的工程量；</w:t>
      </w:r>
    </w:p>
    <w:p w14:paraId="29A6588D">
      <w:pPr>
        <w:pStyle w:val="15"/>
        <w:adjustRightInd w:val="0"/>
        <w:snapToGrid w:val="0"/>
        <w:spacing w:line="420" w:lineRule="exact"/>
        <w:ind w:firstLine="1980" w:firstLineChars="9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Q</w:t>
      </w:r>
      <w:r>
        <w:rPr>
          <w:rFonts w:hint="default" w:ascii="Times New Roman" w:hAnsi="Times New Roman" w:cs="Times New Roman"/>
          <w:color w:val="auto"/>
          <w:sz w:val="22"/>
          <w:szCs w:val="22"/>
          <w:highlight w:val="none"/>
          <w:vertAlign w:val="subscript"/>
        </w:rPr>
        <w:t>0</w:t>
      </w:r>
      <w:r>
        <w:rPr>
          <w:rFonts w:hint="default" w:ascii="Times New Roman" w:hAnsi="Times New Roman" w:cs="Times New Roman"/>
          <w:color w:val="auto"/>
          <w:sz w:val="22"/>
          <w:szCs w:val="22"/>
          <w:highlight w:val="none"/>
        </w:rPr>
        <w:t>——工程量清单中开列的工程量；</w:t>
      </w:r>
    </w:p>
    <w:p w14:paraId="52A30133">
      <w:pPr>
        <w:pStyle w:val="15"/>
        <w:adjustRightInd w:val="0"/>
        <w:snapToGrid w:val="0"/>
        <w:spacing w:line="420" w:lineRule="exact"/>
        <w:ind w:firstLine="1980" w:firstLineChars="9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P</w:t>
      </w:r>
      <w:r>
        <w:rPr>
          <w:rFonts w:hint="default" w:ascii="Times New Roman" w:hAnsi="Times New Roman" w:cs="Times New Roman"/>
          <w:color w:val="auto"/>
          <w:sz w:val="22"/>
          <w:szCs w:val="22"/>
          <w:highlight w:val="none"/>
          <w:vertAlign w:val="subscript"/>
        </w:rPr>
        <w:t>1</w:t>
      </w:r>
      <w:r>
        <w:rPr>
          <w:rFonts w:hint="default" w:ascii="Times New Roman" w:hAnsi="Times New Roman" w:cs="Times New Roman"/>
          <w:color w:val="auto"/>
          <w:sz w:val="22"/>
          <w:szCs w:val="22"/>
          <w:highlight w:val="none"/>
        </w:rPr>
        <w:t>——按照最终完成工程量重新调整后的综合单价；</w:t>
      </w:r>
    </w:p>
    <w:p w14:paraId="5A46A809">
      <w:pPr>
        <w:pStyle w:val="15"/>
        <w:adjustRightInd w:val="0"/>
        <w:snapToGrid w:val="0"/>
        <w:spacing w:line="420" w:lineRule="exact"/>
        <w:ind w:firstLine="1980" w:firstLineChars="900"/>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w:t>P</w:t>
      </w:r>
      <w:r>
        <w:rPr>
          <w:rFonts w:hint="default" w:ascii="Times New Roman" w:hAnsi="Times New Roman" w:cs="Times New Roman"/>
          <w:color w:val="auto"/>
          <w:sz w:val="22"/>
          <w:szCs w:val="22"/>
          <w:highlight w:val="none"/>
          <w:vertAlign w:val="subscript"/>
        </w:rPr>
        <w:t>0</w:t>
      </w:r>
      <w:r>
        <w:rPr>
          <w:rFonts w:hint="default" w:ascii="Times New Roman" w:hAnsi="Times New Roman" w:cs="Times New Roman"/>
          <w:color w:val="auto"/>
          <w:sz w:val="22"/>
          <w:szCs w:val="22"/>
          <w:highlight w:val="none"/>
        </w:rPr>
        <w:t>——承包人在工程量清单中填报的综合单价。</w:t>
      </w:r>
    </w:p>
    <w:p w14:paraId="31B409A5">
      <w:pPr>
        <w:pStyle w:val="15"/>
        <w:adjustRightInd w:val="0"/>
        <w:snapToGrid w:val="0"/>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73.3</w:t>
      </w:r>
      <w:r>
        <w:rPr>
          <w:rFonts w:hint="default" w:ascii="Times New Roman" w:hAnsi="Times New Roman" w:cs="Times New Roman"/>
          <w:color w:val="auto"/>
          <w:sz w:val="22"/>
          <w:szCs w:val="22"/>
          <w:highlight w:val="none"/>
        </w:rPr>
        <w:t xml:space="preserve">  </w:t>
      </w:r>
      <w:r>
        <w:rPr>
          <w:rFonts w:hint="default" w:ascii="Times New Roman" w:hAnsi="Times New Roman" w:cs="Times New Roman"/>
          <w:color w:val="auto"/>
          <w:sz w:val="22"/>
          <w:szCs w:val="22"/>
          <w:highlight w:val="none"/>
          <w:u w:val="dotted"/>
        </w:rPr>
        <w:t xml:space="preserve">                                                                                                        </w:t>
      </w:r>
    </w:p>
    <w:p w14:paraId="2DCDD84F">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71584" behindDoc="0" locked="0" layoutInCell="1" allowOverlap="1">
                <wp:simplePos x="0" y="0"/>
                <wp:positionH relativeFrom="column">
                  <wp:posOffset>-114300</wp:posOffset>
                </wp:positionH>
                <wp:positionV relativeFrom="paragraph">
                  <wp:posOffset>51435</wp:posOffset>
                </wp:positionV>
                <wp:extent cx="914400" cy="505460"/>
                <wp:effectExtent l="0" t="0" r="0" b="0"/>
                <wp:wrapNone/>
                <wp:docPr id="311" name="文本框 311"/>
                <wp:cNvGraphicFramePr/>
                <a:graphic xmlns:a="http://schemas.openxmlformats.org/drawingml/2006/main">
                  <a:graphicData uri="http://schemas.microsoft.com/office/word/2010/wordprocessingShape">
                    <wps:wsp>
                      <wps:cNvSpPr txBox="1"/>
                      <wps:spPr>
                        <a:xfrm>
                          <a:off x="0" y="0"/>
                          <a:ext cx="914400" cy="505460"/>
                        </a:xfrm>
                        <a:prstGeom prst="rect">
                          <a:avLst/>
                        </a:prstGeom>
                        <a:noFill/>
                        <a:ln>
                          <a:noFill/>
                        </a:ln>
                        <a:effectLst/>
                      </wps:spPr>
                      <wps:txbx>
                        <w:txbxContent>
                          <w:p w14:paraId="1678C745">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调整措施项目费的方法</w:t>
                            </w:r>
                          </w:p>
                        </w:txbxContent>
                      </wps:txbx>
                      <wps:bodyPr wrap="square" upright="1"/>
                    </wps:wsp>
                  </a:graphicData>
                </a:graphic>
              </wp:anchor>
            </w:drawing>
          </mc:Choice>
          <mc:Fallback>
            <w:pict>
              <v:shape id="_x0000_s1026" o:spid="_x0000_s1026" o:spt="202" type="#_x0000_t202" style="position:absolute;left:0pt;margin-left:-9pt;margin-top:4.05pt;height:39.8pt;width:72pt;z-index:251971584;mso-width-relative:page;mso-height-relative:page;" filled="f" stroked="f" coordsize="21600,21600" o:gfxdata="UEsDBAoAAAAAAIdO4kAAAAAAAAAAAAAAAAAEAAAAZHJzL1BLAwQUAAAACACHTuJAdUWMptQAAAAI&#10;AQAADwAAAGRycy9kb3ducmV2LnhtbE2Py07DMBBF90j8gzVI7Fo7FbQhxOkCxBZEeUjspvE0iYjH&#10;Uew24e+ZrmB5dEd3zi23s+/VicbYBbaQLQ0o4jq4jhsL729PixxUTMgO+8Bk4YcibKvLixILFyZ+&#10;pdMuNUpKOBZooU1pKLSOdUse4zIMxJIdwugxCY6NdiNOUu57vTJmrT12LB9aHOihpfp7d/QWPp4P&#10;X5835qV59LfDFGaj2d9pa6+vMnMPKtGc/o7hrC/qUInTPhzZRdVbWGS5bEkW8gzUOV+thffCmw3o&#10;qtT/B1S/UEsDBBQAAAAIAIdO4kD6CqJGvgEAAG0DAAAOAAAAZHJzL2Uyb0RvYy54bWytU82O0zAQ&#10;viPxDpbv1MnSXUHUdCVULRcESAsP4DqTxlL8g8dt0heAN+DEhTvP1edg7GTLsnvZw16c8fx8nu+b&#10;yep6ND07QEDtbM3LRcEZWOUabXc1//rl5tUbzjBK28jeWaj5EZBfr1++WA2+ggvXub6BwAjEYjX4&#10;mncx+koIVB0YiQvnwVKwdcHISNewE02QA6GbXlwUxZUYXGh8cAoQybuZgnxGDE8BdG2rFWyc2huw&#10;cUIN0MtIlLDTHvk6d9u2oOKntkWIrK85MY35pEfI3qZTrFey2gXpO63mFuRTWnjAyUht6dEz1EZG&#10;yfZBP4IyWgWHro0L5YyYiGRFiEVZPNDmtpMeMheSGv1ZdHw+WPXx8Dkw3dT8dVlyZqWhkZ9+/jj9&#10;+nP6/Z0lJ0k0eKwo89ZTbhzfuZEW586P5EzMxzaY9CVOjOIk8PEsMIyRKXK+LZfLgiKKQpfF5fIq&#10;D0D8K/YB43twhiWj5oHml2WVhw8YqRFKvUtJb1l3o/s+z7C3/zkocfJAXoK5OvGY+k1WHLfjTG7r&#10;miNxG2gRao7f9jIAZ3sf9K6jNjJXkUpoCrmJeWPSmO/fyb7/l6z/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HVFjKbUAAAACAEAAA8AAAAAAAAAAQAgAAAAIgAAAGRycy9kb3ducmV2LnhtbFBLAQIU&#10;ABQAAAAIAIdO4kD6CqJGvgEAAG0DAAAOAAAAAAAAAAEAIAAAACMBAABkcnMvZTJvRG9jLnhtbFBL&#10;BQYAAAAABgAGAFkBAABTBQAAAAA=&#10;">
                <v:fill on="f" focussize="0,0"/>
                <v:stroke on="f"/>
                <v:imagedata o:title=""/>
                <o:lock v:ext="edit" aspectratio="f"/>
                <v:textbox>
                  <w:txbxContent>
                    <w:p w14:paraId="1678C745">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调整措施项目费的方法</w:t>
                      </w:r>
                    </w:p>
                  </w:txbxContent>
                </v:textbox>
              </v:shape>
            </w:pict>
          </mc:Fallback>
        </mc:AlternateContent>
      </w:r>
      <w:r>
        <w:rPr>
          <w:rFonts w:hint="default" w:ascii="Times New Roman" w:hAnsi="Times New Roman" w:cs="Times New Roman"/>
          <w:color w:val="auto"/>
          <w:sz w:val="22"/>
          <w:szCs w:val="22"/>
          <w:highlight w:val="none"/>
        </w:rPr>
        <w:t>如果因本条规定工程量偏差使某一分部分项工程费的变化超过10%，且该变化引起措施项目相应发生变化，则发生变化部分的措施项目费应按照第72.3款规定调整。除专用条款另有约定外，应按照下列规定调整发生变化的措施项目费结算价：</w:t>
      </w:r>
    </w:p>
    <w:p w14:paraId="3F420E9E">
      <w:pPr>
        <w:pStyle w:val="15"/>
        <w:tabs>
          <w:tab w:val="left" w:pos="900"/>
        </w:tabs>
        <w:adjustRightInd w:val="0"/>
        <w:snapToGrid w:val="0"/>
        <w:spacing w:line="420" w:lineRule="exact"/>
        <w:ind w:left="2190" w:leftChars="781" w:hanging="550" w:hangingChars="25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（1）当S</w:t>
      </w:r>
      <w:r>
        <w:rPr>
          <w:rFonts w:hint="default" w:ascii="Times New Roman" w:hAnsi="Times New Roman" w:cs="Times New Roman"/>
          <w:color w:val="auto"/>
          <w:sz w:val="22"/>
          <w:szCs w:val="22"/>
          <w:highlight w:val="none"/>
          <w:vertAlign w:val="subscript"/>
        </w:rPr>
        <w:t>1</w:t>
      </w:r>
      <w:r>
        <w:rPr>
          <w:rFonts w:hint="default" w:ascii="Times New Roman" w:hAnsi="Times New Roman" w:cs="Times New Roman"/>
          <w:color w:val="auto"/>
          <w:sz w:val="22"/>
          <w:szCs w:val="22"/>
          <w:highlight w:val="none"/>
        </w:rPr>
        <w:t>﹥1.1S</w:t>
      </w:r>
      <w:r>
        <w:rPr>
          <w:rFonts w:hint="default" w:ascii="Times New Roman" w:hAnsi="Times New Roman" w:cs="Times New Roman"/>
          <w:color w:val="auto"/>
          <w:sz w:val="22"/>
          <w:szCs w:val="22"/>
          <w:highlight w:val="none"/>
          <w:vertAlign w:val="subscript"/>
        </w:rPr>
        <w:t>0</w:t>
      </w:r>
      <w:r>
        <w:rPr>
          <w:rFonts w:hint="default" w:ascii="Times New Roman" w:hAnsi="Times New Roman" w:cs="Times New Roman"/>
          <w:color w:val="auto"/>
          <w:sz w:val="22"/>
          <w:szCs w:val="22"/>
          <w:highlight w:val="none"/>
        </w:rPr>
        <w:t>时，M</w:t>
      </w:r>
      <w:r>
        <w:rPr>
          <w:rFonts w:hint="default" w:ascii="Times New Roman" w:hAnsi="Times New Roman" w:cs="Times New Roman"/>
          <w:color w:val="auto"/>
          <w:sz w:val="22"/>
          <w:szCs w:val="22"/>
          <w:highlight w:val="none"/>
          <w:vertAlign w:val="subscript"/>
        </w:rPr>
        <w:t>1</w:t>
      </w:r>
      <w:r>
        <w:rPr>
          <w:rFonts w:hint="default" w:ascii="Times New Roman" w:hAnsi="Times New Roman" w:cs="Times New Roman"/>
          <w:color w:val="auto"/>
          <w:sz w:val="22"/>
          <w:szCs w:val="22"/>
          <w:highlight w:val="none"/>
        </w:rPr>
        <w:t>=M</w:t>
      </w:r>
      <w:r>
        <w:rPr>
          <w:rFonts w:hint="default" w:ascii="Times New Roman" w:hAnsi="Times New Roman" w:cs="Times New Roman"/>
          <w:color w:val="auto"/>
          <w:sz w:val="22"/>
          <w:szCs w:val="22"/>
          <w:highlight w:val="none"/>
          <w:vertAlign w:val="subscript"/>
        </w:rPr>
        <w:t>0</w:t>
      </w:r>
      <w:r>
        <w:rPr>
          <w:rFonts w:hint="default" w:ascii="Times New Roman" w:hAnsi="Times New Roman" w:cs="Times New Roman"/>
          <w:color w:val="auto"/>
          <w:sz w:val="22"/>
          <w:szCs w:val="22"/>
          <w:highlight w:val="none"/>
        </w:rPr>
        <w:t>+△M</w:t>
      </w:r>
    </w:p>
    <w:p w14:paraId="239693CB">
      <w:pPr>
        <w:pStyle w:val="15"/>
        <w:adjustRightInd w:val="0"/>
        <w:snapToGrid w:val="0"/>
        <w:spacing w:line="420" w:lineRule="exact"/>
        <w:ind w:left="2190" w:leftChars="781" w:hanging="550" w:hangingChars="25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（2）当S</w:t>
      </w:r>
      <w:r>
        <w:rPr>
          <w:rFonts w:hint="default" w:ascii="Times New Roman" w:hAnsi="Times New Roman" w:cs="Times New Roman"/>
          <w:color w:val="auto"/>
          <w:sz w:val="22"/>
          <w:szCs w:val="22"/>
          <w:highlight w:val="none"/>
          <w:vertAlign w:val="subscript"/>
        </w:rPr>
        <w:t>1</w:t>
      </w:r>
      <w:r>
        <w:rPr>
          <w:rFonts w:hint="default" w:ascii="Times New Roman" w:hAnsi="Times New Roman" w:cs="Times New Roman"/>
          <w:color w:val="auto"/>
          <w:sz w:val="22"/>
          <w:szCs w:val="22"/>
          <w:highlight w:val="none"/>
        </w:rPr>
        <w:t>﹤0.9S</w:t>
      </w:r>
      <w:r>
        <w:rPr>
          <w:rFonts w:hint="default" w:ascii="Times New Roman" w:hAnsi="Times New Roman" w:cs="Times New Roman"/>
          <w:color w:val="auto"/>
          <w:sz w:val="22"/>
          <w:szCs w:val="22"/>
          <w:highlight w:val="none"/>
          <w:vertAlign w:val="subscript"/>
        </w:rPr>
        <w:t>0</w:t>
      </w:r>
      <w:r>
        <w:rPr>
          <w:rFonts w:hint="default" w:ascii="Times New Roman" w:hAnsi="Times New Roman" w:cs="Times New Roman"/>
          <w:color w:val="auto"/>
          <w:sz w:val="22"/>
          <w:szCs w:val="22"/>
          <w:highlight w:val="none"/>
        </w:rPr>
        <w:t>时，M</w:t>
      </w:r>
      <w:r>
        <w:rPr>
          <w:rFonts w:hint="default" w:ascii="Times New Roman" w:hAnsi="Times New Roman" w:cs="Times New Roman"/>
          <w:color w:val="auto"/>
          <w:sz w:val="22"/>
          <w:szCs w:val="22"/>
          <w:highlight w:val="none"/>
          <w:vertAlign w:val="subscript"/>
        </w:rPr>
        <w:t>1</w:t>
      </w:r>
      <w:r>
        <w:rPr>
          <w:rFonts w:hint="default" w:ascii="Times New Roman" w:hAnsi="Times New Roman" w:cs="Times New Roman"/>
          <w:color w:val="auto"/>
          <w:sz w:val="22"/>
          <w:szCs w:val="22"/>
          <w:highlight w:val="none"/>
        </w:rPr>
        <w:t>=M</w:t>
      </w:r>
      <w:r>
        <w:rPr>
          <w:rFonts w:hint="default" w:ascii="Times New Roman" w:hAnsi="Times New Roman" w:cs="Times New Roman"/>
          <w:color w:val="auto"/>
          <w:sz w:val="22"/>
          <w:szCs w:val="22"/>
          <w:highlight w:val="none"/>
          <w:vertAlign w:val="subscript"/>
        </w:rPr>
        <w:t>0</w:t>
      </w:r>
      <w:r>
        <w:rPr>
          <w:rFonts w:hint="default" w:ascii="Times New Roman" w:hAnsi="Times New Roman" w:cs="Times New Roman"/>
          <w:color w:val="auto"/>
          <w:sz w:val="22"/>
          <w:szCs w:val="22"/>
          <w:highlight w:val="none"/>
        </w:rPr>
        <w:t>–△M</w:t>
      </w:r>
    </w:p>
    <w:p w14:paraId="3FF76CBB">
      <w:pPr>
        <w:pStyle w:val="15"/>
        <w:adjustRightInd w:val="0"/>
        <w:snapToGrid w:val="0"/>
        <w:spacing w:line="420" w:lineRule="exact"/>
        <w:ind w:firstLine="1650" w:firstLineChars="75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式中M</w:t>
      </w:r>
      <w:r>
        <w:rPr>
          <w:rFonts w:hint="default" w:ascii="Times New Roman" w:hAnsi="Times New Roman" w:cs="Times New Roman"/>
          <w:color w:val="auto"/>
          <w:sz w:val="22"/>
          <w:szCs w:val="22"/>
          <w:highlight w:val="none"/>
          <w:vertAlign w:val="subscript"/>
        </w:rPr>
        <w:t>1</w:t>
      </w:r>
      <w:r>
        <w:rPr>
          <w:rFonts w:hint="default" w:ascii="Times New Roman" w:hAnsi="Times New Roman" w:cs="Times New Roman"/>
          <w:color w:val="auto"/>
          <w:sz w:val="22"/>
          <w:szCs w:val="22"/>
          <w:highlight w:val="none"/>
        </w:rPr>
        <w:t>——调整后的发生变化措施项目费结算价；</w:t>
      </w:r>
    </w:p>
    <w:p w14:paraId="2E74AB73">
      <w:pPr>
        <w:pStyle w:val="15"/>
        <w:adjustRightInd w:val="0"/>
        <w:snapToGrid w:val="0"/>
        <w:spacing w:line="420" w:lineRule="exact"/>
        <w:ind w:firstLine="2090" w:firstLineChars="95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M</w:t>
      </w:r>
      <w:r>
        <w:rPr>
          <w:rFonts w:hint="default" w:ascii="Times New Roman" w:hAnsi="Times New Roman" w:cs="Times New Roman"/>
          <w:color w:val="auto"/>
          <w:sz w:val="22"/>
          <w:szCs w:val="22"/>
          <w:highlight w:val="none"/>
          <w:vertAlign w:val="subscript"/>
        </w:rPr>
        <w:t>0</w:t>
      </w:r>
      <w:r>
        <w:rPr>
          <w:rFonts w:hint="default" w:ascii="Times New Roman" w:hAnsi="Times New Roman" w:cs="Times New Roman"/>
          <w:color w:val="auto"/>
          <w:sz w:val="22"/>
          <w:szCs w:val="22"/>
          <w:highlight w:val="none"/>
        </w:rPr>
        <w:t>——承包人在工程量清单中填报的措施项目费；</w:t>
      </w:r>
    </w:p>
    <w:p w14:paraId="6CEA0EAF">
      <w:pPr>
        <w:pStyle w:val="15"/>
        <w:adjustRightInd w:val="0"/>
        <w:snapToGrid w:val="0"/>
        <w:spacing w:line="420" w:lineRule="exact"/>
        <w:ind w:left="960" w:leftChars="457" w:firstLine="1210" w:firstLineChars="55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∆M——按照第72.3款规定调整的发生变化部分的措施项目费；</w:t>
      </w:r>
    </w:p>
    <w:p w14:paraId="1CE950E5">
      <w:pPr>
        <w:pStyle w:val="15"/>
        <w:adjustRightInd w:val="0"/>
        <w:snapToGrid w:val="0"/>
        <w:spacing w:line="420" w:lineRule="exact"/>
        <w:ind w:firstLine="2090" w:firstLineChars="95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S</w:t>
      </w:r>
      <w:r>
        <w:rPr>
          <w:rFonts w:hint="default" w:ascii="Times New Roman" w:hAnsi="Times New Roman" w:cs="Times New Roman"/>
          <w:color w:val="auto"/>
          <w:sz w:val="22"/>
          <w:szCs w:val="22"/>
          <w:highlight w:val="none"/>
          <w:vertAlign w:val="subscript"/>
        </w:rPr>
        <w:t>1</w:t>
      </w:r>
      <w:r>
        <w:rPr>
          <w:rFonts w:hint="default" w:ascii="Times New Roman" w:hAnsi="Times New Roman" w:cs="Times New Roman"/>
          <w:color w:val="auto"/>
          <w:sz w:val="22"/>
          <w:szCs w:val="22"/>
          <w:highlight w:val="none"/>
        </w:rPr>
        <w:t>——调整后的某一分部分项工程费结算价；</w:t>
      </w:r>
    </w:p>
    <w:p w14:paraId="2E99E762">
      <w:pPr>
        <w:pStyle w:val="15"/>
        <w:adjustRightInd w:val="0"/>
        <w:snapToGrid w:val="0"/>
        <w:spacing w:line="420" w:lineRule="exact"/>
        <w:ind w:firstLine="2090" w:firstLineChars="95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S</w:t>
      </w:r>
      <w:r>
        <w:rPr>
          <w:rFonts w:hint="default" w:ascii="Times New Roman" w:hAnsi="Times New Roman" w:cs="Times New Roman"/>
          <w:color w:val="auto"/>
          <w:sz w:val="22"/>
          <w:szCs w:val="22"/>
          <w:highlight w:val="none"/>
          <w:vertAlign w:val="subscript"/>
        </w:rPr>
        <w:t>0</w:t>
      </w:r>
      <w:r>
        <w:rPr>
          <w:rFonts w:hint="default" w:ascii="Times New Roman" w:hAnsi="Times New Roman" w:cs="Times New Roman"/>
          <w:color w:val="auto"/>
          <w:sz w:val="22"/>
          <w:szCs w:val="22"/>
          <w:highlight w:val="none"/>
        </w:rPr>
        <w:t>——承包人报价文件对应的某一分部分项工程费。</w:t>
      </w:r>
    </w:p>
    <w:p w14:paraId="78E968A3">
      <w:pPr>
        <w:tabs>
          <w:tab w:val="left" w:pos="1620"/>
        </w:tabs>
        <w:spacing w:line="420" w:lineRule="exact"/>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3CA485C9">
      <w:pPr>
        <w:pStyle w:val="15"/>
        <w:tabs>
          <w:tab w:val="left" w:pos="540"/>
        </w:tabs>
        <w:adjustRightInd w:val="0"/>
        <w:snapToGrid w:val="0"/>
        <w:spacing w:before="240" w:beforeLines="100" w:line="420" w:lineRule="exact"/>
        <w:outlineLvl w:val="2"/>
        <w:rPr>
          <w:rFonts w:hint="default" w:ascii="Times New Roman" w:hAnsi="Times New Roman" w:cs="Times New Roman"/>
          <w:b/>
          <w:bCs/>
          <w:color w:val="auto"/>
          <w:sz w:val="22"/>
          <w:szCs w:val="22"/>
          <w:highlight w:val="none"/>
        </w:rPr>
      </w:pPr>
      <w:bookmarkStart w:id="249" w:name="_Toc11563"/>
      <w:bookmarkStart w:id="250" w:name="_Toc469384058"/>
      <w:r>
        <w:rPr>
          <w:rFonts w:hint="default" w:ascii="Times New Roman" w:hAnsi="Times New Roman" w:cs="Times New Roman"/>
          <w:b/>
          <w:bCs/>
          <w:color w:val="auto"/>
          <w:sz w:val="22"/>
          <w:szCs w:val="22"/>
          <w:highlight w:val="none"/>
        </w:rPr>
        <w:t>★74  费用索赔事件</w:t>
      </w:r>
      <w:bookmarkEnd w:id="249"/>
      <w:bookmarkEnd w:id="250"/>
    </w:p>
    <w:p w14:paraId="1EFAD6C7">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74.1      </w:t>
      </w:r>
    </w:p>
    <w:p w14:paraId="4BB6DE99">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72608" behindDoc="0" locked="0" layoutInCell="1" allowOverlap="1">
                <wp:simplePos x="0" y="0"/>
                <wp:positionH relativeFrom="column">
                  <wp:posOffset>-114300</wp:posOffset>
                </wp:positionH>
                <wp:positionV relativeFrom="paragraph">
                  <wp:posOffset>15875</wp:posOffset>
                </wp:positionV>
                <wp:extent cx="914400" cy="396240"/>
                <wp:effectExtent l="0" t="0" r="0" b="0"/>
                <wp:wrapNone/>
                <wp:docPr id="312" name="文本框 312"/>
                <wp:cNvGraphicFramePr/>
                <a:graphic xmlns:a="http://schemas.openxmlformats.org/drawingml/2006/main">
                  <a:graphicData uri="http://schemas.microsoft.com/office/word/2010/wordprocessingShape">
                    <wps:wsp>
                      <wps:cNvSpPr txBox="1"/>
                      <wps:spPr>
                        <a:xfrm>
                          <a:off x="0" y="0"/>
                          <a:ext cx="914400" cy="396240"/>
                        </a:xfrm>
                        <a:prstGeom prst="rect">
                          <a:avLst/>
                        </a:prstGeom>
                        <a:noFill/>
                        <a:ln>
                          <a:noFill/>
                        </a:ln>
                        <a:effectLst/>
                      </wps:spPr>
                      <wps:txbx>
                        <w:txbxContent>
                          <w:p w14:paraId="094EB3CD">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索赔的价款调整</w:t>
                            </w:r>
                          </w:p>
                        </w:txbxContent>
                      </wps:txbx>
                      <wps:bodyPr wrap="square" upright="1"/>
                    </wps:wsp>
                  </a:graphicData>
                </a:graphic>
              </wp:anchor>
            </w:drawing>
          </mc:Choice>
          <mc:Fallback>
            <w:pict>
              <v:shape id="_x0000_s1026" o:spid="_x0000_s1026" o:spt="202" type="#_x0000_t202" style="position:absolute;left:0pt;margin-left:-9pt;margin-top:1.25pt;height:31.2pt;width:72pt;z-index:251972608;mso-width-relative:page;mso-height-relative:page;" filled="f" stroked="f" coordsize="21600,21600" o:gfxdata="UEsDBAoAAAAAAIdO4kAAAAAAAAAAAAAAAAAEAAAAZHJzL1BLAwQUAAAACACHTuJAD8/wcNUAAAAI&#10;AQAADwAAAGRycy9kb3ducmV2LnhtbE2PwW7CMBBE75X6D9ZW4gZ2IoggzYZDq16pSmml3ky8JFHj&#10;dRQbkv59zQmOoxnNvCm2k+3EhQbfOkZIFgoEceVMyzXC4fNtvgbhg2ajO8eE8EcetuXjQ6Fz40b+&#10;oMs+1CKWsM81QhNCn0vpq4as9gvXE0fv5AarQ5RDLc2gx1huO5kqlUmrW44Lje7ppaHqd3+2CF+7&#10;08/3Ur3Xr3bVj25Sku1GIs6eEvUMItAUbmG44kd0KCPT0Z3ZeNEhzJN1/BIQ0hWIq59mUR8RsuUG&#10;ZFnI+wPlP1BLAwQUAAAACACHTuJA/RdCgL0BAABtAwAADgAAAGRycy9lMm9Eb2MueG1srVNLbtsw&#10;EN0XyB0I7mPJjhE0guUAhZFsgrZA2gPQ1MgiwF85tCVfoL1BV91033P5HB1Sipummyy6oYbzeZz3&#10;ZrS6HYxmBwionK35fFZyBla6RtldzT9/urt8yxlGYRuhnYWaHwH57frizar3FSxc53QDgRGIxar3&#10;Ne9i9FVRoOzACJw5D5aCrQtGRLqGXdEE0RO60cWiLK+L3oXGBycBkbybMcgnxPAaQNe2SsLGyb0B&#10;G0fUAFpEooSd8sjXudu2BRk/tC1CZLrmxDTmkx4he5vOYr0S1S4I3yk5tSBe08ILTkYoS4+eoTYi&#10;CrYP6h8oo2Rw6No4k84UI5GsCLGYly+0eeyEh8yFpEZ/Fh3/H6x8f/gYmGpqfjVfcGaFoZGfvn87&#10;/fh1+vmVJSdJ1HusKPPRU24c3rmBFufJj+RMzIc2mPQlToziJPDxLDAMkUly3syXy5IikkJXN9eL&#10;ZR5A8afYB4z34AxLRs0DzS/LKg4PGKkRSn1KSW9Zd6e0zjPU9i8HJY4eyEswVSceY7/JisN2mMht&#10;XXMkbj0tQs3xy14E4Gzvg9p11EbmWqQSmkJuYtqYNObnd7Kf/yXr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A/P8HDVAAAACAEAAA8AAAAAAAAAAQAgAAAAIgAAAGRycy9kb3ducmV2LnhtbFBLAQIU&#10;ABQAAAAIAIdO4kD9F0KAvQEAAG0DAAAOAAAAAAAAAAEAIAAAACQBAABkcnMvZTJvRG9jLnhtbFBL&#10;BQYAAAAABgAGAFkBAABTBQAAAAA=&#10;">
                <v:fill on="f" focussize="0,0"/>
                <v:stroke on="f"/>
                <v:imagedata o:title=""/>
                <o:lock v:ext="edit" aspectratio="f"/>
                <v:textbox>
                  <w:txbxContent>
                    <w:p w14:paraId="094EB3CD">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索赔的价款调整</w:t>
                      </w:r>
                    </w:p>
                  </w:txbxContent>
                </v:textbox>
              </v:shape>
            </w:pict>
          </mc:Fallback>
        </mc:AlternateContent>
      </w:r>
      <w:r>
        <w:rPr>
          <w:rFonts w:hint="default" w:ascii="Times New Roman" w:hAnsi="Times New Roman" w:cs="Times New Roman"/>
          <w:color w:val="auto"/>
          <w:sz w:val="22"/>
          <w:szCs w:val="22"/>
          <w:highlight w:val="none"/>
        </w:rPr>
        <w:t>费用索赔是指合同履行期间，对于非自己过错而应由对方当事人承担责任的情况造成的损失，向对方当事人提出经济补偿要求的行为。</w:t>
      </w:r>
    </w:p>
    <w:p w14:paraId="17A9B9A1">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合同履行期间，出现费用索赔事件的，合同双方当事人应调整合同价款。</w:t>
      </w:r>
    </w:p>
    <w:p w14:paraId="14047F7A">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74.2  </w:t>
      </w:r>
      <w:r>
        <w:rPr>
          <w:rFonts w:hint="default" w:ascii="Times New Roman" w:hAnsi="Times New Roman" w:cs="Times New Roman"/>
          <w:b/>
          <w:bCs/>
          <w:color w:val="auto"/>
          <w:sz w:val="22"/>
          <w:szCs w:val="22"/>
          <w:highlight w:val="none"/>
          <w:u w:val="dotted"/>
        </w:rPr>
        <w:t xml:space="preserve">                                                                                      </w:t>
      </w:r>
      <w:r>
        <w:rPr>
          <w:rFonts w:hint="default" w:ascii="Times New Roman" w:hAnsi="Times New Roman" w:cs="Times New Roman"/>
          <w:b/>
          <w:bCs/>
          <w:color w:val="auto"/>
          <w:sz w:val="22"/>
          <w:szCs w:val="22"/>
          <w:highlight w:val="none"/>
        </w:rPr>
        <w:t xml:space="preserve">      </w:t>
      </w:r>
    </w:p>
    <w:p w14:paraId="46DC5B77">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73632" behindDoc="0" locked="0" layoutInCell="1" allowOverlap="1">
                <wp:simplePos x="0" y="0"/>
                <wp:positionH relativeFrom="column">
                  <wp:posOffset>-114300</wp:posOffset>
                </wp:positionH>
                <wp:positionV relativeFrom="paragraph">
                  <wp:posOffset>15875</wp:posOffset>
                </wp:positionV>
                <wp:extent cx="914400" cy="396240"/>
                <wp:effectExtent l="0" t="0" r="0" b="0"/>
                <wp:wrapNone/>
                <wp:docPr id="313" name="文本框 313"/>
                <wp:cNvGraphicFramePr/>
                <a:graphic xmlns:a="http://schemas.openxmlformats.org/drawingml/2006/main">
                  <a:graphicData uri="http://schemas.microsoft.com/office/word/2010/wordprocessingShape">
                    <wps:wsp>
                      <wps:cNvSpPr txBox="1"/>
                      <wps:spPr>
                        <a:xfrm>
                          <a:off x="0" y="0"/>
                          <a:ext cx="914400" cy="396240"/>
                        </a:xfrm>
                        <a:prstGeom prst="rect">
                          <a:avLst/>
                        </a:prstGeom>
                        <a:noFill/>
                        <a:ln>
                          <a:noFill/>
                        </a:ln>
                        <a:effectLst/>
                      </wps:spPr>
                      <wps:txbx>
                        <w:txbxContent>
                          <w:p w14:paraId="4AE44944">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发出索赔意向书</w:t>
                            </w:r>
                          </w:p>
                        </w:txbxContent>
                      </wps:txbx>
                      <wps:bodyPr wrap="square" upright="1"/>
                    </wps:wsp>
                  </a:graphicData>
                </a:graphic>
              </wp:anchor>
            </w:drawing>
          </mc:Choice>
          <mc:Fallback>
            <w:pict>
              <v:shape id="_x0000_s1026" o:spid="_x0000_s1026" o:spt="202" type="#_x0000_t202" style="position:absolute;left:0pt;margin-left:-9pt;margin-top:1.25pt;height:31.2pt;width:72pt;z-index:251973632;mso-width-relative:page;mso-height-relative:page;" filled="f" stroked="f" coordsize="21600,21600" o:gfxdata="UEsDBAoAAAAAAIdO4kAAAAAAAAAAAAAAAAAEAAAAZHJzL1BLAwQUAAAACACHTuJAD8/wcNUAAAAI&#10;AQAADwAAAGRycy9kb3ducmV2LnhtbE2PwW7CMBBE75X6D9ZW4gZ2IoggzYZDq16pSmml3ky8JFHj&#10;dRQbkv59zQmOoxnNvCm2k+3EhQbfOkZIFgoEceVMyzXC4fNtvgbhg2ajO8eE8EcetuXjQ6Fz40b+&#10;oMs+1CKWsM81QhNCn0vpq4as9gvXE0fv5AarQ5RDLc2gx1huO5kqlUmrW44Lje7ppaHqd3+2CF+7&#10;08/3Ur3Xr3bVj25Sku1GIs6eEvUMItAUbmG44kd0KCPT0Z3ZeNEhzJN1/BIQ0hWIq59mUR8RsuUG&#10;ZFnI+wPlP1BLAwQUAAAACACHTuJAD+iAfL4BAABtAwAADgAAAGRycy9lMm9Eb2MueG1srVNLbtsw&#10;EN0X6B0I7mvJHwSNYDlAYKSboi2Q9gA0NbQIiJ9waEu+QHuDrrrpvufyOTqkFDdNN1l0Qw3n8zjv&#10;zWh9M5iOHSGgdrbm81nJGVjpGm33Nf/y+e7NW84wCtuIzlmo+QmQ32xev1r3voKFa13XQGAEYrHq&#10;fc3bGH1VFChbMAJnzoOloHLBiEjXsC+aIHpCN12xKMuroneh8cFJQCTvdgzyCTG8BNAppSVsnTwY&#10;sHFEDdCJSJSw1R75JnerFMj4USmEyLqaE9OYT3qE7F06i81aVPsgfKvl1IJ4SQvPOBmhLT16gdqK&#10;KNgh6H+gjJbBoVNxJp0pRiJZEWIxL59pc98KD5kLSY3+Ijr+P1j54fgpMN3UfDlfcmaFoZGfv387&#10;//h1/vmVJSdJ1HusKPPeU24cbt1Ai/PoR3Im5oMKJn2JE6M4CXy6CAxDZJKc1/PVqqSIpNDy+mqx&#10;ygMo/hT7gPEdOMOSUfNA88uyiuN7jNQIpT6mpLesu9Ndl2fY2b8clDh6IC/BVJ14jP0mKw67YSK3&#10;c82JuPW0CDXHh4MIwNnBB71vqY3MtUglNIXcxLQxacxP72Q//Us2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Pz/Bw1QAAAAgBAAAPAAAAAAAAAAEAIAAAACIAAABkcnMvZG93bnJldi54bWxQSwEC&#10;FAAUAAAACACHTuJAD+iAfL4BAABtAwAADgAAAAAAAAABACAAAAAkAQAAZHJzL2Uyb0RvYy54bWxQ&#10;SwUGAAAAAAYABgBZAQAAVAUAAAAA&#10;">
                <v:fill on="f" focussize="0,0"/>
                <v:stroke on="f"/>
                <v:imagedata o:title=""/>
                <o:lock v:ext="edit" aspectratio="f"/>
                <v:textbox>
                  <w:txbxContent>
                    <w:p w14:paraId="4AE44944">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发出索赔意向书</w:t>
                      </w:r>
                    </w:p>
                  </w:txbxContent>
                </v:textbox>
              </v:shape>
            </w:pict>
          </mc:Fallback>
        </mc:AlternateContent>
      </w:r>
      <w:r>
        <w:rPr>
          <w:rFonts w:hint="default" w:ascii="Times New Roman" w:hAnsi="Times New Roman" w:cs="Times New Roman"/>
          <w:color w:val="auto"/>
          <w:sz w:val="22"/>
          <w:szCs w:val="22"/>
          <w:highlight w:val="none"/>
        </w:rPr>
        <w:t>如果承包人根据合同约定提出任何费用或</w:t>
      </w:r>
      <w:r>
        <w:rPr>
          <w:rFonts w:hint="default" w:ascii="Times New Roman" w:hAnsi="Times New Roman" w:cs="Times New Roman"/>
          <w:color w:val="auto"/>
          <w:sz w:val="22"/>
          <w:szCs w:val="22"/>
          <w:highlight w:val="none"/>
          <w:lang w:eastAsia="zh-CN"/>
        </w:rPr>
        <w:t>其他形式的</w:t>
      </w:r>
      <w:r>
        <w:rPr>
          <w:rFonts w:hint="default" w:ascii="Times New Roman" w:hAnsi="Times New Roman" w:cs="Times New Roman"/>
          <w:color w:val="auto"/>
          <w:sz w:val="22"/>
          <w:szCs w:val="22"/>
          <w:highlight w:val="none"/>
        </w:rPr>
        <w:t>损失索赔时，应在该索赔事件首次发生之后的14天内向造价工程师发出索赔意向书，并抄送发包人。</w:t>
      </w:r>
    </w:p>
    <w:p w14:paraId="401BA0DE">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74.3  </w:t>
      </w:r>
      <w:r>
        <w:rPr>
          <w:rFonts w:hint="default" w:ascii="Times New Roman" w:hAnsi="Times New Roman" w:cs="Times New Roman"/>
          <w:b/>
          <w:bCs/>
          <w:color w:val="auto"/>
          <w:sz w:val="22"/>
          <w:szCs w:val="22"/>
          <w:highlight w:val="none"/>
          <w:u w:val="dotted"/>
        </w:rPr>
        <w:t xml:space="preserve">                                                                                                        </w:t>
      </w:r>
    </w:p>
    <w:p w14:paraId="1AC39A23">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74656" behindDoc="0" locked="0" layoutInCell="1" allowOverlap="1">
                <wp:simplePos x="0" y="0"/>
                <wp:positionH relativeFrom="column">
                  <wp:posOffset>-114300</wp:posOffset>
                </wp:positionH>
                <wp:positionV relativeFrom="paragraph">
                  <wp:posOffset>635</wp:posOffset>
                </wp:positionV>
                <wp:extent cx="914400" cy="522605"/>
                <wp:effectExtent l="0" t="0" r="0" b="0"/>
                <wp:wrapNone/>
                <wp:docPr id="314" name="文本框 314"/>
                <wp:cNvGraphicFramePr/>
                <a:graphic xmlns:a="http://schemas.openxmlformats.org/drawingml/2006/main">
                  <a:graphicData uri="http://schemas.microsoft.com/office/word/2010/wordprocessingShape">
                    <wps:wsp>
                      <wps:cNvSpPr txBox="1"/>
                      <wps:spPr>
                        <a:xfrm>
                          <a:off x="0" y="0"/>
                          <a:ext cx="914400" cy="522605"/>
                        </a:xfrm>
                        <a:prstGeom prst="rect">
                          <a:avLst/>
                        </a:prstGeom>
                        <a:noFill/>
                        <a:ln>
                          <a:noFill/>
                        </a:ln>
                        <a:effectLst/>
                      </wps:spPr>
                      <wps:txbx>
                        <w:txbxContent>
                          <w:p w14:paraId="4683DA67">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索赔记录的保存和审查</w:t>
                            </w:r>
                          </w:p>
                        </w:txbxContent>
                      </wps:txbx>
                      <wps:bodyPr wrap="square" upright="1"/>
                    </wps:wsp>
                  </a:graphicData>
                </a:graphic>
              </wp:anchor>
            </w:drawing>
          </mc:Choice>
          <mc:Fallback>
            <w:pict>
              <v:shape id="_x0000_s1026" o:spid="_x0000_s1026" o:spt="202" type="#_x0000_t202" style="position:absolute;left:0pt;margin-left:-9pt;margin-top:0.05pt;height:41.15pt;width:72pt;z-index:251974656;mso-width-relative:page;mso-height-relative:page;" filled="f" stroked="f" coordsize="21600,21600" o:gfxdata="UEsDBAoAAAAAAIdO4kAAAAAAAAAAAAAAAAAEAAAAZHJzL1BLAwQUAAAACACHTuJA902QKdMAAAAH&#10;AQAADwAAAGRycy9kb3ducmV2LnhtbE2PwU7DMBBE70j8g7VI3Fo7UanSkE0PIK4gSlupNzfeJhHx&#10;OordJvw9zgmOo7eaeVtsJ9uJGw2+dYyQLBUI4sqZlmuE/dfbIgPhg2ajO8eE8EMetuX9XaFz40b+&#10;pNsu1CKWsM81QhNCn0vpq4as9kvXE0d2cYPVIcahlmbQYyy3nUyVWkurW44Lje7ppaHqe3e1CIf3&#10;y+m4Uh/1q33qRzcpyXYjER8fEvUMItAU/o5h1o/qUEans7uy8aJDWCRZ/CXMQMw4Xcd4RsjSFciy&#10;kP/9y19QSwMEFAAAAAgAh07iQHSjNP+9AQAAbQMAAA4AAABkcnMvZTJvRG9jLnhtbK1TS27bMBDd&#10;F+gdCO5jyo4TtILlAIGRboq2QNoD0NTIIiB+wqEt+QLtDbrqpvuey+fokFLcNN1k0Q01nM/jvDej&#10;1c1gOnaAgNrZis9nBWdglau13VX8y+e7izecYZS2lp2zUPEjIL9Zv3616n0JC9e6robACMRi2fuK&#10;tzH6UghULRiJM+fBUrBxwchI17ATdZA9oZtOLIriWvQu1D44BYjk3YxBPiGGlwC6ptEKNk7tDdg4&#10;ogboZCRK2GqPfJ27bRpQ8WPTIETWVZyYxnzSI2Rv0ynWK1nugvStVlML8iUtPONkpLb06BlqI6Nk&#10;+6D/gTJaBYeuiTPljBiJZEWIxbx4ps19Kz1kLiQ1+rPo+P9g1YfDp8B0XfHL+ZIzKw2N/PT92+nH&#10;r9PPryw5SaLeY0mZ955y43DrBlqcRz+SMzEfmmDSlzgxipPAx7PAMESmyPl2vlwWFFEUulosrour&#10;hCL+FPuA8R04w5JR8UDzy7LKw3uMY+pjSnrLujvddXmGnf3LQZijB/ISTNWJx9hvsuKwHSZyW1cf&#10;iVtPi1BxfNjLAJztfdC7ltrIXEUqoSnkfqeNSWN+eif76V+y/g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3TZAp0wAAAAcBAAAPAAAAAAAAAAEAIAAAACIAAABkcnMvZG93bnJldi54bWxQSwECFAAU&#10;AAAACACHTuJAdKM0/70BAABtAwAADgAAAAAAAAABACAAAAAiAQAAZHJzL2Uyb0RvYy54bWxQSwUG&#10;AAAAAAYABgBZAQAAUQUAAAAA&#10;">
                <v:fill on="f" focussize="0,0"/>
                <v:stroke on="f"/>
                <v:imagedata o:title=""/>
                <o:lock v:ext="edit" aspectratio="f"/>
                <v:textbox>
                  <w:txbxContent>
                    <w:p w14:paraId="4683DA67">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索赔记录的保存和审查</w:t>
                      </w:r>
                    </w:p>
                  </w:txbxContent>
                </v:textbox>
              </v:shape>
            </w:pict>
          </mc:Fallback>
        </mc:AlternateContent>
      </w:r>
      <w:r>
        <w:rPr>
          <w:rFonts w:hint="default" w:ascii="Times New Roman" w:hAnsi="Times New Roman" w:cs="Times New Roman"/>
          <w:color w:val="auto"/>
          <w:sz w:val="22"/>
          <w:szCs w:val="22"/>
          <w:highlight w:val="none"/>
        </w:rPr>
        <w:t>在索赔事件发生时，承包人应保存当时的记录，作为申请索赔的凭证。造价工程师在接到索赔意向书时，无需确认是否属于发包人责任，应先审查记录并可要求承包人进一步作好补充记录。承包人应配合造价工程师审查其记录，在造价工程师有要求时，应当向造价工程师提供记录的复印件。</w:t>
      </w:r>
    </w:p>
    <w:p w14:paraId="2A1B64EA">
      <w:pPr>
        <w:pStyle w:val="15"/>
        <w:adjustRightInd w:val="0"/>
        <w:snapToGrid w:val="0"/>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 xml:space="preserve">74.4 </w:t>
      </w:r>
      <w:r>
        <w:rPr>
          <w:rFonts w:hint="default" w:ascii="Times New Roman" w:hAnsi="Times New Roman" w:cs="Times New Roman"/>
          <w:color w:val="auto"/>
          <w:sz w:val="22"/>
          <w:szCs w:val="22"/>
          <w:highlight w:val="none"/>
        </w:rPr>
        <w:t xml:space="preserve"> </w:t>
      </w:r>
      <w:r>
        <w:rPr>
          <w:rFonts w:hint="default" w:ascii="Times New Roman" w:hAnsi="Times New Roman" w:cs="Times New Roman"/>
          <w:color w:val="auto"/>
          <w:sz w:val="22"/>
          <w:szCs w:val="22"/>
          <w:highlight w:val="none"/>
          <w:u w:val="dotted"/>
        </w:rPr>
        <w:t xml:space="preserve">                                                                                                        </w:t>
      </w:r>
    </w:p>
    <w:p w14:paraId="38C36816">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75680" behindDoc="0" locked="0" layoutInCell="1" allowOverlap="1">
                <wp:simplePos x="0" y="0"/>
                <wp:positionH relativeFrom="column">
                  <wp:posOffset>-114300</wp:posOffset>
                </wp:positionH>
                <wp:positionV relativeFrom="paragraph">
                  <wp:posOffset>5080</wp:posOffset>
                </wp:positionV>
                <wp:extent cx="1028700" cy="480060"/>
                <wp:effectExtent l="0" t="0" r="0" b="0"/>
                <wp:wrapNone/>
                <wp:docPr id="315" name="文本框 315"/>
                <wp:cNvGraphicFramePr/>
                <a:graphic xmlns:a="http://schemas.openxmlformats.org/drawingml/2006/main">
                  <a:graphicData uri="http://schemas.microsoft.com/office/word/2010/wordprocessingShape">
                    <wps:wsp>
                      <wps:cNvSpPr txBox="1"/>
                      <wps:spPr>
                        <a:xfrm>
                          <a:off x="0" y="0"/>
                          <a:ext cx="1028700" cy="480060"/>
                        </a:xfrm>
                        <a:prstGeom prst="rect">
                          <a:avLst/>
                        </a:prstGeom>
                        <a:noFill/>
                        <a:ln>
                          <a:noFill/>
                        </a:ln>
                        <a:effectLst/>
                      </wps:spPr>
                      <wps:txbx>
                        <w:txbxContent>
                          <w:p w14:paraId="311957CB">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提交费用索赔</w:t>
                            </w:r>
                          </w:p>
                          <w:p w14:paraId="23FC9139">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报告</w:t>
                            </w:r>
                          </w:p>
                        </w:txbxContent>
                      </wps:txbx>
                      <wps:bodyPr wrap="square" upright="1"/>
                    </wps:wsp>
                  </a:graphicData>
                </a:graphic>
              </wp:anchor>
            </w:drawing>
          </mc:Choice>
          <mc:Fallback>
            <w:pict>
              <v:shape id="_x0000_s1026" o:spid="_x0000_s1026" o:spt="202" type="#_x0000_t202" style="position:absolute;left:0pt;margin-left:-9pt;margin-top:0.4pt;height:37.8pt;width:81pt;z-index:251975680;mso-width-relative:page;mso-height-relative:page;" filled="f" stroked="f" coordsize="21600,21600" o:gfxdata="UEsDBAoAAAAAAIdO4kAAAAAAAAAAAAAAAAAEAAAAZHJzL1BLAwQUAAAACACHTuJAmGayXNMAAAAH&#10;AQAADwAAAGRycy9kb3ducmV2LnhtbE2PwU7DMBBE70j8g7VI3Fo7KJQSsukBxBVEC0jc3HibRMTr&#10;KHab8PdsT3AczWjmTbmZfa9ONMYuMEK2NKCI6+A6bhDed8+LNaiYLDvbByaEH4qwqS4vSlu4MPEb&#10;nbapUVLCsbAIbUpDoXWsW/I2LsNALN4hjN4mkWOj3WgnKfe9vjFmpb3tWBZaO9BjS/X39ugRPl4O&#10;X5+5eW2e/O0whdlo9vca8foqMw+gEs3pLwxnfEGHSpj24cguqh5hka3lS0KQA2c7z0XuEe5WOeiq&#10;1P/5q19QSwMEFAAAAAgAh07iQF7kgSi9AQAAbgMAAA4AAABkcnMvZTJvRG9jLnhtbK1TS27bMBDd&#10;F8gdCO5jyW7aGoLlAIGRbIq2QNoD0NTIIsBfObQlX6C9QVfddN9z+RwdUoqbppsssqGG83mc92a0&#10;uh6MZgcIqJyt+XxWcgZWukbZXc2/fL69XHKGUdhGaGeh5kdAfr2+eLXqfQUL1zndQGAEYrHqfc27&#10;GH1VFCg7MAJnzoOlYOuCEZGuYVc0QfSEbnSxKMu3Re9C44OTgEjezRjkE2J4DqBrWyVh4+TegI0j&#10;agAtIlHCTnnk69xt24KMH9sWITJdc2Ia80mPkL1NZ7FeiWoXhO+UnFoQz2nhCScjlKVHz1AbEQXb&#10;B/UflFEyOHRtnElnipFIVoRYzMsn2tx3wkPmQlKjP4uOLwcrPxw+Baaamr+ev+HMCkMjP/34fvr5&#10;+/TrG0tOkqj3WFHmvafcONy4gRbnwY/kTMyHNpj0JU6M4iTw8SwwDJHJVFQulu9KCkmKXS1pG/IE&#10;ir/VPmC8A2dYMmoeaIBZV3F4j5E6odSHlPSYdbdK6zxEbf9xUOLogbwFU3UiMjacrDhsh4nd1jVH&#10;ItfTJtQcv+5FAM72PqhdR21kskUqoTHkJqaVSXN+fCf78W+y/g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CYZrJc0wAAAAcBAAAPAAAAAAAAAAEAIAAAACIAAABkcnMvZG93bnJldi54bWxQSwECFAAU&#10;AAAACACHTuJAXuSBKL0BAABuAwAADgAAAAAAAAABACAAAAAiAQAAZHJzL2Uyb0RvYy54bWxQSwUG&#10;AAAAAAYABgBZAQAAUQUAAAAA&#10;">
                <v:fill on="f" focussize="0,0"/>
                <v:stroke on="f"/>
                <v:imagedata o:title=""/>
                <o:lock v:ext="edit" aspectratio="f"/>
                <v:textbox>
                  <w:txbxContent>
                    <w:p w14:paraId="311957CB">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提交费用索赔</w:t>
                      </w:r>
                    </w:p>
                    <w:p w14:paraId="23FC9139">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报告</w:t>
                      </w:r>
                    </w:p>
                  </w:txbxContent>
                </v:textbox>
              </v:shape>
            </w:pict>
          </mc:Fallback>
        </mc:AlternateContent>
      </w:r>
      <w:r>
        <w:rPr>
          <w:rFonts w:hint="default" w:ascii="Times New Roman" w:hAnsi="Times New Roman" w:cs="Times New Roman"/>
          <w:color w:val="auto"/>
          <w:sz w:val="22"/>
          <w:szCs w:val="22"/>
          <w:highlight w:val="none"/>
        </w:rPr>
        <w:t>在发出索赔意向书后的14天内，承包人应向造价工程师提交费用索赔报告和有关资料。如果索赔事件持续进行，承包人应每隔7天向造价工程师发出索赔意向书，在索赔事件终结后的14天内，提交最终费用索赔报告和有关资料。</w:t>
      </w:r>
    </w:p>
    <w:p w14:paraId="42C49C8B">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76704" behindDoc="0" locked="0" layoutInCell="1" allowOverlap="1">
                <wp:simplePos x="0" y="0"/>
                <wp:positionH relativeFrom="column">
                  <wp:posOffset>-114300</wp:posOffset>
                </wp:positionH>
                <wp:positionV relativeFrom="paragraph">
                  <wp:posOffset>250825</wp:posOffset>
                </wp:positionV>
                <wp:extent cx="800100" cy="324485"/>
                <wp:effectExtent l="0" t="0" r="0" b="0"/>
                <wp:wrapNone/>
                <wp:docPr id="316" name="文本框 316"/>
                <wp:cNvGraphicFramePr/>
                <a:graphic xmlns:a="http://schemas.openxmlformats.org/drawingml/2006/main">
                  <a:graphicData uri="http://schemas.microsoft.com/office/word/2010/wordprocessingShape">
                    <wps:wsp>
                      <wps:cNvSpPr txBox="1"/>
                      <wps:spPr>
                        <a:xfrm>
                          <a:off x="0" y="0"/>
                          <a:ext cx="800100" cy="324485"/>
                        </a:xfrm>
                        <a:prstGeom prst="rect">
                          <a:avLst/>
                        </a:prstGeom>
                        <a:noFill/>
                        <a:ln>
                          <a:noFill/>
                        </a:ln>
                        <a:effectLst/>
                      </wps:spPr>
                      <wps:txbx>
                        <w:txbxContent>
                          <w:p w14:paraId="258415C7">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无权索赔</w:t>
                            </w:r>
                          </w:p>
                        </w:txbxContent>
                      </wps:txbx>
                      <wps:bodyPr wrap="square" upright="1"/>
                    </wps:wsp>
                  </a:graphicData>
                </a:graphic>
              </wp:anchor>
            </w:drawing>
          </mc:Choice>
          <mc:Fallback>
            <w:pict>
              <v:shape id="_x0000_s1026" o:spid="_x0000_s1026" o:spt="202" type="#_x0000_t202" style="position:absolute;left:0pt;margin-left:-9pt;margin-top:19.75pt;height:25.55pt;width:63pt;z-index:251976704;mso-width-relative:page;mso-height-relative:page;" filled="f" stroked="f" coordsize="21600,21600" o:gfxdata="UEsDBAoAAAAAAIdO4kAAAAAAAAAAAAAAAAAEAAAAZHJzL1BLAwQUAAAACACHTuJAXDV2otYAAAAJ&#10;AQAADwAAAGRycy9kb3ducmV2LnhtbE2PzW7CMBCE75V4B2sr9QZ2SkEkZMOBimur0h+Jm4mXJGq8&#10;jmJD0revc2qPszOa/SbfjbYVN+p94xghWSgQxKUzDVcIH++H+QaED5qNbh0Twg952BWzu1xnxg38&#10;RrdjqEQsYZ9phDqELpPSlzVZ7ReuI47exfVWhyj7SppeD7HctvJRqbW0uuH4odYd7Wsqv49Xi/D5&#10;cjl9PanX6tmuusGNSrJNJeLDfaK2IAKN4S8ME35EhyIynd2VjRctwjzZxC0BYZmuQEwBNR3OCKla&#10;gyxy+X9B8QtQSwMEFAAAAAgAh07iQNJZ3iq7AQAAbQMAAA4AAABkcnMvZTJvRG9jLnhtbK1TS27b&#10;MBDdF8gdCO5jyU4aGILlAIWRbIK2QNoD0NTQIsBfObQlX6C9QVfddN9z+RwdSoqbppssuqGG83mc&#10;92a0uu2tYQeIqL2r+XxWcgZO+ka7Xc0/f7q7XHKGSbhGGO+g5kdAfru+eLPqQgUL33rTQGQE4rDq&#10;Qs3blEJVFChbsAJnPoCjoPLRikTXuCuaKDpCt6ZYlOVN0fnYhOglIJJ3Mwb5hBhfA+iV0hI2Xu4t&#10;uDSiRjAiESVsdUC+HrpVCmT6oBRCYqbmxDQNJz1C9jafxXolql0UodVyakG8poUXnKzQjh49Q21E&#10;Emwf9T9QVsvo0as0k94WI5FBEWIxL19o89iKAAMXkhrDWXT8f7Dy/eFjZLqp+dX8hjMnLI389P3b&#10;6cev08+vLDtJoi5gRZmPgXJT/873tDhPfiRnZt6raPOXODGKk8DHs8DQJybJuSyJJEUkha4W19fL&#10;txml+FMcIqZ78JZlo+aR5jfIKg4PmMbUp5T8lvN32phhhsb95SDM0QPDEkzVmcfYb7ZSv+0nclvf&#10;HIlbR4tQc/yyFxE424eody21MXAtcglNYeh32pg85ud3sp//Je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XDV2otYAAAAJAQAADwAAAAAAAAABACAAAAAiAAAAZHJzL2Rvd25yZXYueG1sUEsBAhQA&#10;FAAAAAgAh07iQNJZ3iq7AQAAbQMAAA4AAAAAAAAAAQAgAAAAJQEAAGRycy9lMm9Eb2MueG1sUEsF&#10;BgAAAAAGAAYAWQEAAFIFAAAAAA==&#10;">
                <v:fill on="f" focussize="0,0"/>
                <v:stroke on="f"/>
                <v:imagedata o:title=""/>
                <o:lock v:ext="edit" aspectratio="f"/>
                <v:textbox>
                  <w:txbxContent>
                    <w:p w14:paraId="258415C7">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无权索赔</w:t>
                      </w:r>
                    </w:p>
                  </w:txbxContent>
                </v:textbox>
              </v:shape>
            </w:pict>
          </mc:Fallback>
        </mc:AlternateContent>
      </w:r>
      <w:r>
        <w:rPr>
          <w:rFonts w:hint="default" w:ascii="Times New Roman" w:hAnsi="Times New Roman" w:cs="Times New Roman"/>
          <w:b/>
          <w:bCs/>
          <w:color w:val="auto"/>
          <w:sz w:val="22"/>
          <w:szCs w:val="22"/>
          <w:highlight w:val="none"/>
        </w:rPr>
        <w:t xml:space="preserve">74.5  </w:t>
      </w:r>
      <w:r>
        <w:rPr>
          <w:rFonts w:hint="default" w:ascii="Times New Roman" w:hAnsi="Times New Roman" w:cs="Times New Roman"/>
          <w:b/>
          <w:bCs/>
          <w:color w:val="auto"/>
          <w:sz w:val="22"/>
          <w:szCs w:val="22"/>
          <w:highlight w:val="none"/>
          <w:u w:val="dotted"/>
        </w:rPr>
        <w:t xml:space="preserve">                                                                                                        </w:t>
      </w:r>
    </w:p>
    <w:p w14:paraId="19D25D3D">
      <w:pPr>
        <w:pStyle w:val="15"/>
        <w:adjustRightInd w:val="0"/>
        <w:snapToGrid w:val="0"/>
        <w:spacing w:line="420" w:lineRule="exact"/>
        <w:ind w:left="1619" w:leftChars="771"/>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w:t>如果承包人提出的索赔未能遵守第74.2款至第74.4款规定，则承包人无权获得索赔或只限于获得由造价工程师按照提供记录予以核实的部分款额。</w:t>
      </w:r>
    </w:p>
    <w:p w14:paraId="71033023">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74.6  </w:t>
      </w:r>
      <w:r>
        <w:rPr>
          <w:rFonts w:hint="default" w:ascii="Times New Roman" w:hAnsi="Times New Roman" w:cs="Times New Roman"/>
          <w:b/>
          <w:bCs/>
          <w:color w:val="auto"/>
          <w:sz w:val="22"/>
          <w:szCs w:val="22"/>
          <w:highlight w:val="none"/>
          <w:u w:val="dotted"/>
        </w:rPr>
        <w:t xml:space="preserve">                                                                                                        </w:t>
      </w:r>
    </w:p>
    <w:p w14:paraId="14FD70D7">
      <w:pPr>
        <w:pStyle w:val="15"/>
        <w:adjustRightInd w:val="0"/>
        <w:snapToGrid w:val="0"/>
        <w:spacing w:line="420" w:lineRule="exact"/>
        <w:ind w:left="1619" w:leftChars="771"/>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77728" behindDoc="0" locked="0" layoutInCell="1" allowOverlap="1">
                <wp:simplePos x="0" y="0"/>
                <wp:positionH relativeFrom="column">
                  <wp:posOffset>-114300</wp:posOffset>
                </wp:positionH>
                <wp:positionV relativeFrom="paragraph">
                  <wp:posOffset>8255</wp:posOffset>
                </wp:positionV>
                <wp:extent cx="914400" cy="438785"/>
                <wp:effectExtent l="0" t="0" r="0" b="0"/>
                <wp:wrapNone/>
                <wp:docPr id="317" name="文本框 317"/>
                <wp:cNvGraphicFramePr/>
                <a:graphic xmlns:a="http://schemas.openxmlformats.org/drawingml/2006/main">
                  <a:graphicData uri="http://schemas.microsoft.com/office/word/2010/wordprocessingShape">
                    <wps:wsp>
                      <wps:cNvSpPr txBox="1"/>
                      <wps:spPr>
                        <a:xfrm>
                          <a:off x="0" y="0"/>
                          <a:ext cx="914400" cy="438785"/>
                        </a:xfrm>
                        <a:prstGeom prst="rect">
                          <a:avLst/>
                        </a:prstGeom>
                        <a:noFill/>
                        <a:ln>
                          <a:noFill/>
                        </a:ln>
                        <a:effectLst/>
                      </wps:spPr>
                      <wps:txbx>
                        <w:txbxContent>
                          <w:p w14:paraId="76DCCAF7">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核实费用索赔报告的限制</w:t>
                            </w:r>
                          </w:p>
                        </w:txbxContent>
                      </wps:txbx>
                      <wps:bodyPr wrap="square" upright="1"/>
                    </wps:wsp>
                  </a:graphicData>
                </a:graphic>
              </wp:anchor>
            </w:drawing>
          </mc:Choice>
          <mc:Fallback>
            <w:pict>
              <v:shape id="_x0000_s1026" o:spid="_x0000_s1026" o:spt="202" type="#_x0000_t202" style="position:absolute;left:0pt;margin-left:-9pt;margin-top:0.65pt;height:34.55pt;width:72pt;z-index:251977728;mso-width-relative:page;mso-height-relative:page;" filled="f" stroked="f" coordsize="21600,21600" o:gfxdata="UEsDBAoAAAAAAIdO4kAAAAAAAAAAAAAAAAAEAAAAZHJzL1BLAwQUAAAACACHTuJAa/9NBdUAAAAI&#10;AQAADwAAAGRycy9kb3ducmV2LnhtbE2Py07DMBBF90j8gzVI7NpxSiklxOkCxBZEeUjs3HiaRMTj&#10;KHab8PdMV3R5dUZ3zi02k+/UkYbYBjaQzTUo4iq4lmsDH+/PszWomCw72wUmA78UYVNeXhQ2d2Hk&#10;NzpuU62khGNuDTQp9TlirBryNs5DTyxsHwZvk8ShRjfYUcp9hwutV+hty/KhsT09NlT9bA/ewOfL&#10;/vtrqV/rJ3/bj2HSyP4ejbm+yvQDqERT+j+Gk76oQylOu3BgF1VnYJatZUsScAPqxBcryTsDd3oJ&#10;WBZ4PqD8A1BLAwQUAAAACACHTuJAw1v1dL0BAABtAwAADgAAAGRycy9lMm9Eb2MueG1srVPNjtMw&#10;EL4j8Q6W7zTpbmFL1HQlVC0XBEgLD+A648aS//C4TfoC8AacuHDnufocjJNsWXYve9iLM56fz/N9&#10;M1ld99awA0TU3tV8Pis5Ayd9o92u5l+/3LxacoZJuEYY76DmR0B+vX75YtWFCi58600DkRGIw6oL&#10;NW9TClVRoGzBCpz5AI6CykcrEl3jrmii6AjdmuKiLN8UnY9NiF4CInk3Y5BPiPEpgF4pLWHj5d6C&#10;SyNqBCMSUcJWB+TroVulQKZPSiEkZmpOTNNw0iNkb/NZrFei2kURWi2nFsRTWnjAyQrt6NEz1EYk&#10;wfZRP4KyWkaPXqWZ9LYYiQyKEIt5+UCb21YEGLiQ1BjOouPzwcqPh8+R6abml/MrzpywNPLTzx+n&#10;X39Ov7+z7CSJuoAVZd4Gyk39O9/T4tz5kZyZea+izV/ixChOAh/PAkOfmCTn2/liUVJEUmhxubxa&#10;vs4oxb/iEDG9B29ZNmoeaX6DrOLwAdOYepeS33L+RhszzNC4/xyEOXpgWIKpOvMY+81W6rf9RG7r&#10;myNx62gRao7f9iICZ/sQ9a6lNgauRS6hKQz9ThuTx3z/Tvb9v2T9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Gv/TQXVAAAACAEAAA8AAAAAAAAAAQAgAAAAIgAAAGRycy9kb3ducmV2LnhtbFBLAQIU&#10;ABQAAAAIAIdO4kDDW/V0vQEAAG0DAAAOAAAAAAAAAAEAIAAAACQBAABkcnMvZTJvRG9jLnhtbFBL&#10;BQYAAAAABgAGAFkBAABTBQAAAAA=&#10;">
                <v:fill on="f" focussize="0,0"/>
                <v:stroke on="f"/>
                <v:imagedata o:title=""/>
                <o:lock v:ext="edit" aspectratio="f"/>
                <v:textbox>
                  <w:txbxContent>
                    <w:p w14:paraId="76DCCAF7">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核实费用索赔报告的限制</w:t>
                      </w:r>
                    </w:p>
                  </w:txbxContent>
                </v:textbox>
              </v:shape>
            </w:pict>
          </mc:Fallback>
        </mc:AlternateContent>
      </w:r>
      <w:r>
        <w:rPr>
          <w:rFonts w:hint="default" w:ascii="Times New Roman" w:hAnsi="Times New Roman" w:cs="Times New Roman"/>
          <w:color w:val="auto"/>
          <w:sz w:val="22"/>
          <w:szCs w:val="22"/>
          <w:highlight w:val="none"/>
        </w:rPr>
        <w:t>造价工程师应在收到承包人提交的费用索赔报告和有关资料后的28天内予以核实或要求承包人进一步补充索赔理由和证据，并与合同双方当事人协商确定承包人有权获得的全部或部分的索赔款额；协商不能达成一致的，由造价工程师暂定，通知承包人并抄报发包人。如果造价工程师在规定期限内未予答复也未对承包人作出进一步要求，视为该费用索赔报告已经被认可。</w:t>
      </w:r>
    </w:p>
    <w:p w14:paraId="02B27540">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74.7  </w:t>
      </w:r>
      <w:r>
        <w:rPr>
          <w:rFonts w:hint="default" w:ascii="Times New Roman" w:hAnsi="Times New Roman" w:cs="Times New Roman"/>
          <w:b/>
          <w:bCs/>
          <w:color w:val="auto"/>
          <w:sz w:val="22"/>
          <w:szCs w:val="22"/>
          <w:highlight w:val="none"/>
          <w:u w:val="dotted"/>
        </w:rPr>
        <w:t xml:space="preserve">                                                                                                        </w:t>
      </w:r>
    </w:p>
    <w:p w14:paraId="69A7B0A7">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78752" behindDoc="0" locked="0" layoutInCell="1" allowOverlap="1">
                <wp:simplePos x="0" y="0"/>
                <wp:positionH relativeFrom="column">
                  <wp:posOffset>-114300</wp:posOffset>
                </wp:positionH>
                <wp:positionV relativeFrom="paragraph">
                  <wp:posOffset>38735</wp:posOffset>
                </wp:positionV>
                <wp:extent cx="800100" cy="349885"/>
                <wp:effectExtent l="0" t="0" r="0" b="0"/>
                <wp:wrapNone/>
                <wp:docPr id="318" name="文本框 318"/>
                <wp:cNvGraphicFramePr/>
                <a:graphic xmlns:a="http://schemas.openxmlformats.org/drawingml/2006/main">
                  <a:graphicData uri="http://schemas.microsoft.com/office/word/2010/wordprocessingShape">
                    <wps:wsp>
                      <wps:cNvSpPr txBox="1"/>
                      <wps:spPr>
                        <a:xfrm>
                          <a:off x="0" y="0"/>
                          <a:ext cx="800100" cy="349885"/>
                        </a:xfrm>
                        <a:prstGeom prst="rect">
                          <a:avLst/>
                        </a:prstGeom>
                        <a:noFill/>
                        <a:ln>
                          <a:noFill/>
                        </a:ln>
                        <a:effectLst/>
                      </wps:spPr>
                      <wps:txbx>
                        <w:txbxContent>
                          <w:p w14:paraId="6049921F">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反索赔</w:t>
                            </w:r>
                          </w:p>
                        </w:txbxContent>
                      </wps:txbx>
                      <wps:bodyPr wrap="square" upright="1"/>
                    </wps:wsp>
                  </a:graphicData>
                </a:graphic>
              </wp:anchor>
            </w:drawing>
          </mc:Choice>
          <mc:Fallback>
            <w:pict>
              <v:shape id="_x0000_s1026" o:spid="_x0000_s1026" o:spt="202" type="#_x0000_t202" style="position:absolute;left:0pt;margin-left:-9pt;margin-top:3.05pt;height:27.55pt;width:63pt;z-index:251978752;mso-width-relative:page;mso-height-relative:page;" filled="f" stroked="f" coordsize="21600,21600" o:gfxdata="UEsDBAoAAAAAAIdO4kAAAAAAAAAAAAAAAAAEAAAAZHJzL1BLAwQUAAAACACHTuJA+t6SadMAAAAI&#10;AQAADwAAAGRycy9kb3ducmV2LnhtbE2Py07DMBBF90j8gzVI3bXjVFCVkEkXILZUlIfEzo2nSUQ8&#10;jmK3CX+Ps4Ll0R3dObfYTa5TFx5C64UgW2lQLJW3rdQE72/Pyy2oEI1Y03lhgh8OsCuvrwqTWz/K&#10;K18OsVapREJuCJoY+xwxVA07E1a+Z0nZyQ/OxIRDjXYwYyp3Ha613qAzraQPjen5seHq+3B2BB8v&#10;p6/PW72vn9xdP/pJo7h7JFrcZPoBVOQp/h3DrJ/UoUxOR38WG1RHsMy2aUsk2GSg5lzPfJx5DVgW&#10;+H9A+QtQSwMEFAAAAAgAh07iQJsEn2a7AQAAbQMAAA4AAABkcnMvZTJvRG9jLnhtbK1TS27bMBDd&#10;F8gdCO5ryklbOILlAIGRbIq2QJoD0NTIIsBfObQlX6C9QVfddN9z+RwdSoqTppsssqGG83mc92a0&#10;vOqtYXuIqL2r+HxWcAZO+Vq7bcXvv968XXCGSbpaGu+g4gdAfrU6e7PsQgnnvvWmhsgIxGHZhYq3&#10;KYVSCFQtWIkzH8BRsPHRykTXuBV1lB2hWyPOi+KD6HysQ/QKEMm7HoN8QowvAfRNoxWsvdpZcGlE&#10;jWBkIkrY6oB8NXTbNKDS56ZBSMxUnJim4aRHyN7kU6yWstxGGVqtphbkS1p4xslK7ejRE9RaJsl2&#10;Uf8HZbWKHn2TZspbMRIZFCEW8+KZNnetDDBwIakxnETH14NVn/ZfItN1xS/mNHgnLY38+PPH8def&#10;4+/vLDtJoi5gSZl3gXJTf+17WpwHP5IzM++baPOXODGKk8CHk8DQJ6bIuSiIJEUUhS7eXS4W7zOK&#10;eCwOEdMteMuyUfFI8xtklfuPmMbUh5T8lvM32phhhsb94yDM0QPDEkzVmcfYb7ZSv+knchtfH4hb&#10;R4tQcfy2kxE424Woty21MXAVuYSmMPQ7bUwe89M72U//kt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t6SadMAAAAIAQAADwAAAAAAAAABACAAAAAiAAAAZHJzL2Rvd25yZXYueG1sUEsBAhQAFAAA&#10;AAgAh07iQJsEn2a7AQAAbQMAAA4AAAAAAAAAAQAgAAAAIgEAAGRycy9lMm9Eb2MueG1sUEsFBgAA&#10;AAAGAAYAWQEAAE8FAAAAAA==&#10;">
                <v:fill on="f" focussize="0,0"/>
                <v:stroke on="f"/>
                <v:imagedata o:title=""/>
                <o:lock v:ext="edit" aspectratio="f"/>
                <v:textbox>
                  <w:txbxContent>
                    <w:p w14:paraId="6049921F">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反索赔</w:t>
                      </w:r>
                    </w:p>
                  </w:txbxContent>
                </v:textbox>
              </v:shape>
            </w:pict>
          </mc:Fallback>
        </mc:AlternateContent>
      </w:r>
      <w:r>
        <w:rPr>
          <w:rFonts w:hint="default" w:ascii="Times New Roman" w:hAnsi="Times New Roman" w:cs="Times New Roman"/>
          <w:color w:val="auto"/>
          <w:sz w:val="22"/>
          <w:szCs w:val="22"/>
          <w:highlight w:val="none"/>
        </w:rPr>
        <w:t>承包人未能按照合同约定履行各项义务或发生错误，给发包人造成损失，发包人可按照本条规定的时限和要求向承包人提出索赔。</w:t>
      </w:r>
    </w:p>
    <w:p w14:paraId="7FC44AB4">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74.8  </w:t>
      </w:r>
      <w:r>
        <w:rPr>
          <w:rFonts w:hint="default" w:ascii="Times New Roman" w:hAnsi="Times New Roman" w:cs="Times New Roman"/>
          <w:b/>
          <w:bCs/>
          <w:color w:val="auto"/>
          <w:sz w:val="22"/>
          <w:szCs w:val="22"/>
          <w:highlight w:val="none"/>
          <w:u w:val="dotted"/>
        </w:rPr>
        <w:t xml:space="preserve">                                                                                                        </w:t>
      </w:r>
    </w:p>
    <w:p w14:paraId="5A2952F8">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79776" behindDoc="0" locked="0" layoutInCell="1" allowOverlap="1">
                <wp:simplePos x="0" y="0"/>
                <wp:positionH relativeFrom="column">
                  <wp:posOffset>-114300</wp:posOffset>
                </wp:positionH>
                <wp:positionV relativeFrom="paragraph">
                  <wp:posOffset>18415</wp:posOffset>
                </wp:positionV>
                <wp:extent cx="914400" cy="622300"/>
                <wp:effectExtent l="0" t="0" r="0" b="0"/>
                <wp:wrapNone/>
                <wp:docPr id="319" name="文本框 319"/>
                <wp:cNvGraphicFramePr/>
                <a:graphic xmlns:a="http://schemas.openxmlformats.org/drawingml/2006/main">
                  <a:graphicData uri="http://schemas.microsoft.com/office/word/2010/wordprocessingShape">
                    <wps:wsp>
                      <wps:cNvSpPr txBox="1"/>
                      <wps:spPr>
                        <a:xfrm>
                          <a:off x="0" y="0"/>
                          <a:ext cx="914400" cy="622300"/>
                        </a:xfrm>
                        <a:prstGeom prst="rect">
                          <a:avLst/>
                        </a:prstGeom>
                        <a:noFill/>
                        <a:ln>
                          <a:noFill/>
                        </a:ln>
                        <a:effectLst/>
                      </wps:spPr>
                      <wps:txbx>
                        <w:txbxContent>
                          <w:p w14:paraId="44D06305">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调整价款的确认与支付</w:t>
                            </w:r>
                          </w:p>
                        </w:txbxContent>
                      </wps:txbx>
                      <wps:bodyPr wrap="square" upright="1"/>
                    </wps:wsp>
                  </a:graphicData>
                </a:graphic>
              </wp:anchor>
            </w:drawing>
          </mc:Choice>
          <mc:Fallback>
            <w:pict>
              <v:shape id="_x0000_s1026" o:spid="_x0000_s1026" o:spt="202" type="#_x0000_t202" style="position:absolute;left:0pt;margin-left:-9pt;margin-top:1.45pt;height:49pt;width:72pt;z-index:251979776;mso-width-relative:page;mso-height-relative:page;" filled="f" stroked="f" coordsize="21600,21600" o:gfxdata="UEsDBAoAAAAAAIdO4kAAAAAAAAAAAAAAAAAEAAAAZHJzL1BLAwQUAAAACACHTuJAz666a9YAAAAJ&#10;AQAADwAAAGRycy9kb3ducmV2LnhtbE2PwW7CMBBE75X4B2uRegM7UYtIGocDVa+tSgGpNxMvSUS8&#10;jmJD0r/vcmpvO5rR7JtiM7lO3HAIrScNyVKBQKq8banWsP96W6xBhGjIms4TavjBAJty9lCY3PqR&#10;PvG2i7XgEgq50dDE2OdShqpBZ8LS90jsnf3gTGQ51NIOZuRy18lUqZV0piX+0Jgetw1Wl93VaTi8&#10;n7+PT+qjfnXP/egnJcllUuvHeaJeQESc4l8Y7viMDiUznfyVbBCdhkWy5i1RQ5qBuPvpivWJD6Uy&#10;kGUh/y8ofwFQSwMEFAAAAAgAh07iQPo7sv28AQAAbQMAAA4AAABkcnMvZTJvRG9jLnhtbK1TS27b&#10;MBDdF8gdCO5jyk4QNILlAIGRboqmQNoD0NTIIsBfOLQlX6C5QVfddN9z+RwdSoqbppssuqGG83mc&#10;92a0vOmtYXuIqL2r+HxWcAZO+Vq7bcW/frk7f88ZJulqabyDih8A+c3q7N2yCyUsfOtNDZERiMOy&#10;CxVvUwqlEKhasBJnPoCjYOOjlYmucSvqKDtCt0YsiuJKdD7WIXoFiORdj0E+Ica3APqm0QrWXu0s&#10;uDSiRjAyESVsdUC+GrptGlDpvmkQEjMVJ6ZpOOkRsjf5FKulLLdRhlarqQX5lhZecbJSO3r0BLWW&#10;SbJd1P9AWa2iR9+kmfJWjEQGRYjFvHilzUMrAwxcSGoMJ9Hx/8GqT/vPkem64hfza86ctDTy4/en&#10;449fx5/fWHaSRF3AkjIfAuWm/tb3tDjPfiRnZt430eYvcWIUJ4EPJ4GhT0yR83p+eVlQRFHoarG4&#10;IJvQxZ/iEDF9AG9ZNioeaX6DrHL/EdOY+pyS33L+ThszzNC4vxyEOXpgWIKpOvMY+81W6jf9RG7j&#10;6wNx62gRKo6POxmBs12IettSGwNXkUtoCkO/08bkMb+8k/3yL1n9B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M+uumvWAAAACQEAAA8AAAAAAAAAAQAgAAAAIgAAAGRycy9kb3ducmV2LnhtbFBLAQIU&#10;ABQAAAAIAIdO4kD6O7L9vAEAAG0DAAAOAAAAAAAAAAEAIAAAACUBAABkcnMvZTJvRG9jLnhtbFBL&#10;BQYAAAAABgAGAFkBAABTBQAAAAA=&#10;">
                <v:fill on="f" focussize="0,0"/>
                <v:stroke on="f"/>
                <v:imagedata o:title=""/>
                <o:lock v:ext="edit" aspectratio="f"/>
                <v:textbox>
                  <w:txbxContent>
                    <w:p w14:paraId="44D06305">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调整价款的确认与支付</w:t>
                      </w:r>
                    </w:p>
                  </w:txbxContent>
                </v:textbox>
              </v:shape>
            </w:pict>
          </mc:Fallback>
        </mc:AlternateContent>
      </w:r>
      <w:r>
        <w:rPr>
          <w:rFonts w:hint="default" w:ascii="Times New Roman" w:hAnsi="Times New Roman" w:cs="Times New Roman"/>
          <w:color w:val="auto"/>
          <w:sz w:val="22"/>
          <w:szCs w:val="22"/>
          <w:highlight w:val="none"/>
        </w:rPr>
        <w:t>费用索赔报告被认可，则表明该事件已索赔成功，合同双方当事人应确认由此引起调整的合同价款，并作为追加（减）合同价款，与工程进度款或结算款同期支付。</w:t>
      </w:r>
    </w:p>
    <w:p w14:paraId="7915FF36">
      <w:pPr>
        <w:pStyle w:val="15"/>
        <w:adjustRightInd w:val="0"/>
        <w:snapToGrid w:val="0"/>
        <w:spacing w:line="420" w:lineRule="exact"/>
        <w:ind w:right="-238"/>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2DEFF970">
      <w:pPr>
        <w:pStyle w:val="15"/>
        <w:tabs>
          <w:tab w:val="left" w:pos="540"/>
        </w:tabs>
        <w:adjustRightInd w:val="0"/>
        <w:snapToGrid w:val="0"/>
        <w:spacing w:before="240" w:beforeLines="100" w:line="420" w:lineRule="exact"/>
        <w:outlineLvl w:val="2"/>
        <w:rPr>
          <w:rFonts w:hint="default" w:ascii="Times New Roman" w:hAnsi="Times New Roman" w:cs="Times New Roman"/>
          <w:b/>
          <w:bCs/>
          <w:color w:val="auto"/>
          <w:sz w:val="22"/>
          <w:szCs w:val="22"/>
          <w:highlight w:val="none"/>
        </w:rPr>
      </w:pPr>
      <w:bookmarkStart w:id="251" w:name="_Toc11502"/>
      <w:bookmarkStart w:id="252" w:name="_Toc469384059"/>
      <w:r>
        <w:rPr>
          <w:rFonts w:hint="default" w:ascii="Times New Roman" w:hAnsi="Times New Roman" w:cs="Times New Roman"/>
          <w:b/>
          <w:bCs/>
          <w:color w:val="auto"/>
          <w:sz w:val="22"/>
          <w:szCs w:val="22"/>
          <w:highlight w:val="none"/>
        </w:rPr>
        <w:t>★75  现场签证事件</w:t>
      </w:r>
      <w:bookmarkEnd w:id="251"/>
      <w:bookmarkEnd w:id="252"/>
    </w:p>
    <w:p w14:paraId="040D591D">
      <w:pPr>
        <w:pStyle w:val="15"/>
        <w:adjustRightInd w:val="0"/>
        <w:snapToGrid w:val="0"/>
        <w:spacing w:line="420" w:lineRule="exact"/>
        <w:rPr>
          <w:rFonts w:hint="default" w:ascii="Times New Roman" w:hAnsi="Times New Roman" w:cs="Times New Roman"/>
          <w:b/>
          <w:bCs/>
          <w:color w:val="auto"/>
          <w:sz w:val="22"/>
          <w:szCs w:val="22"/>
          <w:highlight w:val="none"/>
          <w:u w:val="dotted"/>
        </w:rPr>
      </w:pPr>
      <w:r>
        <w:rPr>
          <w:rFonts w:hint="default" w:ascii="Times New Roman" w:hAnsi="Times New Roman" w:cs="Times New Roman"/>
          <w:b/>
          <w:bCs/>
          <w:color w:val="auto"/>
          <w:sz w:val="22"/>
          <w:szCs w:val="22"/>
          <w:highlight w:val="none"/>
        </w:rPr>
        <w:t xml:space="preserve">75.1 </w:t>
      </w:r>
    </w:p>
    <w:p w14:paraId="72D5CDB1">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80800" behindDoc="0" locked="0" layoutInCell="1" allowOverlap="1">
                <wp:simplePos x="0" y="0"/>
                <wp:positionH relativeFrom="column">
                  <wp:posOffset>-114300</wp:posOffset>
                </wp:positionH>
                <wp:positionV relativeFrom="paragraph">
                  <wp:posOffset>5080</wp:posOffset>
                </wp:positionV>
                <wp:extent cx="914400" cy="510540"/>
                <wp:effectExtent l="0" t="0" r="0" b="0"/>
                <wp:wrapNone/>
                <wp:docPr id="320" name="文本框 320"/>
                <wp:cNvGraphicFramePr/>
                <a:graphic xmlns:a="http://schemas.openxmlformats.org/drawingml/2006/main">
                  <a:graphicData uri="http://schemas.microsoft.com/office/word/2010/wordprocessingShape">
                    <wps:wsp>
                      <wps:cNvSpPr txBox="1"/>
                      <wps:spPr>
                        <a:xfrm>
                          <a:off x="0" y="0"/>
                          <a:ext cx="914400" cy="510540"/>
                        </a:xfrm>
                        <a:prstGeom prst="rect">
                          <a:avLst/>
                        </a:prstGeom>
                        <a:noFill/>
                        <a:ln>
                          <a:noFill/>
                        </a:ln>
                        <a:effectLst/>
                      </wps:spPr>
                      <wps:txbx>
                        <w:txbxContent>
                          <w:p w14:paraId="1424F9FB">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现场签证的价款调整</w:t>
                            </w:r>
                          </w:p>
                          <w:p w14:paraId="01F3A219">
                            <w:pPr>
                              <w:rPr>
                                <w:rFonts w:cs="Times New Roman"/>
                              </w:rPr>
                            </w:pPr>
                          </w:p>
                        </w:txbxContent>
                      </wps:txbx>
                      <wps:bodyPr wrap="square" upright="1"/>
                    </wps:wsp>
                  </a:graphicData>
                </a:graphic>
              </wp:anchor>
            </w:drawing>
          </mc:Choice>
          <mc:Fallback>
            <w:pict>
              <v:shape id="_x0000_s1026" o:spid="_x0000_s1026" o:spt="202" type="#_x0000_t202" style="position:absolute;left:0pt;margin-left:-9pt;margin-top:0.4pt;height:40.2pt;width:72pt;z-index:251980800;mso-width-relative:page;mso-height-relative:page;" filled="f" stroked="f" coordsize="21600,21600" o:gfxdata="UEsDBAoAAAAAAIdO4kAAAAAAAAAAAAAAAAAEAAAAZHJzL1BLAwQUAAAACACHTuJAlW41/tMAAAAH&#10;AQAADwAAAGRycy9kb3ducmV2LnhtbE2Py07DMBBF90j8gzVI3bV2IqhKyKQLEFsqykNi58bTJCIe&#10;R7HbhL9nuoLl0R3dObfczr5XZxpjFxghWxlQxHVwHTcI72/Pyw2omCw72wcmhB+KsK2ur0pbuDDx&#10;K533qVFSwrGwCG1KQ6F1rFvyNq7CQCzZMYzeJsGx0W60k5T7XufGrLW3HcuH1g702FL9vT95hI+X&#10;49fnrdk1T/5umMJsNPt7jbi4ycwDqERz+juGi76oQyVOh3BiF1WPsMw2siUhyIBLnK8FD4JZDroq&#10;9X//6hdQSwMEFAAAAAgAh07iQHb2mi28AQAAbQMAAA4AAABkcnMvZTJvRG9jLnhtbK1TS27bMBDd&#10;F8gdCO5jya5TNILlAIWRboq2QJoD0NTIIsBfObQlX6C9QVfddN9z+RwdUoqTppssuqGG83mc92a0&#10;uhmMZgcIqJyt+XxWcgZWukbZXc3vv9xevuUMo7CN0M5CzY+A/GZ98WrV+woWrnO6gcAIxGLV+5p3&#10;MfqqKFB2YATOnAdLwdYFIyJdw65ogugJ3ehiUZZvit6FxgcnAZG8mzHIJ8TwEkDXtkrCxsm9ARtH&#10;1ABaRKKEnfLI17nbtgUZP7UtQmS65sQ05pMeIXubzmK9EtUuCN8pObUgXtLCM05GKEuPnqE2Igq2&#10;D+ofKKNkcOjaOJPOFCORrAixmJfPtLnrhIfMhaRGfxYd/x+s/Hj4HJhqav56QZpYYWjkpx/fTz9/&#10;n359Y8lJEvUeK8q885Qbh3duoMV58CM5E/OhDSZ9iROjOIEdzwLDEJkk5/V8uSwpIil0NS+vlhm9&#10;eCz2AeN7cIYlo+aB5pdlFYcPGKkRSn1ISW9Zd6u0zjPU9i8HJY4eyEswVSceY7/JisN2mMhtXXMk&#10;bj0tQs3x614E4Gzvg9p11EbmWqQSmkJuYtqYNOand7Kf/iXrP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JVuNf7TAAAABwEAAA8AAAAAAAAAAQAgAAAAIgAAAGRycy9kb3ducmV2LnhtbFBLAQIUABQA&#10;AAAIAIdO4kB29potvAEAAG0DAAAOAAAAAAAAAAEAIAAAACIBAABkcnMvZTJvRG9jLnhtbFBLBQYA&#10;AAAABgAGAFkBAABQBQAAAAA=&#10;">
                <v:fill on="f" focussize="0,0"/>
                <v:stroke on="f"/>
                <v:imagedata o:title=""/>
                <o:lock v:ext="edit" aspectratio="f"/>
                <v:textbox>
                  <w:txbxContent>
                    <w:p w14:paraId="1424F9FB">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现场签证的价款调整</w:t>
                      </w:r>
                    </w:p>
                    <w:p w14:paraId="01F3A219">
                      <w:pPr>
                        <w:rPr>
                          <w:rFonts w:cs="Times New Roman"/>
                        </w:rPr>
                      </w:pPr>
                    </w:p>
                  </w:txbxContent>
                </v:textbox>
              </v:shape>
            </w:pict>
          </mc:Fallback>
        </mc:AlternateContent>
      </w:r>
      <w:r>
        <w:rPr>
          <w:rFonts w:hint="default" w:ascii="Times New Roman" w:hAnsi="Times New Roman" w:cs="Times New Roman"/>
          <w:color w:val="auto"/>
          <w:sz w:val="22"/>
          <w:szCs w:val="22"/>
          <w:highlight w:val="none"/>
        </w:rPr>
        <w:t>现场签证是指合同双方当事人就施工过程中涉及的责任事件所作的签认证明。</w:t>
      </w:r>
    </w:p>
    <w:p w14:paraId="3613E4AA">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合同履行期间，出现现场签证事件的，合同双方当事人应调整合同价款。</w:t>
      </w:r>
    </w:p>
    <w:p w14:paraId="57C168AD">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75.2  </w:t>
      </w:r>
      <w:r>
        <w:rPr>
          <w:rFonts w:hint="default" w:ascii="Times New Roman" w:hAnsi="Times New Roman" w:cs="Times New Roman"/>
          <w:b/>
          <w:bCs/>
          <w:color w:val="auto"/>
          <w:sz w:val="22"/>
          <w:szCs w:val="22"/>
          <w:highlight w:val="none"/>
          <w:u w:val="dotted"/>
        </w:rPr>
        <w:t xml:space="preserve">                                                                          </w:t>
      </w:r>
    </w:p>
    <w:p w14:paraId="3A84898A">
      <w:pPr>
        <w:pStyle w:val="15"/>
        <w:adjustRightInd w:val="0"/>
        <w:snapToGrid w:val="0"/>
        <w:spacing w:line="420" w:lineRule="exact"/>
        <w:ind w:left="1617" w:leftChars="770" w:firstLine="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81824" behindDoc="0" locked="0" layoutInCell="1" allowOverlap="1">
                <wp:simplePos x="0" y="0"/>
                <wp:positionH relativeFrom="column">
                  <wp:posOffset>-114300</wp:posOffset>
                </wp:positionH>
                <wp:positionV relativeFrom="paragraph">
                  <wp:posOffset>18415</wp:posOffset>
                </wp:positionV>
                <wp:extent cx="914400" cy="510540"/>
                <wp:effectExtent l="0" t="0" r="0" b="0"/>
                <wp:wrapNone/>
                <wp:docPr id="321" name="文本框 321"/>
                <wp:cNvGraphicFramePr/>
                <a:graphic xmlns:a="http://schemas.openxmlformats.org/drawingml/2006/main">
                  <a:graphicData uri="http://schemas.microsoft.com/office/word/2010/wordprocessingShape">
                    <wps:wsp>
                      <wps:cNvSpPr txBox="1"/>
                      <wps:spPr>
                        <a:xfrm>
                          <a:off x="0" y="0"/>
                          <a:ext cx="914400" cy="510540"/>
                        </a:xfrm>
                        <a:prstGeom prst="rect">
                          <a:avLst/>
                        </a:prstGeom>
                        <a:noFill/>
                        <a:ln>
                          <a:noFill/>
                        </a:ln>
                        <a:effectLst/>
                      </wps:spPr>
                      <wps:txbx>
                        <w:txbxContent>
                          <w:p w14:paraId="7FBF1772">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现场签证的提出</w:t>
                            </w:r>
                          </w:p>
                          <w:p w14:paraId="4C2938EE">
                            <w:pPr>
                              <w:rPr>
                                <w:rFonts w:cs="Times New Roman"/>
                              </w:rPr>
                            </w:pPr>
                          </w:p>
                        </w:txbxContent>
                      </wps:txbx>
                      <wps:bodyPr wrap="square" upright="1"/>
                    </wps:wsp>
                  </a:graphicData>
                </a:graphic>
              </wp:anchor>
            </w:drawing>
          </mc:Choice>
          <mc:Fallback>
            <w:pict>
              <v:shape id="_x0000_s1026" o:spid="_x0000_s1026" o:spt="202" type="#_x0000_t202" style="position:absolute;left:0pt;margin-left:-9pt;margin-top:1.45pt;height:40.2pt;width:72pt;z-index:251981824;mso-width-relative:page;mso-height-relative:page;" filled="f" stroked="f" coordsize="21600,21600" o:gfxdata="UEsDBAoAAAAAAIdO4kAAAAAAAAAAAAAAAAAEAAAAZHJzL1BLAwQUAAAACACHTuJA4Zeed9UAAAAI&#10;AQAADwAAAGRycy9kb3ducmV2LnhtbE2PzU7DMBCE70i8g7VIvbV2UqjSkE0PoF5B9AeJmxtvk4h4&#10;HcVuE94e9wTH0Yxmvik2k+3ElQbfOkZIFgoEceVMyzXCYb+dZyB80Gx055gQfsjDpry/K3Ru3Mgf&#10;dN2FWsQS9rlGaELocyl91ZDVfuF64uid3WB1iHKopRn0GMttJ1OlVtLqluNCo3t6aaj63l0swvHt&#10;/PX5qN7rV/vUj25Sku1aIs4eEvUMItAU/sJww4/oUEamk7uw8aJDmCdZ/BIQ0jWIm5+uoj4hZMsl&#10;yLKQ/w+Uv1BLAwQUAAAACACHTuJAhAlY0b0BAABtAwAADgAAAGRycy9lMm9Eb2MueG1srVPNjtMw&#10;EL4j8Q6W79RJ6SKImq6EquWCAGnZB3CdSWMp/sHjNukLwBtw4sKd5+pzMHayZVkue+DijOfn83zf&#10;TNbXo+nZEQJqZ2teLgrOwCrXaLuv+d3nmxevOcMobSN7Z6HmJ0B+vXn+bD34Cpauc30DgRGIxWrw&#10;Ne9i9JUQqDowEhfOg6Vg64KRka5hL5ogB0I3vVgWxSsxuND44BQgknc7BfmMGJ4C6NpWK9g6dTBg&#10;44QaoJeRKGGnPfJN7rZtQcWPbYsQWV9zYhrzSY+QvUun2KxltQ/Sd1rNLcintPCIk5Ha0qMXqK2M&#10;kh2C/gfKaBUcujYulDNiIpIVIRZl8Uib2056yFxIavQX0fH/waoPx0+B6abmL5clZ1YaGvn5+7fz&#10;j1/nn19ZcpJEg8eKMm895cbxrRtpce79SM7EfGyDSV/ixChOAp8uAsMYmSLnm3K1KiiiKHRVFler&#10;PADxp9gHjO/AGZaMmgeaX5ZVHt9jpEYo9T4lvWXdje77PMPe/uWgxMkDeQnm6sRj6jdZcdyNM7md&#10;a07EbaBFqDl+OcgAnB180PuO2shcRSqhKeQm5o1JY354J/vhX7L5D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OGXnnfVAAAACAEAAA8AAAAAAAAAAQAgAAAAIgAAAGRycy9kb3ducmV2LnhtbFBLAQIU&#10;ABQAAAAIAIdO4kCECVjRvQEAAG0DAAAOAAAAAAAAAAEAIAAAACQBAABkcnMvZTJvRG9jLnhtbFBL&#10;BQYAAAAABgAGAFkBAABTBQAAAAA=&#10;">
                <v:fill on="f" focussize="0,0"/>
                <v:stroke on="f"/>
                <v:imagedata o:title=""/>
                <o:lock v:ext="edit" aspectratio="f"/>
                <v:textbox>
                  <w:txbxContent>
                    <w:p w14:paraId="7FBF1772">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现场签证的提出</w:t>
                      </w:r>
                    </w:p>
                    <w:p w14:paraId="4C2938EE">
                      <w:pPr>
                        <w:rPr>
                          <w:rFonts w:cs="Times New Roman"/>
                        </w:rPr>
                      </w:pPr>
                    </w:p>
                  </w:txbxContent>
                </v:textbox>
              </v:shape>
            </w:pict>
          </mc:Fallback>
        </mc:AlternateContent>
      </w:r>
      <w:r>
        <w:rPr>
          <w:rFonts w:hint="default" w:ascii="Times New Roman" w:hAnsi="Times New Roman" w:cs="Times New Roman"/>
          <w:color w:val="auto"/>
          <w:sz w:val="22"/>
          <w:szCs w:val="22"/>
          <w:highlight w:val="none"/>
        </w:rPr>
        <w:t>承包人应发包人要求完成合同以外的零星项目、非承包人责任事件等工作的，发包人应通知监理工程师及时以书面形式向承包人发出工作指令，提供所需的相关资料；承包人在收到监理工程师书面通知后，应及时向发包人提出现场签证要求。</w:t>
      </w:r>
    </w:p>
    <w:p w14:paraId="4C2F7F78">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75.3  </w:t>
      </w:r>
      <w:r>
        <w:rPr>
          <w:rFonts w:hint="default" w:ascii="Times New Roman" w:hAnsi="Times New Roman" w:cs="Times New Roman"/>
          <w:b/>
          <w:bCs/>
          <w:color w:val="auto"/>
          <w:sz w:val="22"/>
          <w:szCs w:val="22"/>
          <w:highlight w:val="none"/>
          <w:u w:val="dotted"/>
        </w:rPr>
        <w:t xml:space="preserve">                                                                          </w:t>
      </w:r>
    </w:p>
    <w:p w14:paraId="66EF3383">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82848" behindDoc="0" locked="0" layoutInCell="1" allowOverlap="1">
                <wp:simplePos x="0" y="0"/>
                <wp:positionH relativeFrom="column">
                  <wp:posOffset>-114300</wp:posOffset>
                </wp:positionH>
                <wp:positionV relativeFrom="paragraph">
                  <wp:posOffset>5080</wp:posOffset>
                </wp:positionV>
                <wp:extent cx="914400" cy="510540"/>
                <wp:effectExtent l="0" t="0" r="0" b="0"/>
                <wp:wrapNone/>
                <wp:docPr id="322" name="文本框 322"/>
                <wp:cNvGraphicFramePr/>
                <a:graphic xmlns:a="http://schemas.openxmlformats.org/drawingml/2006/main">
                  <a:graphicData uri="http://schemas.microsoft.com/office/word/2010/wordprocessingShape">
                    <wps:wsp>
                      <wps:cNvSpPr txBox="1"/>
                      <wps:spPr>
                        <a:xfrm>
                          <a:off x="0" y="0"/>
                          <a:ext cx="914400" cy="510540"/>
                        </a:xfrm>
                        <a:prstGeom prst="rect">
                          <a:avLst/>
                        </a:prstGeom>
                        <a:noFill/>
                        <a:ln>
                          <a:noFill/>
                        </a:ln>
                        <a:effectLst/>
                      </wps:spPr>
                      <wps:txbx>
                        <w:txbxContent>
                          <w:p w14:paraId="3656C923">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现场签证报告的确认</w:t>
                            </w:r>
                          </w:p>
                          <w:p w14:paraId="38E667B0">
                            <w:pPr>
                              <w:rPr>
                                <w:rFonts w:cs="Times New Roman"/>
                              </w:rPr>
                            </w:pPr>
                          </w:p>
                        </w:txbxContent>
                      </wps:txbx>
                      <wps:bodyPr wrap="square" upright="1"/>
                    </wps:wsp>
                  </a:graphicData>
                </a:graphic>
              </wp:anchor>
            </w:drawing>
          </mc:Choice>
          <mc:Fallback>
            <w:pict>
              <v:shape id="_x0000_s1026" o:spid="_x0000_s1026" o:spt="202" type="#_x0000_t202" style="position:absolute;left:0pt;margin-left:-9pt;margin-top:0.4pt;height:40.2pt;width:72pt;z-index:251982848;mso-width-relative:page;mso-height-relative:page;" filled="f" stroked="f" coordsize="21600,21600" o:gfxdata="UEsDBAoAAAAAAIdO4kAAAAAAAAAAAAAAAAAEAAAAZHJzL1BLAwQUAAAACACHTuJAlW41/tMAAAAH&#10;AQAADwAAAGRycy9kb3ducmV2LnhtbE2Py07DMBBF90j8gzVI3bV2IqhKyKQLEFsqykNi58bTJCIe&#10;R7HbhL9nuoLl0R3dObfczr5XZxpjFxghWxlQxHVwHTcI72/Pyw2omCw72wcmhB+KsK2ur0pbuDDx&#10;K533qVFSwrGwCG1KQ6F1rFvyNq7CQCzZMYzeJsGx0W60k5T7XufGrLW3HcuH1g702FL9vT95hI+X&#10;49fnrdk1T/5umMJsNPt7jbi4ycwDqERz+juGi76oQyVOh3BiF1WPsMw2siUhyIBLnK8FD4JZDroq&#10;9X//6hdQSwMEFAAAAAgAh07iQNMPbg+9AQAAbQMAAA4AAABkcnMvZTJvRG9jLnhtbK1TS27bMBDd&#10;F8gdCO5jya5TNILlAIWRboq2QJoD0NTIIsBfObQlX6C9QVfddN9z+RwdUoqTppssuqGG83mc92a0&#10;uhmMZgcIqJyt+XxWcgZWukbZXc3vv9xevuUMo7CN0M5CzY+A/GZ98WrV+woWrnO6gcAIxGLV+5p3&#10;MfqqKFB2YATOnAdLwdYFIyJdw65ogugJ3ehiUZZvit6FxgcnAZG8mzHIJ8TwEkDXtkrCxsm9ARtH&#10;1ABaRKKEnfLI17nbtgUZP7UtQmS65sQ05pMeIXubzmK9EtUuCN8pObUgXtLCM05GKEuPnqE2Igq2&#10;D+ofKKNkcOjaOJPOFCORrAixmJfPtLnrhIfMhaRGfxYd/x+s/Hj4HJhqav56seDMCkMjP/34fvr5&#10;+/TrG0tOkqj3WFHmnafcOLxzAy3Ogx/JmZgPbTDpS5wYxUng41lgGCKT5LyeL5clRSSFrubl1TIP&#10;oHgs9gHje3CGJaPmgeaXZRWHDxipEUp9SElvWXertM4z1PYvByWOHshLMFUnHmO/yYrDdpjIbV1z&#10;JG49LULN8eteBOBs74PaddRG5lqkEppCbmLamDTmp3eyn/4l6z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CVbjX+0wAAAAcBAAAPAAAAAAAAAAEAIAAAACIAAABkcnMvZG93bnJldi54bWxQSwECFAAU&#10;AAAACACHTuJA0w9uD70BAABtAwAADgAAAAAAAAABACAAAAAiAQAAZHJzL2Uyb0RvYy54bWxQSwUG&#10;AAAAAAYABgBZAQAAUQUAAAAA&#10;">
                <v:fill on="f" focussize="0,0"/>
                <v:stroke on="f"/>
                <v:imagedata o:title=""/>
                <o:lock v:ext="edit" aspectratio="f"/>
                <v:textbox>
                  <w:txbxContent>
                    <w:p w14:paraId="3656C923">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现场签证报告的确认</w:t>
                      </w:r>
                    </w:p>
                    <w:p w14:paraId="38E667B0">
                      <w:pPr>
                        <w:rPr>
                          <w:rFonts w:cs="Times New Roman"/>
                        </w:rPr>
                      </w:pPr>
                    </w:p>
                  </w:txbxContent>
                </v:textbox>
              </v:shape>
            </w:pict>
          </mc:Fallback>
        </mc:AlternateContent>
      </w:r>
      <w:r>
        <w:rPr>
          <w:rFonts w:hint="default" w:ascii="Times New Roman" w:hAnsi="Times New Roman" w:cs="Times New Roman"/>
          <w:color w:val="auto"/>
          <w:sz w:val="22"/>
          <w:szCs w:val="22"/>
          <w:highlight w:val="none"/>
        </w:rPr>
        <w:t>除专用条款另有约定外，承包人应在收到监理工程师书面通知后的7天内，向发包人提交现场签证报告，并抄送监理工程师、造价工程师。发包人在收到承包人的现场签证报告后，应通知监理工程师、造价工程师对报告内容予以核实，并在收到现场签证报告后的48小时内予以确认或提出修改意见。发包人在收到承包人现场签证报告后的48小时内未确认也未提出修改意见的，视为承包人提交的现场签证报告已被认可。</w:t>
      </w:r>
    </w:p>
    <w:p w14:paraId="49E75892">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75.4  </w:t>
      </w:r>
      <w:r>
        <w:rPr>
          <w:rFonts w:hint="default" w:ascii="Times New Roman" w:hAnsi="Times New Roman" w:cs="Times New Roman"/>
          <w:b/>
          <w:bCs/>
          <w:color w:val="auto"/>
          <w:sz w:val="22"/>
          <w:szCs w:val="22"/>
          <w:highlight w:val="none"/>
          <w:u w:val="dotted"/>
        </w:rPr>
        <w:t xml:space="preserve">                                                                          </w:t>
      </w:r>
    </w:p>
    <w:p w14:paraId="6BDB9F6B">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83872" behindDoc="0" locked="0" layoutInCell="1" allowOverlap="1">
                <wp:simplePos x="0" y="0"/>
                <wp:positionH relativeFrom="column">
                  <wp:posOffset>-114300</wp:posOffset>
                </wp:positionH>
                <wp:positionV relativeFrom="paragraph">
                  <wp:posOffset>34290</wp:posOffset>
                </wp:positionV>
                <wp:extent cx="914400" cy="480060"/>
                <wp:effectExtent l="0" t="0" r="0" b="0"/>
                <wp:wrapNone/>
                <wp:docPr id="323" name="文本框 323"/>
                <wp:cNvGraphicFramePr/>
                <a:graphic xmlns:a="http://schemas.openxmlformats.org/drawingml/2006/main">
                  <a:graphicData uri="http://schemas.microsoft.com/office/word/2010/wordprocessingShape">
                    <wps:wsp>
                      <wps:cNvSpPr txBox="1"/>
                      <wps:spPr>
                        <a:xfrm>
                          <a:off x="0" y="0"/>
                          <a:ext cx="914400" cy="480060"/>
                        </a:xfrm>
                        <a:prstGeom prst="rect">
                          <a:avLst/>
                        </a:prstGeom>
                        <a:noFill/>
                        <a:ln>
                          <a:noFill/>
                        </a:ln>
                        <a:effectLst/>
                      </wps:spPr>
                      <wps:txbx>
                        <w:txbxContent>
                          <w:p w14:paraId="7DD9C188">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现场签证的要求</w:t>
                            </w:r>
                          </w:p>
                          <w:p w14:paraId="4AB4755D">
                            <w:pPr>
                              <w:pStyle w:val="15"/>
                              <w:adjustRightInd w:val="0"/>
                              <w:snapToGrid w:val="0"/>
                              <w:spacing w:line="360" w:lineRule="auto"/>
                              <w:rPr>
                                <w:rFonts w:ascii="Times New Roman" w:hAnsi="Times New Roman" w:eastAsia="楷体_GB2312"/>
                                <w:b/>
                                <w:bCs/>
                                <w:sz w:val="18"/>
                                <w:szCs w:val="18"/>
                              </w:rPr>
                            </w:pPr>
                          </w:p>
                          <w:p w14:paraId="1B223901">
                            <w:pPr>
                              <w:rPr>
                                <w:rFonts w:cs="Times New Roman"/>
                              </w:rPr>
                            </w:pPr>
                          </w:p>
                        </w:txbxContent>
                      </wps:txbx>
                      <wps:bodyPr wrap="square" upright="1"/>
                    </wps:wsp>
                  </a:graphicData>
                </a:graphic>
              </wp:anchor>
            </w:drawing>
          </mc:Choice>
          <mc:Fallback>
            <w:pict>
              <v:shape id="_x0000_s1026" o:spid="_x0000_s1026" o:spt="202" type="#_x0000_t202" style="position:absolute;left:0pt;margin-left:-9pt;margin-top:2.7pt;height:37.8pt;width:72pt;z-index:251983872;mso-width-relative:page;mso-height-relative:page;" filled="f" stroked="f" coordsize="21600,21600" o:gfxdata="UEsDBAoAAAAAAIdO4kAAAAAAAAAAAAAAAAAEAAAAZHJzL1BLAwQUAAAACACHTuJANzO099UAAAAI&#10;AQAADwAAAGRycy9kb3ducmV2LnhtbE2PzU7DMBCE70i8g7VI3Fo7VVuFkE0PIK4gyo/EzY23SUS8&#10;jmK3CW/P9gTH0Yxmvil3s+/VmcbYBUbIlgYUcR1cxw3C+9vTIgcVk2Vn+8CE8EMRdtX1VWkLFyZ+&#10;pfM+NUpKOBYWoU1pKLSOdUvexmUYiMU7htHbJHJstBvtJOW+1ytjttrbjmWhtQM9tFR/708e4eP5&#10;+PW5Ni/No98MU5iNZn+nEW9vMnMPKtGc/sJwwRd0qITpEE7souoRFlkuXxLCZg3q4q+2og8IeWZA&#10;V6X+f6D6BVBLAwQUAAAACACHTuJAZtWfqb0BAABtAwAADgAAAGRycy9lMm9Eb2MueG1srVNLbtsw&#10;EN0X6B0I7mvJjlGkguUAhZFuirZAmgPQ1MgiwF85tCVfoL1BV9lk33P5HBlSipOmmyy6oYbzeZz3&#10;ZrS6GoxmBwionK35fFZyBla6RtldzW+/X7+75AyjsI3QzkLNj4D8av32zar3FSxc53QDgRGIxar3&#10;Ne9i9FVRoOzACJw5D5aCrQtGRLqGXdEE0RO60cWiLN8XvQuND04CInk3Y5BPiOE1gK5tlYSNk3sD&#10;No6oAbSIRAk75ZGvc7dtCzJ+bVuEyHTNiWnMJz1C9jadxXolql0QvlNyakG8poUXnIxQlh49Q21E&#10;FGwf1D9QRsng0LVxJp0pRiJZEWIxL19oc9MJD5kLSY3+LDr+P1j55fAtMNXU/GJxwZkVhkZ++v3r&#10;dPfndP+TJSdJ1HusKPPGU24cPrqBFufRj+RMzIc2mPQlToziJPDxLDAMkUlyfpgvlyVFJIWWl7QM&#10;eQDFU7EPGD+BMywZNQ80vyyrOHzGSI1Q6mNKesu6a6V1nqG2fzkocfRAXoKpOvEY+01WHLbDRG7r&#10;miNx62kRao4/9iIAZ3sf1K6jNjLXIpXQFHIT08akMT+/k/38L1k/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DcztPfVAAAACAEAAA8AAAAAAAAAAQAgAAAAIgAAAGRycy9kb3ducmV2LnhtbFBLAQIU&#10;ABQAAAAIAIdO4kBm1Z+pvQEAAG0DAAAOAAAAAAAAAAEAIAAAACQBAABkcnMvZTJvRG9jLnhtbFBL&#10;BQYAAAAABgAGAFkBAABTBQAAAAA=&#10;">
                <v:fill on="f" focussize="0,0"/>
                <v:stroke on="f"/>
                <v:imagedata o:title=""/>
                <o:lock v:ext="edit" aspectratio="f"/>
                <v:textbox>
                  <w:txbxContent>
                    <w:p w14:paraId="7DD9C188">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现场签证的要求</w:t>
                      </w:r>
                    </w:p>
                    <w:p w14:paraId="4AB4755D">
                      <w:pPr>
                        <w:pStyle w:val="15"/>
                        <w:adjustRightInd w:val="0"/>
                        <w:snapToGrid w:val="0"/>
                        <w:spacing w:line="360" w:lineRule="auto"/>
                        <w:rPr>
                          <w:rFonts w:ascii="Times New Roman" w:hAnsi="Times New Roman" w:eastAsia="楷体_GB2312"/>
                          <w:b/>
                          <w:bCs/>
                          <w:sz w:val="18"/>
                          <w:szCs w:val="18"/>
                        </w:rPr>
                      </w:pPr>
                    </w:p>
                    <w:p w14:paraId="1B223901">
                      <w:pPr>
                        <w:rPr>
                          <w:rFonts w:cs="Times New Roman"/>
                        </w:rPr>
                      </w:pPr>
                    </w:p>
                  </w:txbxContent>
                </v:textbox>
              </v:shape>
            </w:pict>
          </mc:Fallback>
        </mc:AlternateContent>
      </w:r>
      <w:r>
        <w:rPr>
          <w:rFonts w:hint="default" w:ascii="Times New Roman" w:hAnsi="Times New Roman" w:cs="Times New Roman"/>
          <w:color w:val="auto"/>
          <w:sz w:val="22"/>
          <w:szCs w:val="22"/>
          <w:highlight w:val="none"/>
        </w:rPr>
        <w:t>计日工有相应单价或合同中有适用单价的项目，合同双方当事人仅在现场签证报告中列明完成该类项目所需的人工、材料、工程设备和施工设备机械台班的数量。</w:t>
      </w:r>
    </w:p>
    <w:p w14:paraId="2FFE6C56">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计日工没有相应单价或合同中没有适用单价的项目，合同双方当事人应在现场签证报告中列明完成这类项目所需的人工、材料、工程设备和施工设备机械台班的数量和单价。</w:t>
      </w:r>
    </w:p>
    <w:p w14:paraId="7D9F3EE3">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75.5  </w:t>
      </w:r>
      <w:r>
        <w:rPr>
          <w:rFonts w:hint="default" w:ascii="Times New Roman" w:hAnsi="Times New Roman" w:cs="Times New Roman"/>
          <w:b/>
          <w:bCs/>
          <w:color w:val="auto"/>
          <w:sz w:val="22"/>
          <w:szCs w:val="22"/>
          <w:highlight w:val="none"/>
          <w:u w:val="dotted"/>
        </w:rPr>
        <w:t xml:space="preserve">                                                                          </w:t>
      </w:r>
    </w:p>
    <w:p w14:paraId="782A13D9">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84896" behindDoc="0" locked="0" layoutInCell="1" allowOverlap="1">
                <wp:simplePos x="0" y="0"/>
                <wp:positionH relativeFrom="column">
                  <wp:posOffset>-114300</wp:posOffset>
                </wp:positionH>
                <wp:positionV relativeFrom="paragraph">
                  <wp:posOffset>77470</wp:posOffset>
                </wp:positionV>
                <wp:extent cx="914400" cy="480060"/>
                <wp:effectExtent l="0" t="0" r="0" b="0"/>
                <wp:wrapNone/>
                <wp:docPr id="324" name="文本框 324"/>
                <wp:cNvGraphicFramePr/>
                <a:graphic xmlns:a="http://schemas.openxmlformats.org/drawingml/2006/main">
                  <a:graphicData uri="http://schemas.microsoft.com/office/word/2010/wordprocessingShape">
                    <wps:wsp>
                      <wps:cNvSpPr txBox="1"/>
                      <wps:spPr>
                        <a:xfrm>
                          <a:off x="0" y="0"/>
                          <a:ext cx="914400" cy="480060"/>
                        </a:xfrm>
                        <a:prstGeom prst="rect">
                          <a:avLst/>
                        </a:prstGeom>
                        <a:noFill/>
                        <a:ln>
                          <a:noFill/>
                        </a:ln>
                        <a:effectLst/>
                      </wps:spPr>
                      <wps:txbx>
                        <w:txbxContent>
                          <w:p w14:paraId="6F62F843">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现场签证工作的实施</w:t>
                            </w:r>
                          </w:p>
                          <w:p w14:paraId="4A60363E">
                            <w:pPr>
                              <w:pStyle w:val="15"/>
                              <w:adjustRightInd w:val="0"/>
                              <w:snapToGrid w:val="0"/>
                              <w:rPr>
                                <w:rFonts w:ascii="Times New Roman" w:hAnsi="Times New Roman" w:eastAsia="楷体_GB2312"/>
                                <w:b/>
                                <w:bCs/>
                                <w:sz w:val="18"/>
                                <w:szCs w:val="18"/>
                              </w:rPr>
                            </w:pPr>
                          </w:p>
                          <w:p w14:paraId="225181F9">
                            <w:pPr>
                              <w:pStyle w:val="15"/>
                              <w:adjustRightInd w:val="0"/>
                              <w:snapToGrid w:val="0"/>
                              <w:spacing w:line="360" w:lineRule="auto"/>
                              <w:rPr>
                                <w:rFonts w:ascii="Times New Roman" w:hAnsi="Times New Roman" w:eastAsia="楷体_GB2312"/>
                                <w:b/>
                                <w:bCs/>
                                <w:sz w:val="18"/>
                                <w:szCs w:val="18"/>
                              </w:rPr>
                            </w:pPr>
                          </w:p>
                          <w:p w14:paraId="128F83D5">
                            <w:pPr>
                              <w:rPr>
                                <w:rFonts w:cs="Times New Roman"/>
                              </w:rPr>
                            </w:pPr>
                          </w:p>
                        </w:txbxContent>
                      </wps:txbx>
                      <wps:bodyPr wrap="square" upright="1"/>
                    </wps:wsp>
                  </a:graphicData>
                </a:graphic>
              </wp:anchor>
            </w:drawing>
          </mc:Choice>
          <mc:Fallback>
            <w:pict>
              <v:shape id="_x0000_s1026" o:spid="_x0000_s1026" o:spt="202" type="#_x0000_t202" style="position:absolute;left:0pt;margin-left:-9pt;margin-top:6.1pt;height:37.8pt;width:72pt;z-index:251984896;mso-width-relative:page;mso-height-relative:page;" filled="f" stroked="f" coordsize="21600,21600" o:gfxdata="UEsDBAoAAAAAAIdO4kAAAAAAAAAAAAAAAAAEAAAAZHJzL1BLAwQUAAAACACHTuJA2x6enNYAAAAJ&#10;AQAADwAAAGRycy9kb3ducmV2LnhtbE2PwU7DMBBE70j9B2srcWvtRFDSEKeHVlxBtIDUmxtvk4h4&#10;HcVuE/6e7QmOOzOafVNsJteJKw6h9aQhWSoQSJW3LdUaPg4viwxEiIas6Tyhhh8MsClnd4XJrR/p&#10;Ha/7WAsuoZAbDU2MfS5lqBp0Jix9j8Te2Q/ORD6HWtrBjFzuOpkqtZLOtMQfGtPjtsHqe39xGj5f&#10;z8evB/VW79xjP/pJSXJrqfX9PFHPICJO8S8MN3xGh5KZTv5CNohOwyLJeEtkI01B3ALpioWThuwp&#10;A1kW8v+C8hdQSwMEFAAAAAgAh07iQHsgQDK9AQAAbQMAAA4AAABkcnMvZTJvRG9jLnhtbK1TS27b&#10;MBDdF+gdCO5jyY5RpILlAIGRboqmQNoD0NTQIiB+wqEt+QLpDbrqpvuey+fokFLcNN1k0Q01nM/j&#10;vDej1fVgOnaAgNrZms9nJWdgpWu03dX865fbiyvOMArbiM5ZqPkRkF+v375Z9b6ChWtd10BgBGKx&#10;6n3N2xh9VRQoWzACZ86DpaBywYhI17ArmiB6QjddsSjLd0XvQuODk4BI3s0Y5BNieA2gU0pL2Di5&#10;N2DjiBqgE5EoYas98nXuVimQ8U4phMi6mhPTmE96hOxtOov1SlS7IHyr5dSCeE0LLzgZoS09eoba&#10;iCjYPuh/oIyWwaFTcSadKUYiWRFiMS9faHPfCg+ZC0mN/iw6/j9Y+enwOTDd1PxyseTMCkMjP33/&#10;dvrx6/TzkSUnSdR7rCjz3lNuHG7cQIvz5EdyJuaDCiZ9iROjOAl8PAsMQ2SSnO/ny2VJEUmh5RUt&#10;Qx5A8afYB4wfwBmWjJoHml+WVRw+YqRGKPUpJb1l3a3uujzDzv7loMTRA3kJpurEY+w3WXHYDhO5&#10;rWuOxK2nRag5PuxFAM72PuhdS21krkUqoSnkJqaNSWN+fif7+V+y/g1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bHp6c1gAAAAkBAAAPAAAAAAAAAAEAIAAAACIAAABkcnMvZG93bnJldi54bWxQSwEC&#10;FAAUAAAACACHTuJAeyBAMr0BAABtAwAADgAAAAAAAAABACAAAAAlAQAAZHJzL2Uyb0RvYy54bWxQ&#10;SwUGAAAAAAYABgBZAQAAVAUAAAAA&#10;">
                <v:fill on="f" focussize="0,0"/>
                <v:stroke on="f"/>
                <v:imagedata o:title=""/>
                <o:lock v:ext="edit" aspectratio="f"/>
                <v:textbox>
                  <w:txbxContent>
                    <w:p w14:paraId="6F62F843">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现场签证工作的实施</w:t>
                      </w:r>
                    </w:p>
                    <w:p w14:paraId="4A60363E">
                      <w:pPr>
                        <w:pStyle w:val="15"/>
                        <w:adjustRightInd w:val="0"/>
                        <w:snapToGrid w:val="0"/>
                        <w:rPr>
                          <w:rFonts w:ascii="Times New Roman" w:hAnsi="Times New Roman" w:eastAsia="楷体_GB2312"/>
                          <w:b/>
                          <w:bCs/>
                          <w:sz w:val="18"/>
                          <w:szCs w:val="18"/>
                        </w:rPr>
                      </w:pPr>
                    </w:p>
                    <w:p w14:paraId="225181F9">
                      <w:pPr>
                        <w:pStyle w:val="15"/>
                        <w:adjustRightInd w:val="0"/>
                        <w:snapToGrid w:val="0"/>
                        <w:spacing w:line="360" w:lineRule="auto"/>
                        <w:rPr>
                          <w:rFonts w:ascii="Times New Roman" w:hAnsi="Times New Roman" w:eastAsia="楷体_GB2312"/>
                          <w:b/>
                          <w:bCs/>
                          <w:sz w:val="18"/>
                          <w:szCs w:val="18"/>
                        </w:rPr>
                      </w:pPr>
                    </w:p>
                    <w:p w14:paraId="128F83D5">
                      <w:pPr>
                        <w:rPr>
                          <w:rFonts w:cs="Times New Roman"/>
                        </w:rPr>
                      </w:pPr>
                    </w:p>
                  </w:txbxContent>
                </v:textbox>
              </v:shape>
            </w:pict>
          </mc:Fallback>
        </mc:AlternateContent>
      </w:r>
      <w:r>
        <w:rPr>
          <w:rFonts w:hint="default" w:ascii="Times New Roman" w:hAnsi="Times New Roman" w:cs="Times New Roman"/>
          <w:color w:val="auto"/>
          <w:sz w:val="22"/>
          <w:szCs w:val="22"/>
          <w:highlight w:val="none"/>
        </w:rPr>
        <w:t>承包人应在发包人确认现场签证报告后的48小时内，按照监理工程师发出的工作指令及时组织实施相关工作。否则，由此引起的损失和（或）延误的工期由承包人承担。</w:t>
      </w:r>
    </w:p>
    <w:p w14:paraId="6EDCF359">
      <w:pPr>
        <w:pStyle w:val="15"/>
        <w:adjustRightInd w:val="0"/>
        <w:snapToGrid w:val="0"/>
        <w:spacing w:line="420" w:lineRule="exact"/>
        <w:rPr>
          <w:rFonts w:hint="default" w:ascii="Times New Roman" w:hAnsi="Times New Roman" w:cs="Times New Roman"/>
          <w:b/>
          <w:bCs/>
          <w:color w:val="auto"/>
          <w:sz w:val="22"/>
          <w:szCs w:val="22"/>
          <w:highlight w:val="none"/>
          <w:u w:val="dotted"/>
        </w:rPr>
      </w:pPr>
      <w:r>
        <w:rPr>
          <w:rFonts w:hint="default" w:ascii="Times New Roman" w:hAnsi="Times New Roman" w:cs="Times New Roman"/>
          <w:b/>
          <w:bCs/>
          <w:color w:val="auto"/>
          <w:sz w:val="22"/>
          <w:szCs w:val="22"/>
          <w:highlight w:val="none"/>
        </w:rPr>
        <w:t xml:space="preserve">75.6  </w:t>
      </w:r>
      <w:r>
        <w:rPr>
          <w:rFonts w:hint="default" w:ascii="Times New Roman" w:hAnsi="Times New Roman" w:cs="Times New Roman"/>
          <w:b/>
          <w:bCs/>
          <w:color w:val="auto"/>
          <w:sz w:val="22"/>
          <w:szCs w:val="22"/>
          <w:highlight w:val="none"/>
          <w:u w:val="dotted"/>
        </w:rPr>
        <w:t xml:space="preserve">                                                                           </w:t>
      </w:r>
    </w:p>
    <w:p w14:paraId="32AD03FB">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85920" behindDoc="0" locked="0" layoutInCell="1" allowOverlap="1">
                <wp:simplePos x="0" y="0"/>
                <wp:positionH relativeFrom="column">
                  <wp:posOffset>-114300</wp:posOffset>
                </wp:positionH>
                <wp:positionV relativeFrom="paragraph">
                  <wp:posOffset>77470</wp:posOffset>
                </wp:positionV>
                <wp:extent cx="914400" cy="480060"/>
                <wp:effectExtent l="0" t="0" r="0" b="0"/>
                <wp:wrapNone/>
                <wp:docPr id="325" name="文本框 325"/>
                <wp:cNvGraphicFramePr/>
                <a:graphic xmlns:a="http://schemas.openxmlformats.org/drawingml/2006/main">
                  <a:graphicData uri="http://schemas.microsoft.com/office/word/2010/wordprocessingShape">
                    <wps:wsp>
                      <wps:cNvSpPr txBox="1"/>
                      <wps:spPr>
                        <a:xfrm>
                          <a:off x="0" y="0"/>
                          <a:ext cx="914400" cy="480060"/>
                        </a:xfrm>
                        <a:prstGeom prst="rect">
                          <a:avLst/>
                        </a:prstGeom>
                        <a:noFill/>
                        <a:ln>
                          <a:noFill/>
                        </a:ln>
                        <a:effectLst/>
                      </wps:spPr>
                      <wps:txbx>
                        <w:txbxContent>
                          <w:p w14:paraId="48A3C389">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现场签证的限制</w:t>
                            </w:r>
                          </w:p>
                          <w:p w14:paraId="4C81AFA9">
                            <w:pPr>
                              <w:pStyle w:val="10"/>
                              <w:spacing w:line="200" w:lineRule="exact"/>
                              <w:rPr>
                                <w:rFonts w:ascii="楷体_GB2312" w:hAnsi="宋体" w:eastAsia="楷体_GB2312"/>
                                <w:b/>
                                <w:bCs/>
                                <w:color w:val="000000"/>
                                <w:sz w:val="18"/>
                                <w:szCs w:val="18"/>
                              </w:rPr>
                            </w:pPr>
                          </w:p>
                          <w:p w14:paraId="1C92132C">
                            <w:pPr>
                              <w:pStyle w:val="15"/>
                              <w:adjustRightInd w:val="0"/>
                              <w:snapToGrid w:val="0"/>
                              <w:spacing w:line="360" w:lineRule="auto"/>
                              <w:rPr>
                                <w:rFonts w:ascii="Times New Roman" w:hAnsi="Times New Roman" w:eastAsia="楷体_GB2312"/>
                                <w:b/>
                                <w:bCs/>
                                <w:sz w:val="18"/>
                                <w:szCs w:val="18"/>
                              </w:rPr>
                            </w:pPr>
                          </w:p>
                          <w:p w14:paraId="091D8369">
                            <w:pPr>
                              <w:rPr>
                                <w:rFonts w:cs="Times New Roman"/>
                              </w:rPr>
                            </w:pPr>
                          </w:p>
                        </w:txbxContent>
                      </wps:txbx>
                      <wps:bodyPr wrap="square" upright="1"/>
                    </wps:wsp>
                  </a:graphicData>
                </a:graphic>
              </wp:anchor>
            </w:drawing>
          </mc:Choice>
          <mc:Fallback>
            <w:pict>
              <v:shape id="_x0000_s1026" o:spid="_x0000_s1026" o:spt="202" type="#_x0000_t202" style="position:absolute;left:0pt;margin-left:-9pt;margin-top:6.1pt;height:37.8pt;width:72pt;z-index:251985920;mso-width-relative:page;mso-height-relative:page;" filled="f" stroked="f" coordsize="21600,21600" o:gfxdata="UEsDBAoAAAAAAIdO4kAAAAAAAAAAAAAAAAAEAAAAZHJzL1BLAwQUAAAACACHTuJA2x6enNYAAAAJ&#10;AQAADwAAAGRycy9kb3ducmV2LnhtbE2PwU7DMBBE70j9B2srcWvtRFDSEKeHVlxBtIDUmxtvk4h4&#10;HcVuE/6e7QmOOzOafVNsJteJKw6h9aQhWSoQSJW3LdUaPg4viwxEiIas6Tyhhh8MsClnd4XJrR/p&#10;Ha/7WAsuoZAbDU2MfS5lqBp0Jix9j8Te2Q/ORD6HWtrBjFzuOpkqtZLOtMQfGtPjtsHqe39xGj5f&#10;z8evB/VW79xjP/pJSXJrqfX9PFHPICJO8S8MN3xGh5KZTv5CNohOwyLJeEtkI01B3ALpioWThuwp&#10;A1kW8v+C8hdQSwMEFAAAAAgAh07iQInfgs69AQAAbQMAAA4AAABkcnMvZTJvRG9jLnhtbK1TS27b&#10;MBDdF8gdCO5jya5bJILlAIWRboq2QJoD0NTIIsBfObQlX6C9QVfddN9z+RwdUoqTppssuqGG83mc&#10;92a0uhmMZgcIqJyt+XxWcgZWukbZXc3vv9xeXnGGUdhGaGeh5kdAfrO+eLXqfQUL1zndQGAEYrHq&#10;fc27GH1VFCg7MAJnzoOlYOuCEZGuYVc0QfSEbnSxKMu3Re9C44OTgEjezRjkE2J4CaBrWyVh4+Te&#10;gI0jagAtIlHCTnnk69xt24KMn9oWITJdc2Ia80mPkL1NZ7FeiWoXhO+UnFoQL2nhGScjlKVHz1Ab&#10;EQXbB/UPlFEyOHRtnElnipFIVoRYzMtn2tx1wkPmQlKjP4uO/w9Wfjx8Dkw1NX+9eMOZFYZGfvrx&#10;/fTz9+nXN5acJFHvsaLMO0+5cXjnBlqcBz+SMzEf2mDSlzgxipPAx7PAMEQmyXk9Xy5LikgKLa9o&#10;GfIAisdiHzC+B2dYMmoeaH5ZVnH4gJEaodSHlPSWdbdK6zxDbf9yUOLogbwEU3XiMfabrDhsh4nc&#10;1jVH4tbTItQcv+5FAM72PqhdR21krkUqoSnkJqaNSWN+eif76V+y/g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bHp6c1gAAAAkBAAAPAAAAAAAAAAEAIAAAACIAAABkcnMvZG93bnJldi54bWxQSwEC&#10;FAAUAAAACACHTuJAid+Czr0BAABtAwAADgAAAAAAAAABACAAAAAlAQAAZHJzL2Uyb0RvYy54bWxQ&#10;SwUGAAAAAAYABgBZAQAAVAUAAAAA&#10;">
                <v:fill on="f" focussize="0,0"/>
                <v:stroke on="f"/>
                <v:imagedata o:title=""/>
                <o:lock v:ext="edit" aspectratio="f"/>
                <v:textbox>
                  <w:txbxContent>
                    <w:p w14:paraId="48A3C389">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现场签证的限制</w:t>
                      </w:r>
                    </w:p>
                    <w:p w14:paraId="4C81AFA9">
                      <w:pPr>
                        <w:pStyle w:val="10"/>
                        <w:spacing w:line="200" w:lineRule="exact"/>
                        <w:rPr>
                          <w:rFonts w:ascii="楷体_GB2312" w:hAnsi="宋体" w:eastAsia="楷体_GB2312"/>
                          <w:b/>
                          <w:bCs/>
                          <w:color w:val="000000"/>
                          <w:sz w:val="18"/>
                          <w:szCs w:val="18"/>
                        </w:rPr>
                      </w:pPr>
                    </w:p>
                    <w:p w14:paraId="1C92132C">
                      <w:pPr>
                        <w:pStyle w:val="15"/>
                        <w:adjustRightInd w:val="0"/>
                        <w:snapToGrid w:val="0"/>
                        <w:spacing w:line="360" w:lineRule="auto"/>
                        <w:rPr>
                          <w:rFonts w:ascii="Times New Roman" w:hAnsi="Times New Roman" w:eastAsia="楷体_GB2312"/>
                          <w:b/>
                          <w:bCs/>
                          <w:sz w:val="18"/>
                          <w:szCs w:val="18"/>
                        </w:rPr>
                      </w:pPr>
                    </w:p>
                    <w:p w14:paraId="091D8369">
                      <w:pPr>
                        <w:rPr>
                          <w:rFonts w:cs="Times New Roman"/>
                        </w:rPr>
                      </w:pPr>
                    </w:p>
                  </w:txbxContent>
                </v:textbox>
              </v:shape>
            </w:pict>
          </mc:Fallback>
        </mc:AlternateContent>
      </w:r>
      <w:r>
        <w:rPr>
          <w:rFonts w:hint="default" w:ascii="Times New Roman" w:hAnsi="Times New Roman" w:cs="Times New Roman"/>
          <w:color w:val="auto"/>
          <w:sz w:val="22"/>
          <w:szCs w:val="22"/>
          <w:highlight w:val="none"/>
        </w:rPr>
        <w:t>合同工程发生现场签证事件，未经发包人签证、确认，承包人便擅自实施相关工作的，除非征得发包人同意，否则发生的费用由承包人承担。</w:t>
      </w:r>
    </w:p>
    <w:p w14:paraId="2B5810BB">
      <w:pPr>
        <w:pStyle w:val="15"/>
        <w:adjustRightInd w:val="0"/>
        <w:snapToGrid w:val="0"/>
        <w:spacing w:line="420" w:lineRule="exact"/>
        <w:rPr>
          <w:rFonts w:hint="default" w:ascii="Times New Roman" w:hAnsi="Times New Roman" w:cs="Times New Roman"/>
          <w:b/>
          <w:bCs/>
          <w:color w:val="auto"/>
          <w:sz w:val="22"/>
          <w:szCs w:val="22"/>
          <w:highlight w:val="none"/>
          <w:u w:val="dotted"/>
        </w:rPr>
      </w:pPr>
      <w:r>
        <w:rPr>
          <w:rFonts w:hint="default" w:ascii="Times New Roman" w:hAnsi="Times New Roman" w:cs="Times New Roman"/>
          <w:b/>
          <w:bCs/>
          <w:color w:val="auto"/>
          <w:sz w:val="22"/>
          <w:szCs w:val="22"/>
          <w:highlight w:val="none"/>
        </w:rPr>
        <w:t xml:space="preserve">75.7  </w:t>
      </w:r>
      <w:r>
        <w:rPr>
          <w:rFonts w:hint="default" w:ascii="Times New Roman" w:hAnsi="Times New Roman" w:cs="Times New Roman"/>
          <w:b/>
          <w:bCs/>
          <w:color w:val="auto"/>
          <w:sz w:val="22"/>
          <w:szCs w:val="22"/>
          <w:highlight w:val="none"/>
          <w:u w:val="dotted"/>
        </w:rPr>
        <w:t xml:space="preserve">                                                                           </w:t>
      </w:r>
    </w:p>
    <w:p w14:paraId="3445C950">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86944" behindDoc="0" locked="0" layoutInCell="1" allowOverlap="1">
                <wp:simplePos x="0" y="0"/>
                <wp:positionH relativeFrom="column">
                  <wp:posOffset>-114300</wp:posOffset>
                </wp:positionH>
                <wp:positionV relativeFrom="paragraph">
                  <wp:posOffset>77470</wp:posOffset>
                </wp:positionV>
                <wp:extent cx="914400" cy="480060"/>
                <wp:effectExtent l="0" t="0" r="0" b="0"/>
                <wp:wrapNone/>
                <wp:docPr id="326" name="文本框 326"/>
                <wp:cNvGraphicFramePr/>
                <a:graphic xmlns:a="http://schemas.openxmlformats.org/drawingml/2006/main">
                  <a:graphicData uri="http://schemas.microsoft.com/office/word/2010/wordprocessingShape">
                    <wps:wsp>
                      <wps:cNvSpPr txBox="1"/>
                      <wps:spPr>
                        <a:xfrm>
                          <a:off x="0" y="0"/>
                          <a:ext cx="914400" cy="480060"/>
                        </a:xfrm>
                        <a:prstGeom prst="rect">
                          <a:avLst/>
                        </a:prstGeom>
                        <a:noFill/>
                        <a:ln>
                          <a:noFill/>
                        </a:ln>
                        <a:effectLst/>
                      </wps:spPr>
                      <wps:txbx>
                        <w:txbxContent>
                          <w:p w14:paraId="5C726F08">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调整价款的确认与支付</w:t>
                            </w:r>
                          </w:p>
                          <w:p w14:paraId="01DFD99B">
                            <w:pPr>
                              <w:pStyle w:val="15"/>
                              <w:adjustRightInd w:val="0"/>
                              <w:snapToGrid w:val="0"/>
                              <w:rPr>
                                <w:rFonts w:ascii="Times New Roman" w:hAnsi="Times New Roman" w:eastAsia="楷体_GB2312"/>
                                <w:b/>
                                <w:bCs/>
                                <w:sz w:val="18"/>
                                <w:szCs w:val="18"/>
                              </w:rPr>
                            </w:pPr>
                          </w:p>
                          <w:p w14:paraId="41DB7994">
                            <w:pPr>
                              <w:pStyle w:val="15"/>
                              <w:adjustRightInd w:val="0"/>
                              <w:snapToGrid w:val="0"/>
                              <w:spacing w:line="360" w:lineRule="auto"/>
                              <w:rPr>
                                <w:rFonts w:ascii="Times New Roman" w:hAnsi="Times New Roman" w:eastAsia="楷体_GB2312"/>
                                <w:b/>
                                <w:bCs/>
                                <w:sz w:val="18"/>
                                <w:szCs w:val="18"/>
                              </w:rPr>
                            </w:pPr>
                          </w:p>
                          <w:p w14:paraId="65761DEE">
                            <w:pPr>
                              <w:rPr>
                                <w:rFonts w:cs="Times New Roman"/>
                              </w:rPr>
                            </w:pPr>
                          </w:p>
                        </w:txbxContent>
                      </wps:txbx>
                      <wps:bodyPr wrap="square" upright="1"/>
                    </wps:wsp>
                  </a:graphicData>
                </a:graphic>
              </wp:anchor>
            </w:drawing>
          </mc:Choice>
          <mc:Fallback>
            <w:pict>
              <v:shape id="_x0000_s1026" o:spid="_x0000_s1026" o:spt="202" type="#_x0000_t202" style="position:absolute;left:0pt;margin-left:-9pt;margin-top:6.1pt;height:37.8pt;width:72pt;z-index:251986944;mso-width-relative:page;mso-height-relative:page;" filled="f" stroked="f" coordsize="21600,21600" o:gfxdata="UEsDBAoAAAAAAIdO4kAAAAAAAAAAAAAAAAAEAAAAZHJzL1BLAwQUAAAACACHTuJA2x6enNYAAAAJ&#10;AQAADwAAAGRycy9kb3ducmV2LnhtbE2PwU7DMBBE70j9B2srcWvtRFDSEKeHVlxBtIDUmxtvk4h4&#10;HcVuE/6e7QmOOzOafVNsJteJKw6h9aQhWSoQSJW3LdUaPg4viwxEiIas6Tyhhh8MsClnd4XJrR/p&#10;Ha/7WAsuoZAbDU2MfS5lqBp0Jix9j8Te2Q/ORD6HWtrBjFzuOpkqtZLOtMQfGtPjtsHqe39xGj5f&#10;z8evB/VW79xjP/pJSXJrqfX9PFHPICJO8S8MN3xGh5KZTv5CNohOwyLJeEtkI01B3ALpioWThuwp&#10;A1kW8v+C8hdQSwMEFAAAAAgAh07iQN7ZtBC8AQAAbQMAAA4AAABkcnMvZTJvRG9jLnhtbK1TS27b&#10;MBDdF8gdCO5jya4RpILlAIWRboq2QNoD0NTQIiB+yqEt+QLtDbrqpvuey+fokFKc3yaLbqjhfB7n&#10;vRmtbgbTsQME1M7WfD4rOQMrXaPtrubfvt5eXnOGUdhGdM5CzY+A/GZ98WbV+woWrnVdA4ERiMWq&#10;9zVvY/RVUaBswQicOQ+WgsoFIyJdw65ogugJ3XTFoiyvit6FxgcnAZG8mzHIJ8TwGkCnlJawcXJv&#10;wMYRNUAnIlHCVnvk69ytUiDjZ6UQIutqTkxjPukRsrfpLNYrUe2C8K2WUwviNS0842SEtvToGWoj&#10;omD7oF9AGS2DQ6fiTDpTjESyIsRiXj7T5q4VHjIXkhr9WXT8f7Dy0+FLYLqp+dvFFWdWGBr56dfP&#10;0++/pz8/WHKSRL3HijLvPOXG4b0baHHu/UjOxHxQwaQvcWIUJ4GPZ4FhiEyS8918uSwpIim0vKZl&#10;yAMoHop9wPgBnGHJqHmg+WVZxeEjRmqEUu9T0lvW3equyzPs7BMHJY4eyEswVSceY7/JisN2mMht&#10;XXMkbj0tQs3x+14E4Gzvg9611EbmWqQSmkJuYtqYNObHd7If/yXr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NsenpzWAAAACQEAAA8AAAAAAAAAAQAgAAAAIgAAAGRycy9kb3ducmV2LnhtbFBLAQIU&#10;ABQAAAAIAIdO4kDe2bQQvAEAAG0DAAAOAAAAAAAAAAEAIAAAACUBAABkcnMvZTJvRG9jLnhtbFBL&#10;BQYAAAAABgAGAFkBAABTBQAAAAA=&#10;">
                <v:fill on="f" focussize="0,0"/>
                <v:stroke on="f"/>
                <v:imagedata o:title=""/>
                <o:lock v:ext="edit" aspectratio="f"/>
                <v:textbox>
                  <w:txbxContent>
                    <w:p w14:paraId="5C726F08">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调整价款的确认与支付</w:t>
                      </w:r>
                    </w:p>
                    <w:p w14:paraId="01DFD99B">
                      <w:pPr>
                        <w:pStyle w:val="15"/>
                        <w:adjustRightInd w:val="0"/>
                        <w:snapToGrid w:val="0"/>
                        <w:rPr>
                          <w:rFonts w:ascii="Times New Roman" w:hAnsi="Times New Roman" w:eastAsia="楷体_GB2312"/>
                          <w:b/>
                          <w:bCs/>
                          <w:sz w:val="18"/>
                          <w:szCs w:val="18"/>
                        </w:rPr>
                      </w:pPr>
                    </w:p>
                    <w:p w14:paraId="41DB7994">
                      <w:pPr>
                        <w:pStyle w:val="15"/>
                        <w:adjustRightInd w:val="0"/>
                        <w:snapToGrid w:val="0"/>
                        <w:spacing w:line="360" w:lineRule="auto"/>
                        <w:rPr>
                          <w:rFonts w:ascii="Times New Roman" w:hAnsi="Times New Roman" w:eastAsia="楷体_GB2312"/>
                          <w:b/>
                          <w:bCs/>
                          <w:sz w:val="18"/>
                          <w:szCs w:val="18"/>
                        </w:rPr>
                      </w:pPr>
                    </w:p>
                    <w:p w14:paraId="65761DEE">
                      <w:pPr>
                        <w:rPr>
                          <w:rFonts w:cs="Times New Roman"/>
                        </w:rPr>
                      </w:pPr>
                    </w:p>
                  </w:txbxContent>
                </v:textbox>
              </v:shape>
            </w:pict>
          </mc:Fallback>
        </mc:AlternateContent>
      </w:r>
      <w:r>
        <w:rPr>
          <w:rFonts w:hint="default" w:ascii="Times New Roman" w:hAnsi="Times New Roman" w:cs="Times New Roman"/>
          <w:color w:val="auto"/>
          <w:sz w:val="22"/>
          <w:szCs w:val="22"/>
          <w:highlight w:val="none"/>
        </w:rPr>
        <w:t>现场签证工作完成后的48小时内，合同双方当事人应确认由此引起调整的合同价款，并作为追加合同价款，与工程进度款同期支付。</w:t>
      </w:r>
    </w:p>
    <w:p w14:paraId="0BFB0556">
      <w:pPr>
        <w:pStyle w:val="15"/>
        <w:adjustRightInd w:val="0"/>
        <w:snapToGrid w:val="0"/>
        <w:spacing w:line="420" w:lineRule="exact"/>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2729E2F0">
      <w:pPr>
        <w:pStyle w:val="15"/>
        <w:tabs>
          <w:tab w:val="left" w:pos="540"/>
        </w:tabs>
        <w:adjustRightInd w:val="0"/>
        <w:snapToGrid w:val="0"/>
        <w:spacing w:before="240" w:beforeLines="100" w:line="420" w:lineRule="exact"/>
        <w:outlineLvl w:val="2"/>
        <w:rPr>
          <w:rFonts w:hint="default" w:ascii="Times New Roman" w:hAnsi="Times New Roman" w:cs="Times New Roman"/>
          <w:b/>
          <w:bCs/>
          <w:color w:val="auto"/>
          <w:sz w:val="22"/>
          <w:szCs w:val="22"/>
          <w:highlight w:val="none"/>
        </w:rPr>
      </w:pPr>
      <w:bookmarkStart w:id="253" w:name="_Toc469384060"/>
      <w:bookmarkStart w:id="254" w:name="_Toc16963"/>
      <w:r>
        <w:rPr>
          <w:rFonts w:hint="default" w:ascii="Times New Roman" w:hAnsi="Times New Roman" w:cs="Times New Roman"/>
          <w:b/>
          <w:bCs/>
          <w:color w:val="auto"/>
          <w:sz w:val="22"/>
          <w:szCs w:val="22"/>
          <w:highlight w:val="none"/>
        </w:rPr>
        <w:t>★76  物价涨落事件</w:t>
      </w:r>
      <w:bookmarkEnd w:id="253"/>
      <w:bookmarkEnd w:id="254"/>
    </w:p>
    <w:p w14:paraId="137BF2D3">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87968" behindDoc="0" locked="0" layoutInCell="1" allowOverlap="1">
                <wp:simplePos x="0" y="0"/>
                <wp:positionH relativeFrom="column">
                  <wp:posOffset>-114300</wp:posOffset>
                </wp:positionH>
                <wp:positionV relativeFrom="paragraph">
                  <wp:posOffset>274320</wp:posOffset>
                </wp:positionV>
                <wp:extent cx="914400" cy="591185"/>
                <wp:effectExtent l="0" t="0" r="0" b="0"/>
                <wp:wrapNone/>
                <wp:docPr id="327" name="文本框 327"/>
                <wp:cNvGraphicFramePr/>
                <a:graphic xmlns:a="http://schemas.openxmlformats.org/drawingml/2006/main">
                  <a:graphicData uri="http://schemas.microsoft.com/office/word/2010/wordprocessingShape">
                    <wps:wsp>
                      <wps:cNvSpPr txBox="1"/>
                      <wps:spPr>
                        <a:xfrm>
                          <a:off x="0" y="0"/>
                          <a:ext cx="914400" cy="591185"/>
                        </a:xfrm>
                        <a:prstGeom prst="rect">
                          <a:avLst/>
                        </a:prstGeom>
                        <a:noFill/>
                        <a:ln>
                          <a:noFill/>
                        </a:ln>
                        <a:effectLst/>
                      </wps:spPr>
                      <wps:txbx>
                        <w:txbxContent>
                          <w:p w14:paraId="7AD2D1C4">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物价涨落的价款调整</w:t>
                            </w:r>
                          </w:p>
                        </w:txbxContent>
                      </wps:txbx>
                      <wps:bodyPr wrap="square" upright="1"/>
                    </wps:wsp>
                  </a:graphicData>
                </a:graphic>
              </wp:anchor>
            </w:drawing>
          </mc:Choice>
          <mc:Fallback>
            <w:pict>
              <v:shape id="_x0000_s1026" o:spid="_x0000_s1026" o:spt="202" type="#_x0000_t202" style="position:absolute;left:0pt;margin-left:-9pt;margin-top:21.6pt;height:46.55pt;width:72pt;z-index:251987968;mso-width-relative:page;mso-height-relative:page;" filled="f" stroked="f" coordsize="21600,21600" o:gfxdata="UEsDBAoAAAAAAIdO4kAAAAAAAAAAAAAAAAAEAAAAZHJzL1BLAwQUAAAACACHTuJA2zKqLdcAAAAK&#10;AQAADwAAAGRycy9kb3ducmV2LnhtbE2PQU/DMAyF70j8h8hI3Lak7ai2rukOIK4gNkDiljVeW9E4&#10;VZOt5d/jneBm+z09f6/cza4XFxxD50lDslQgkGpvO2o0vB+eF2sQIRqypveEGn4wwK66vSlNYf1E&#10;b3jZx0ZwCIXCaGhjHAopQ92iM2HpByTWTn50JvI6NtKOZuJw18tUqVw60xF/aM2Ajy3W3/uz0/Dx&#10;cvr6XKnX5sk9DJOflSS3kVrf3yVqCyLiHP/McMVndKiY6ejPZIPoNSySNXeJGlZZCuJqSHM+HHnI&#10;8gxkVcr/FapfUEsDBBQAAAAIAIdO4kBqPtIyvQEAAG0DAAAOAAAAZHJzL2Uyb0RvYy54bWytU82O&#10;0zAQviPxDpbvNEnZhd2o6UqoWi4IkBYewHXGjSX/4XGb9AXgDThx4c5z9TkYJ9myLJc9cHHG8/N5&#10;vm8mq5vBGnaAiNq7hleLkjNw0rfa7Rr++dPtiyvOMAnXCuMdNPwIyG/Wz5+t+lDD0nfetBAZgTis&#10;+9DwLqVQFwXKDqzAhQ/gKKh8tCLRNe6KNoqe0K0plmX5quh9bEP0EhDJu5mCfEaMTwH0SmkJGy/3&#10;FlyaUCMYkYgSdjogX4/dKgUyfVAKITHTcGKaxpMeIXubz2K9EvUuitBpObcgntLCI05WaEePnqE2&#10;Igm2j/ofKKtl9OhVWkhvi4nIqAixqMpH2tx1IsDIhaTGcBYd/x+sfH/4GJluG/5y+ZozJyyN/PT9&#10;2+nHr9PPryw7SaI+YE2Zd4Fy0/DGD7Q4934kZ2Y+qGjzlzgxipPAx7PAMCQmyXldXVyUFJEUuryu&#10;qqvLjFL8KQ4R01vwlmWj4ZHmN8oqDu8wTan3Kfkt52+1MeMMjfvLQZiTB8YlmKszj6nfbKVhO8zk&#10;tr49EreeFqHh+GUvInC2D1HvOmpj5FrkEprC2O+8MXnMD+9kP/xL1r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2zKqLdcAAAAKAQAADwAAAAAAAAABACAAAAAiAAAAZHJzL2Rvd25yZXYueG1sUEsB&#10;AhQAFAAAAAgAh07iQGo+0jK9AQAAbQMAAA4AAAAAAAAAAQAgAAAAJgEAAGRycy9lMm9Eb2MueG1s&#10;UEsFBgAAAAAGAAYAWQEAAFUFAAAAAA==&#10;">
                <v:fill on="f" focussize="0,0"/>
                <v:stroke on="f"/>
                <v:imagedata o:title=""/>
                <o:lock v:ext="edit" aspectratio="f"/>
                <v:textbox>
                  <w:txbxContent>
                    <w:p w14:paraId="7AD2D1C4">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物价涨落的价款调整</w:t>
                      </w:r>
                    </w:p>
                  </w:txbxContent>
                </v:textbox>
              </v:shape>
            </w:pict>
          </mc:Fallback>
        </mc:AlternateContent>
      </w:r>
      <w:r>
        <w:rPr>
          <w:rFonts w:hint="default" w:ascii="Times New Roman" w:hAnsi="Times New Roman" w:cs="Times New Roman"/>
          <w:b/>
          <w:bCs/>
          <w:color w:val="auto"/>
          <w:sz w:val="22"/>
          <w:szCs w:val="22"/>
          <w:highlight w:val="none"/>
        </w:rPr>
        <w:t xml:space="preserve">76.1      </w:t>
      </w:r>
    </w:p>
    <w:p w14:paraId="21F66EC0">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合同履行期间，除专用合同条款另有约定外，市场价格波动超过合同当事人约定的范围，合同价格应当调整。合同当事人可以在专用条款中约定按通用条款76.3款选择一种方式对合同价格进行调整。</w:t>
      </w:r>
    </w:p>
    <w:p w14:paraId="0D65AF92">
      <w:pPr>
        <w:pStyle w:val="15"/>
        <w:tabs>
          <w:tab w:val="left" w:pos="540"/>
        </w:tabs>
        <w:adjustRightInd w:val="0"/>
        <w:snapToGrid w:val="0"/>
        <w:spacing w:line="420" w:lineRule="exact"/>
        <w:rPr>
          <w:rFonts w:hint="default" w:ascii="Times New Roman" w:hAnsi="Times New Roman" w:cs="Times New Roman"/>
          <w:b/>
          <w:bCs/>
          <w:color w:val="auto"/>
          <w:sz w:val="22"/>
          <w:szCs w:val="22"/>
          <w:highlight w:val="none"/>
          <w:u w:val="dotted"/>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88992" behindDoc="0" locked="0" layoutInCell="1" allowOverlap="1">
                <wp:simplePos x="0" y="0"/>
                <wp:positionH relativeFrom="column">
                  <wp:posOffset>-133350</wp:posOffset>
                </wp:positionH>
                <wp:positionV relativeFrom="paragraph">
                  <wp:posOffset>247650</wp:posOffset>
                </wp:positionV>
                <wp:extent cx="914400" cy="619125"/>
                <wp:effectExtent l="0" t="0" r="0" b="0"/>
                <wp:wrapNone/>
                <wp:docPr id="328" name="文本框 328"/>
                <wp:cNvGraphicFramePr/>
                <a:graphic xmlns:a="http://schemas.openxmlformats.org/drawingml/2006/main">
                  <a:graphicData uri="http://schemas.microsoft.com/office/word/2010/wordprocessingShape">
                    <wps:wsp>
                      <wps:cNvSpPr txBox="1"/>
                      <wps:spPr>
                        <a:xfrm>
                          <a:off x="0" y="0"/>
                          <a:ext cx="914400" cy="619125"/>
                        </a:xfrm>
                        <a:prstGeom prst="rect">
                          <a:avLst/>
                        </a:prstGeom>
                        <a:noFill/>
                        <a:ln>
                          <a:noFill/>
                        </a:ln>
                        <a:effectLst/>
                      </wps:spPr>
                      <wps:txbx>
                        <w:txbxContent>
                          <w:p w14:paraId="539961D1">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人工费的调整方法</w:t>
                            </w:r>
                          </w:p>
                        </w:txbxContent>
                      </wps:txbx>
                      <wps:bodyPr wrap="square" upright="1"/>
                    </wps:wsp>
                  </a:graphicData>
                </a:graphic>
              </wp:anchor>
            </w:drawing>
          </mc:Choice>
          <mc:Fallback>
            <w:pict>
              <v:shape id="_x0000_s1026" o:spid="_x0000_s1026" o:spt="202" type="#_x0000_t202" style="position:absolute;left:0pt;margin-left:-10.5pt;margin-top:19.5pt;height:48.75pt;width:72pt;z-index:251988992;mso-width-relative:page;mso-height-relative:page;" filled="f" stroked="f" coordsize="21600,21600" o:gfxdata="UEsDBAoAAAAAAIdO4kAAAAAAAAAAAAAAAAAEAAAAZHJzL1BLAwQUAAAACACHTuJAac+tl9cAAAAK&#10;AQAADwAAAGRycy9kb3ducmV2LnhtbE2PzU7DMBCE70h9B2uRuLV2ElrREKeHIq4g+oPEzY23SUS8&#10;jmK3CW/P9gSnndWOZr8pNpPrxBWH0HrSkCwUCKTK25ZqDYf96/wJRIiGrOk8oYYfDLApZ3eFya0f&#10;6QOvu1gLDqGQGw1NjH0uZagadCYsfI/Et7MfnIm8DrW0gxk53HUyVWolnWmJPzSmx22D1ffu4jQc&#10;385fn4/qvX5xy370k5Lk1lLrh/tEPYOIOMU/M9zwGR1KZjr5C9kgOg3zNOEuUUO25nkzpBmLE4ts&#10;tQRZFvJ/hfIXUEsDBBQAAAAIAIdO4kC5iGiyvAEAAG0DAAAOAAAAZHJzL2Uyb0RvYy54bWytU82O&#10;0zAQviPxDpbvNElZVmzUdKVVtVwQIC08gOuMG0v+w+M26QvAG3Diwp3n6nMwTrJlWS572Isznp/P&#10;830zWV0P1rADRNTeNbxalJyBk77VbtfwL59vX73lDJNwrTDeQcOPgPx6/fLFqg81LH3nTQuREYjD&#10;ug8N71IKdVGg7MAKXPgAjoLKRysSXeOuaKPoCd2aYlmWl0XvYxuil4BI3s0U5DNifAqgV0pL2Hi5&#10;t+DShBrBiESUsNMB+XrsVimQ6aNSCImZhhPTNJ70CNnbfBbrlah3UYROy7kF8ZQWHnGyQjt69Ay1&#10;EUmwfdT/QVkto0ev0kJ6W0xERkWIRVU+0uauEwFGLiQ1hrPo+Hyw8sPhU2S6bfjrJQ3eCUsjP/34&#10;fvr5+/TrG8tOkqgPWFPmXaDcNNz4gRbn3o/kzMwHFW3+EidGcRL4eBYYhsQkOa+qi4uSIpJCl9VV&#10;tXyTUYq/xSFiegfesmw0PNL8RlnF4T2mKfU+Jb/l/K02Zpyhcf84CHPywLgEc3XmMfWbrTRsh5nc&#10;1rdH4tbTIjQcv+5FBM72IepdR22MXItcQlMY+503Jo/54Z3sh3/J+g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pz62X1wAAAAoBAAAPAAAAAAAAAAEAIAAAACIAAABkcnMvZG93bnJldi54bWxQSwEC&#10;FAAUAAAACACHTuJAuYhosrwBAABtAwAADgAAAAAAAAABACAAAAAmAQAAZHJzL2Uyb0RvYy54bWxQ&#10;SwUGAAAAAAYABgBZAQAAVAUAAAAA&#10;">
                <v:fill on="f" focussize="0,0"/>
                <v:stroke on="f"/>
                <v:imagedata o:title=""/>
                <o:lock v:ext="edit" aspectratio="f"/>
                <v:textbox>
                  <w:txbxContent>
                    <w:p w14:paraId="539961D1">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人工费的调整方法</w:t>
                      </w:r>
                    </w:p>
                  </w:txbxContent>
                </v:textbox>
              </v:shape>
            </w:pict>
          </mc:Fallback>
        </mc:AlternateContent>
      </w:r>
      <w:r>
        <w:rPr>
          <w:rFonts w:hint="default" w:ascii="Times New Roman" w:hAnsi="Times New Roman" w:cs="Times New Roman"/>
          <w:b/>
          <w:bCs/>
          <w:color w:val="auto"/>
          <w:sz w:val="22"/>
          <w:szCs w:val="22"/>
          <w:highlight w:val="none"/>
        </w:rPr>
        <w:t xml:space="preserve">76.2  </w:t>
      </w:r>
      <w:r>
        <w:rPr>
          <w:rFonts w:hint="default" w:ascii="Times New Roman" w:hAnsi="Times New Roman" w:cs="Times New Roman"/>
          <w:b/>
          <w:bCs/>
          <w:color w:val="auto"/>
          <w:sz w:val="22"/>
          <w:szCs w:val="22"/>
          <w:highlight w:val="none"/>
          <w:u w:val="dotted"/>
        </w:rPr>
        <w:t xml:space="preserve">                                                                                                        </w:t>
      </w:r>
    </w:p>
    <w:p w14:paraId="5675268B">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执行第76.3款“第1种方式：采用造价信息进行价格调整”规定的，人工单价发生变化且符合省级或行业建设主管部门发布的人工费调整规定，合同当事人应按省级或行业建设主管部门或其授权的工程造价管理机构发布的人工费等文件调整合同价格，但承包人对人工费或人工单价的报价高于发布价格的除外；或由合同当事人在专用条款中约定人工单价调价条件。</w:t>
      </w:r>
    </w:p>
    <w:p w14:paraId="60E29E19">
      <w:pPr>
        <w:pStyle w:val="15"/>
        <w:tabs>
          <w:tab w:val="left" w:pos="540"/>
        </w:tabs>
        <w:adjustRightInd w:val="0"/>
        <w:snapToGrid w:val="0"/>
        <w:spacing w:line="420" w:lineRule="exact"/>
        <w:rPr>
          <w:rFonts w:hint="default" w:ascii="Times New Roman" w:hAnsi="Times New Roman" w:cs="Times New Roman"/>
          <w:b/>
          <w:bCs/>
          <w:color w:val="auto"/>
          <w:sz w:val="22"/>
          <w:szCs w:val="22"/>
          <w:highlight w:val="none"/>
          <w:u w:val="dotted"/>
        </w:rPr>
      </w:pPr>
      <w:r>
        <w:rPr>
          <w:rFonts w:hint="default" w:ascii="Times New Roman" w:hAnsi="Times New Roman" w:cs="Times New Roman"/>
          <w:b/>
          <w:bCs/>
          <w:color w:val="auto"/>
          <w:sz w:val="22"/>
          <w:szCs w:val="22"/>
          <w:highlight w:val="none"/>
        </w:rPr>
        <w:t xml:space="preserve">76.3  </w:t>
      </w:r>
      <w:r>
        <w:rPr>
          <w:rFonts w:hint="default" w:ascii="Times New Roman" w:hAnsi="Times New Roman" w:cs="Times New Roman"/>
          <w:b/>
          <w:bCs/>
          <w:color w:val="auto"/>
          <w:sz w:val="22"/>
          <w:szCs w:val="22"/>
          <w:highlight w:val="none"/>
          <w:u w:val="dotted"/>
        </w:rPr>
        <w:t xml:space="preserve">                                                                                                        </w:t>
      </w:r>
    </w:p>
    <w:p w14:paraId="1E0100BD">
      <w:pPr>
        <w:spacing w:line="420" w:lineRule="exact"/>
        <w:ind w:firstLine="440" w:firstLineChars="2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90016" behindDoc="0" locked="0" layoutInCell="1" allowOverlap="1">
                <wp:simplePos x="0" y="0"/>
                <wp:positionH relativeFrom="column">
                  <wp:posOffset>-114300</wp:posOffset>
                </wp:positionH>
                <wp:positionV relativeFrom="paragraph">
                  <wp:posOffset>15875</wp:posOffset>
                </wp:positionV>
                <wp:extent cx="914400" cy="1003300"/>
                <wp:effectExtent l="0" t="0" r="0" b="0"/>
                <wp:wrapNone/>
                <wp:docPr id="329" name="文本框 329"/>
                <wp:cNvGraphicFramePr/>
                <a:graphic xmlns:a="http://schemas.openxmlformats.org/drawingml/2006/main">
                  <a:graphicData uri="http://schemas.microsoft.com/office/word/2010/wordprocessingShape">
                    <wps:wsp>
                      <wps:cNvSpPr txBox="1"/>
                      <wps:spPr>
                        <a:xfrm>
                          <a:off x="0" y="0"/>
                          <a:ext cx="914400" cy="1003300"/>
                        </a:xfrm>
                        <a:prstGeom prst="rect">
                          <a:avLst/>
                        </a:prstGeom>
                        <a:noFill/>
                        <a:ln>
                          <a:noFill/>
                        </a:ln>
                        <a:effectLst/>
                      </wps:spPr>
                      <wps:txbx>
                        <w:txbxContent>
                          <w:p w14:paraId="0F586362">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承包人采购材料和工程设备的材料设备费、施工机械费调 整方法</w:t>
                            </w:r>
                          </w:p>
                        </w:txbxContent>
                      </wps:txbx>
                      <wps:bodyPr wrap="square" upright="1"/>
                    </wps:wsp>
                  </a:graphicData>
                </a:graphic>
              </wp:anchor>
            </w:drawing>
          </mc:Choice>
          <mc:Fallback>
            <w:pict>
              <v:shape id="_x0000_s1026" o:spid="_x0000_s1026" o:spt="202" type="#_x0000_t202" style="position:absolute;left:0pt;margin-left:-9pt;margin-top:1.25pt;height:79pt;width:72pt;z-index:251990016;mso-width-relative:page;mso-height-relative:page;" filled="f" stroked="f" coordsize="21600,21600" o:gfxdata="UEsDBAoAAAAAAIdO4kAAAAAAAAAAAAAAAAAEAAAAZHJzL1BLAwQUAAAACACHTuJAr0C7z9YAAAAJ&#10;AQAADwAAAGRycy9kb3ducmV2LnhtbE2PwU7DMBBE70j8g7VIvbV2oiYqIU4PrbiCKAWJmxtvk4h4&#10;HcVuE/6e7QluO5rR7JtyO7teXHEMnScNyUqBQKq97ajRcHx/Xm5AhGjImt4TavjBANvq/q40hfUT&#10;veH1EBvBJRQKo6GNcSikDHWLzoSVH5DYO/vRmchybKQdzcTlrpepUrl0piP+0JoBdy3W34eL0/Dx&#10;cv76XKvXZu+yYfKzkuQepdaLh0Q9gYg4x78w3PAZHSpmOvkL2SB6Dctkw1uihjQDcfPTnPWJj1xl&#10;IKtS/l9Q/QJQSwMEFAAAAAgAh07iQNSk3Jm7AQAAbgMAAA4AAABkcnMvZTJvRG9jLnhtbK1TS27b&#10;MBDdF8gdCO5ryXZQNILlAIWRbIq2QNoD0NTIIsBfObQlX6C9QVfddN9z+RwdUorz22TRDTU/Ps57&#10;M1pdD0azAwRUztZ8Pis5Aytdo+yu5t++3rx9zxlGYRuhnYWaHwH59frizar3FSxc53QDgRGIxar3&#10;Ne9i9FVRoOzACJw5D5aSrQtGRHLDrmiC6And6GJRlu+K3oXGBycBkaKbMcknxPAaQNe2SsLGyb0B&#10;G0fUAFpEooSd8sjXudu2BRk/ty1CZLrmxDTmkx4he5vOYr0S1S4I3yk5tSBe08IzTkYoS4+eoTYi&#10;CrYP6gWUUTI4dG2cSWeKkUhWhFjMy2fa3HXCQ+ZCUqM/i47/D1Z+OnwJTDU1Xy6uOLPC0MhPv36e&#10;fv89/fnBUpAk6j1WVHnnqTYOH9xAi3MfRwom5kMbTPoSJ0Z5Evh4FhiGyCQFr+aXlyVlJKXmZblc&#10;kkPwxcNtHzDegjMsGTUPNMCsqzh8xDiW3pekx6y7UVrnIWr7JECYYwTyFky3E5Gx4WTFYTtM7Lau&#10;ORK5njah5vh9LwJwtvdB7TpqI5Mt0hUaQ+53Wpk058c+2Y9/k/U/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r0C7z9YAAAAJAQAADwAAAAAAAAABACAAAAAiAAAAZHJzL2Rvd25yZXYueG1sUEsBAhQA&#10;FAAAAAgAh07iQNSk3Jm7AQAAbgMAAA4AAAAAAAAAAQAgAAAAJQEAAGRycy9lMm9Eb2MueG1sUEsF&#10;BgAAAAAGAAYAWQEAAFIFAAAAAA==&#10;">
                <v:fill on="f" focussize="0,0"/>
                <v:stroke on="f"/>
                <v:imagedata o:title=""/>
                <o:lock v:ext="edit" aspectratio="f"/>
                <v:textbox>
                  <w:txbxContent>
                    <w:p w14:paraId="0F586362">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承包人采购材料和工程设备的材料设备费、施工机械费调 整方法</w:t>
                      </w:r>
                    </w:p>
                  </w:txbxContent>
                </v:textbox>
              </v:shape>
            </w:pict>
          </mc:Fallback>
        </mc:AlternateContent>
      </w:r>
      <w:r>
        <w:rPr>
          <w:rFonts w:hint="default" w:ascii="Times New Roman" w:hAnsi="Times New Roman" w:cs="Times New Roman"/>
          <w:color w:val="auto"/>
          <w:sz w:val="22"/>
          <w:szCs w:val="22"/>
          <w:highlight w:val="none"/>
        </w:rPr>
        <w:t xml:space="preserve">         第1种方式：采用造价信息进行价格调整。</w:t>
      </w:r>
    </w:p>
    <w:p w14:paraId="1B7880D1">
      <w:pPr>
        <w:spacing w:line="420" w:lineRule="exact"/>
        <w:ind w:left="1438" w:leftChars="685"/>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合同履行期间，因人工、材料、工程设备和机械台班价格波动影响合同价格时，人工、机械使用费按照国家或省、市建设行政管理部门、行业建设管理部门或其授权的工程造价管理机构发布的人工、机械使用费进行调整；需要进行价格调整的材料，其单价和采购数量应由发包人审批，发包人确认需调整的材料单价及数量，作为调整合同价格的依据。</w:t>
      </w:r>
    </w:p>
    <w:p w14:paraId="2758B773">
      <w:pPr>
        <w:spacing w:line="420" w:lineRule="exact"/>
        <w:ind w:left="1539" w:leftChars="628" w:hanging="220" w:hangingChars="1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（1）材料、工程设备价格变化的价款调整按照发包人提供的基准价格，按以下风险范围规定执行</w:t>
      </w:r>
      <w:r>
        <w:rPr>
          <w:rFonts w:hint="default" w:ascii="Times New Roman" w:hAnsi="Times New Roman" w:cs="Times New Roman"/>
          <w:color w:val="auto"/>
          <w:sz w:val="22"/>
          <w:szCs w:val="22"/>
          <w:highlight w:val="none"/>
          <w:lang w:eastAsia="zh-CN"/>
        </w:rPr>
        <w:t>：</w:t>
      </w:r>
    </w:p>
    <w:p w14:paraId="5CD213B0">
      <w:pPr>
        <w:spacing w:line="420" w:lineRule="exact"/>
        <w:ind w:left="1514" w:leftChars="72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①承包人在已标价工程量清单或预算书中载明材料单价低于基准价格的：除专用合同条款另有约定外，合同履行期间材料单价涨幅以基准价格为基础超5%时，或材料单价跌幅以在已标价工程量清单或预算书中载明材料单价为基础超过5%时，其超过部分据实调整。</w:t>
      </w:r>
    </w:p>
    <w:p w14:paraId="3C92E85D">
      <w:pPr>
        <w:spacing w:line="420" w:lineRule="exact"/>
        <w:ind w:left="1514" w:leftChars="72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②承包人在已标价工程量清单或预算书中载明材料单价高于基准价格的：除专用合同条款另有约定外，合同履行期间材料单价跌幅以基准价格为基础超过5%时，材料单价涨 幅以在已标价工程量清单或预算书中载明材料单价为基础超过5%时，其超过部分据实调整。</w:t>
      </w:r>
    </w:p>
    <w:p w14:paraId="7AE304A6">
      <w:pPr>
        <w:spacing w:line="420" w:lineRule="exact"/>
        <w:ind w:left="1514" w:leftChars="72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③承包人在已标价工程量清单或预算书中载明材料单价等于基准价格的：除专用合同条款另有约定外，合同履行期间材料单价涨跌幅以基准价格为基础超过±5%时，其超过部分据实调整。</w:t>
      </w:r>
    </w:p>
    <w:p w14:paraId="18C05C58">
      <w:pPr>
        <w:spacing w:line="420" w:lineRule="exact"/>
        <w:ind w:left="1529" w:leftChars="728"/>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前述基准价格是指由发包人在招标文件或专用合同条款中给定的材料、工程设备的价格，该价格原则上应当按照省级或行业建设主管部门或其授权的工程造价管理机构发布的信息价编制。</w:t>
      </w:r>
    </w:p>
    <w:p w14:paraId="61397FDE">
      <w:pPr>
        <w:spacing w:line="420" w:lineRule="exact"/>
        <w:ind w:left="1470" w:leftChars="7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（2）施工机械台班单价或施工机械使用费发生变化超过省级或行业建设主管部门或其授权的工程造价管理机构规定的范围时，按规定调整合同价格。</w:t>
      </w:r>
    </w:p>
    <w:p w14:paraId="0B22E66E">
      <w:pPr>
        <w:spacing w:line="420" w:lineRule="exact"/>
        <w:rPr>
          <w:rFonts w:hint="default" w:ascii="Times New Roman" w:hAnsi="Times New Roman" w:cs="Times New Roman"/>
          <w:color w:val="auto"/>
          <w:sz w:val="22"/>
          <w:szCs w:val="22"/>
          <w:highlight w:val="none"/>
        </w:rPr>
      </w:pPr>
    </w:p>
    <w:p w14:paraId="09104BC1">
      <w:pPr>
        <w:spacing w:line="420" w:lineRule="exact"/>
        <w:ind w:firstLine="1540" w:firstLineChars="7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 xml:space="preserve">第2种方式：专用合同条款约定的其他方式   </w:t>
      </w:r>
    </w:p>
    <w:p w14:paraId="6E98A128">
      <w:pPr>
        <w:pStyle w:val="15"/>
        <w:tabs>
          <w:tab w:val="left" w:pos="540"/>
        </w:tabs>
        <w:adjustRightInd w:val="0"/>
        <w:snapToGrid w:val="0"/>
        <w:spacing w:line="420" w:lineRule="exact"/>
        <w:rPr>
          <w:rFonts w:hint="default" w:ascii="Times New Roman" w:hAnsi="Times New Roman" w:cs="Times New Roman"/>
          <w:color w:val="auto"/>
          <w:sz w:val="22"/>
          <w:szCs w:val="22"/>
          <w:highlight w:val="none"/>
          <w:u w:val="dotted"/>
        </w:rPr>
      </w:pPr>
      <w:r>
        <w:rPr>
          <w:rFonts w:hint="default" w:ascii="Times New Roman" w:hAnsi="Times New Roman" w:cs="Times New Roman"/>
          <w:b/>
          <w:bCs/>
          <w:color w:val="auto"/>
          <w:sz w:val="22"/>
          <w:szCs w:val="22"/>
          <w:highlight w:val="none"/>
        </w:rPr>
        <w:t>76.4</w:t>
      </w:r>
      <w:r>
        <w:rPr>
          <w:rFonts w:hint="default" w:ascii="Times New Roman" w:hAnsi="Times New Roman" w:cs="Times New Roman"/>
          <w:color w:val="auto"/>
          <w:sz w:val="22"/>
          <w:szCs w:val="22"/>
          <w:highlight w:val="none"/>
        </w:rPr>
        <w:t xml:space="preserve">  </w:t>
      </w:r>
      <w:r>
        <w:rPr>
          <w:rFonts w:hint="default" w:ascii="Times New Roman" w:hAnsi="Times New Roman" w:cs="Times New Roman"/>
          <w:color w:val="auto"/>
          <w:sz w:val="22"/>
          <w:szCs w:val="22"/>
          <w:highlight w:val="none"/>
          <w:u w:val="dotted"/>
        </w:rPr>
        <w:t xml:space="preserve">                                                                                                        </w:t>
      </w:r>
    </w:p>
    <w:p w14:paraId="644C60A5">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执行第76.3款“第1种方式：采用造价信息进行价格调整”规定的，承包人应在采购材料前将采购数量和新的材料单价报发包人核对，发包人确认用于工程时，发包人应确认采购材料的数量和单价。发包人在收到承包人报送的确认资料后5天内不予答复的视为认可，作为调整合同价格的依据。未经发包人事先核对，承包人自行采购材料的，发包人有权不予调整合同价格。发包人同意的，可以调整合同价格。</w:t>
      </w: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91040" behindDoc="0" locked="0" layoutInCell="1" allowOverlap="1">
                <wp:simplePos x="0" y="0"/>
                <wp:positionH relativeFrom="column">
                  <wp:posOffset>-66675</wp:posOffset>
                </wp:positionH>
                <wp:positionV relativeFrom="paragraph">
                  <wp:posOffset>31115</wp:posOffset>
                </wp:positionV>
                <wp:extent cx="914400" cy="711835"/>
                <wp:effectExtent l="0" t="0" r="0" b="0"/>
                <wp:wrapNone/>
                <wp:docPr id="330" name="文本框 330"/>
                <wp:cNvGraphicFramePr/>
                <a:graphic xmlns:a="http://schemas.openxmlformats.org/drawingml/2006/main">
                  <a:graphicData uri="http://schemas.microsoft.com/office/word/2010/wordprocessingShape">
                    <wps:wsp>
                      <wps:cNvSpPr txBox="1"/>
                      <wps:spPr>
                        <a:xfrm>
                          <a:off x="0" y="0"/>
                          <a:ext cx="914400" cy="711835"/>
                        </a:xfrm>
                        <a:prstGeom prst="rect">
                          <a:avLst/>
                        </a:prstGeom>
                        <a:noFill/>
                        <a:ln>
                          <a:noFill/>
                        </a:ln>
                        <a:effectLst/>
                      </wps:spPr>
                      <wps:txbx>
                        <w:txbxContent>
                          <w:p w14:paraId="447F1DB2">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承包人采购材料设备的调价限制</w:t>
                            </w:r>
                          </w:p>
                        </w:txbxContent>
                      </wps:txbx>
                      <wps:bodyPr wrap="square" upright="1"/>
                    </wps:wsp>
                  </a:graphicData>
                </a:graphic>
              </wp:anchor>
            </w:drawing>
          </mc:Choice>
          <mc:Fallback>
            <w:pict>
              <v:shape id="_x0000_s1026" o:spid="_x0000_s1026" o:spt="202" type="#_x0000_t202" style="position:absolute;left:0pt;margin-left:-5.25pt;margin-top:2.45pt;height:56.05pt;width:72pt;z-index:251991040;mso-width-relative:page;mso-height-relative:page;" filled="f" stroked="f" coordsize="21600,21600" o:gfxdata="UEsDBAoAAAAAAIdO4kAAAAAAAAAAAAAAAAAEAAAAZHJzL1BLAwQUAAAACACHTuJACM+ywdYAAAAJ&#10;AQAADwAAAGRycy9kb3ducmV2LnhtbE2PzU7DMBCE70i8g7VI3Fo7tAUasukBxBVE+ZG4ufE2iYjX&#10;Uew24e3ZnuhtRzOa/abYTL5TRxpiGxghmxtQxFVwLdcIH+/Ps3tQMVl2tgtMCL8UYVNeXhQ2d2Hk&#10;NzpuU62khGNuEZqU+lzrWDXkbZyHnli8fRi8TSKHWrvBjlLuO31jzK32tmX50NieHhuqfrYHj/D5&#10;sv/+WprX+smv+jFMRrNfa8Trq8w8gEo0pf8wnPAFHUph2oUDu6g6hFlmVhJFWK5BnfzFQvROjuzO&#10;gC4Lfb6g/ANQSwMEFAAAAAgAh07iQEQ5y5O8AQAAbQMAAA4AAABkcnMvZTJvRG9jLnhtbK1TzY7T&#10;MBC+I/EOlu80yXaBJWq6EqqWCwKkhQdwnXFjyX943CZ9AXgDTly481x9jh0n2bIslz1wccbz83m+&#10;byar68EadoCI2ruGV4uSM3DSt9rtGv7l882LK84wCdcK4x00/AjIr9fPn636UMOF77xpITICcVj3&#10;oeFdSqEuCpQdWIELH8BRUPloRaJr3BVtFD2hW1NclOWrovexDdFLQCTvZgryGTE+BdArpSVsvNxb&#10;cGlCjWBEIkrY6YB8PXarFMj0USmExEzDiWkaT3qE7G0+i/VK1LsoQqfl3IJ4SguPOFmhHT16htqI&#10;JNg+6n+grJbRo1dpIb0tJiKjIsSiKh9pc9uJACMXkhrDWXT8f7Dyw+FTZLpt+HJJmjhhaeSnH99P&#10;P3+ffn1j2UkS9QFryrwNlJuGt36gxbn3Izkz80FFm7/EiVGcwI5ngWFITJLzTXV5WVJEUuh1VV0t&#10;X2aU4k9xiJjegbcsGw2PNL9RVnF4j2lKvU/Jbzl/o40ZZ2jcXw7CnDwwLsFcnXlM/WYrDdthJrf1&#10;7ZG49bQIDcevexGBs32IetdRGyPXIpfQFMZ+543JY354J/vhX7K+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AjPssHWAAAACQEAAA8AAAAAAAAAAQAgAAAAIgAAAGRycy9kb3ducmV2LnhtbFBLAQIU&#10;ABQAAAAIAIdO4kBEOcuTvAEAAG0DAAAOAAAAAAAAAAEAIAAAACUBAABkcnMvZTJvRG9jLnhtbFBL&#10;BQYAAAAABgAGAFkBAABTBQAAAAA=&#10;">
                <v:fill on="f" focussize="0,0"/>
                <v:stroke on="f"/>
                <v:imagedata o:title=""/>
                <o:lock v:ext="edit" aspectratio="f"/>
                <v:textbox>
                  <w:txbxContent>
                    <w:p w14:paraId="447F1DB2">
                      <w:pPr>
                        <w:pStyle w:val="10"/>
                        <w:spacing w:line="200" w:lineRule="exact"/>
                        <w:rPr>
                          <w:rFonts w:ascii="楷体_GB2312" w:hAnsi="宋体" w:eastAsia="楷体_GB2312"/>
                          <w:b/>
                          <w:bCs/>
                          <w:color w:val="000000"/>
                          <w:sz w:val="18"/>
                          <w:szCs w:val="18"/>
                        </w:rPr>
                      </w:pPr>
                      <w:r>
                        <w:rPr>
                          <w:rFonts w:hint="eastAsia" w:ascii="楷体_GB2312" w:hAnsi="宋体" w:eastAsia="楷体_GB2312" w:cs="楷体_GB2312"/>
                          <w:b/>
                          <w:bCs/>
                          <w:color w:val="000000"/>
                          <w:sz w:val="18"/>
                          <w:szCs w:val="18"/>
                        </w:rPr>
                        <w:t>承包人采购材料设备的调价限制</w:t>
                      </w:r>
                    </w:p>
                  </w:txbxContent>
                </v:textbox>
              </v:shape>
            </w:pict>
          </mc:Fallback>
        </mc:AlternateContent>
      </w:r>
    </w:p>
    <w:p w14:paraId="339C4371">
      <w:pPr>
        <w:pStyle w:val="15"/>
        <w:tabs>
          <w:tab w:val="left" w:pos="540"/>
        </w:tabs>
        <w:adjustRightInd w:val="0"/>
        <w:snapToGrid w:val="0"/>
        <w:spacing w:line="420" w:lineRule="exact"/>
        <w:rPr>
          <w:rFonts w:hint="default" w:ascii="Times New Roman" w:hAnsi="Times New Roman" w:cs="Times New Roman"/>
          <w:b/>
          <w:bCs/>
          <w:color w:val="auto"/>
          <w:sz w:val="22"/>
          <w:szCs w:val="22"/>
          <w:highlight w:val="none"/>
          <w:u w:val="dotted"/>
        </w:rPr>
      </w:pPr>
      <w:r>
        <w:rPr>
          <w:rFonts w:hint="default" w:ascii="Times New Roman" w:hAnsi="Times New Roman" w:cs="Times New Roman"/>
          <w:b/>
          <w:bCs/>
          <w:color w:val="auto"/>
          <w:sz w:val="22"/>
          <w:szCs w:val="22"/>
          <w:highlight w:val="none"/>
        </w:rPr>
        <w:t xml:space="preserve">76.5 </w:t>
      </w:r>
      <w:r>
        <w:rPr>
          <w:rFonts w:hint="default" w:ascii="Times New Roman" w:hAnsi="Times New Roman" w:cs="Times New Roman"/>
          <w:b/>
          <w:bCs/>
          <w:color w:val="auto"/>
          <w:sz w:val="22"/>
          <w:szCs w:val="22"/>
          <w:highlight w:val="none"/>
          <w:u w:val="dotted"/>
        </w:rPr>
        <w:t xml:space="preserve">                                                                                                        </w:t>
      </w:r>
    </w:p>
    <w:p w14:paraId="0278EDF5">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92064" behindDoc="0" locked="0" layoutInCell="1" allowOverlap="1">
                <wp:simplePos x="0" y="0"/>
                <wp:positionH relativeFrom="column">
                  <wp:posOffset>-114300</wp:posOffset>
                </wp:positionH>
                <wp:positionV relativeFrom="paragraph">
                  <wp:posOffset>15875</wp:posOffset>
                </wp:positionV>
                <wp:extent cx="914400" cy="619125"/>
                <wp:effectExtent l="0" t="0" r="0" b="0"/>
                <wp:wrapNone/>
                <wp:docPr id="331" name="文本框 331"/>
                <wp:cNvGraphicFramePr/>
                <a:graphic xmlns:a="http://schemas.openxmlformats.org/drawingml/2006/main">
                  <a:graphicData uri="http://schemas.microsoft.com/office/word/2010/wordprocessingShape">
                    <wps:wsp>
                      <wps:cNvSpPr txBox="1"/>
                      <wps:spPr>
                        <a:xfrm>
                          <a:off x="0" y="0"/>
                          <a:ext cx="914400" cy="619125"/>
                        </a:xfrm>
                        <a:prstGeom prst="rect">
                          <a:avLst/>
                        </a:prstGeom>
                        <a:noFill/>
                        <a:ln>
                          <a:noFill/>
                        </a:ln>
                        <a:effectLst/>
                      </wps:spPr>
                      <wps:txbx>
                        <w:txbxContent>
                          <w:p w14:paraId="7356A4A5">
                            <w:pPr>
                              <w:pStyle w:val="24"/>
                              <w:spacing w:line="200" w:lineRule="exact"/>
                              <w:rPr>
                                <w:rFonts w:ascii="楷体_GB2312" w:hAnsi="宋体"/>
                                <w:sz w:val="18"/>
                                <w:szCs w:val="18"/>
                              </w:rPr>
                            </w:pPr>
                            <w:r>
                              <w:rPr>
                                <w:rFonts w:hint="eastAsia" w:ascii="楷体_GB2312" w:hAnsi="宋体" w:cs="楷体_GB2312"/>
                                <w:sz w:val="18"/>
                                <w:szCs w:val="18"/>
                              </w:rPr>
                              <w:t>发包人供应材料设备的价款调整</w:t>
                            </w:r>
                          </w:p>
                        </w:txbxContent>
                      </wps:txbx>
                      <wps:bodyPr wrap="square" upright="1"/>
                    </wps:wsp>
                  </a:graphicData>
                </a:graphic>
              </wp:anchor>
            </w:drawing>
          </mc:Choice>
          <mc:Fallback>
            <w:pict>
              <v:shape id="_x0000_s1026" o:spid="_x0000_s1026" o:spt="202" type="#_x0000_t202" style="position:absolute;left:0pt;margin-left:-9pt;margin-top:1.25pt;height:48.75pt;width:72pt;z-index:251992064;mso-width-relative:page;mso-height-relative:page;" filled="f" stroked="f" coordsize="21600,21600" o:gfxdata="UEsDBAoAAAAAAIdO4kAAAAAAAAAAAAAAAAAEAAAAZHJzL1BLAwQUAAAACACHTuJA08gMB9UAAAAJ&#10;AQAADwAAAGRycy9kb3ducmV2LnhtbE2PwU7DMBBE70j8g7VI3Np1IlqVEKcHEFcQpSBxc+NtEhGv&#10;o9htwt+zPcFtRzOafVNuZ9+rM42xC2wgW2pQxHVwHTcG9u/Piw2omCw72wcmAz8UYVtdX5W2cGHi&#10;NzrvUqOkhGNhDbQpDQVirFvyNi7DQCzeMYzeJpFjg260k5T7HnOt1+htx/KhtQM9tlR/707ewMfL&#10;8evzTr82T341TGHWyP4ejbm9yfQDqERz+gvDBV/QoRKmQzixi6o3sMg2siUZyFegLn6+Fn2QQ2sN&#10;WJX4f0H1C1BLAwQUAAAACACHTuJAEMA2lr0BAABtAwAADgAAAGRycy9lMm9Eb2MueG1srVPNjtMw&#10;EL4j8Q6W79RJd1mxUdOVULVcECAt+wCuM24sxT943CZ9AXgDTly481x9DsZJtizLZQ9cnPH8fJ7v&#10;m8nqZrAdO0BE413Ny0XBGTjlG+N2Nb//fPvqDWeYpGtk5x3U/AjIb9YvX6z6UMHSt75rIDICcVj1&#10;oeZtSqESAlULVuLCB3AU1D5amegad6KJsid024llUVyJ3scmRK8AkbybKchnxPgcQK+1UbDxam/B&#10;pQk1QicTUcLWBOTrsVutQaWPWiMk1tWcmKbxpEfI3uZTrFey2kUZWqPmFuRzWnjCyUrj6NEz1EYm&#10;yfbR/ANljYoevU4L5a2YiIyKEIuyeKLNXSsDjFxIagxn0fH/waoPh0+RmabmFxclZ05aGvnp+7fT&#10;j1+nn19ZdpJEfcCKMu8C5abhrR9ocR78SM7MfNDR5i9xYhQngY9ngWFITJHzury8LCiiKHRVXpfL&#10;1xlF/CkOEdM78JZlo+aR5jfKKg/vMU2pDyn5LedvTdeNM+zcXw7CnDwwLsFcnXlM/WYrDdthJrf1&#10;zZG49bQINccvexmBs32IZtdSGyNXkUtoCmO/88bkMT++k/34L1n/B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NPIDAfVAAAACQEAAA8AAAAAAAAAAQAgAAAAIgAAAGRycy9kb3ducmV2LnhtbFBLAQIU&#10;ABQAAAAIAIdO4kAQwDaWvQEAAG0DAAAOAAAAAAAAAAEAIAAAACQBAABkcnMvZTJvRG9jLnhtbFBL&#10;BQYAAAAABgAGAFkBAABTBQAAAAA=&#10;">
                <v:fill on="f" focussize="0,0"/>
                <v:stroke on="f"/>
                <v:imagedata o:title=""/>
                <o:lock v:ext="edit" aspectratio="f"/>
                <v:textbox>
                  <w:txbxContent>
                    <w:p w14:paraId="7356A4A5">
                      <w:pPr>
                        <w:pStyle w:val="24"/>
                        <w:spacing w:line="200" w:lineRule="exact"/>
                        <w:rPr>
                          <w:rFonts w:ascii="楷体_GB2312" w:hAnsi="宋体"/>
                          <w:sz w:val="18"/>
                          <w:szCs w:val="18"/>
                        </w:rPr>
                      </w:pPr>
                      <w:r>
                        <w:rPr>
                          <w:rFonts w:hint="eastAsia" w:ascii="楷体_GB2312" w:hAnsi="宋体" w:cs="楷体_GB2312"/>
                          <w:sz w:val="18"/>
                          <w:szCs w:val="18"/>
                        </w:rPr>
                        <w:t>发包人供应材料设备的价款调整</w:t>
                      </w:r>
                    </w:p>
                  </w:txbxContent>
                </v:textbox>
              </v:shape>
            </w:pict>
          </mc:Fallback>
        </mc:AlternateContent>
      </w:r>
      <w:r>
        <w:rPr>
          <w:rFonts w:hint="default" w:ascii="Times New Roman" w:hAnsi="Times New Roman" w:cs="Times New Roman"/>
          <w:color w:val="auto"/>
          <w:sz w:val="22"/>
          <w:szCs w:val="22"/>
          <w:highlight w:val="none"/>
        </w:rPr>
        <w:t>发包人供应材料和工程设备的，由发包人按照实际变化调整，列入合同工程的工程造价内。</w:t>
      </w:r>
    </w:p>
    <w:p w14:paraId="1B7483B6">
      <w:pPr>
        <w:pStyle w:val="15"/>
        <w:adjustRightInd w:val="0"/>
        <w:snapToGrid w:val="0"/>
        <w:spacing w:line="420" w:lineRule="exact"/>
        <w:ind w:right="-238"/>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400F6C70">
      <w:pPr>
        <w:pStyle w:val="5"/>
        <w:numPr>
          <w:ilvl w:val="0"/>
          <w:numId w:val="0"/>
        </w:numPr>
        <w:tabs>
          <w:tab w:val="left" w:pos="360"/>
          <w:tab w:val="left" w:pos="420"/>
          <w:tab w:val="left" w:pos="1287"/>
        </w:tabs>
        <w:spacing w:line="420" w:lineRule="exact"/>
        <w:rPr>
          <w:rFonts w:hint="default" w:ascii="Times New Roman" w:hAnsi="Times New Roman" w:cs="Times New Roman"/>
          <w:b w:val="0"/>
          <w:bCs w:val="0"/>
          <w:color w:val="auto"/>
          <w:sz w:val="22"/>
          <w:szCs w:val="22"/>
          <w:highlight w:val="none"/>
        </w:rPr>
      </w:pPr>
      <w:bookmarkStart w:id="255" w:name="_Toc469384061"/>
      <w:bookmarkStart w:id="256" w:name="_Toc20825"/>
      <w:r>
        <w:rPr>
          <w:rFonts w:hint="default" w:ascii="Times New Roman" w:hAnsi="Times New Roman" w:cs="Times New Roman"/>
          <w:b w:val="0"/>
          <w:bCs w:val="0"/>
          <w:color w:val="auto"/>
          <w:sz w:val="22"/>
          <w:szCs w:val="22"/>
          <w:highlight w:val="none"/>
        </w:rPr>
        <w:t>★</w:t>
      </w:r>
      <w:r>
        <w:rPr>
          <w:rFonts w:hint="default" w:ascii="Times New Roman" w:hAnsi="Times New Roman" w:cs="Times New Roman"/>
          <w:bCs w:val="0"/>
          <w:color w:val="auto"/>
          <w:sz w:val="22"/>
          <w:szCs w:val="22"/>
          <w:highlight w:val="none"/>
        </w:rPr>
        <w:t>77  合同价款调整程序</w:t>
      </w:r>
      <w:bookmarkEnd w:id="255"/>
      <w:bookmarkEnd w:id="256"/>
    </w:p>
    <w:p w14:paraId="51DC793A">
      <w:pPr>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77.1</w:t>
      </w:r>
    </w:p>
    <w:p w14:paraId="437E86E3">
      <w:pPr>
        <w:spacing w:line="420" w:lineRule="exact"/>
        <w:ind w:left="1619" w:leftChars="771" w:firstLine="2"/>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93088" behindDoc="0" locked="0" layoutInCell="1" allowOverlap="1">
                <wp:simplePos x="0" y="0"/>
                <wp:positionH relativeFrom="column">
                  <wp:posOffset>-114300</wp:posOffset>
                </wp:positionH>
                <wp:positionV relativeFrom="paragraph">
                  <wp:posOffset>15875</wp:posOffset>
                </wp:positionV>
                <wp:extent cx="914400" cy="693420"/>
                <wp:effectExtent l="0" t="0" r="0" b="0"/>
                <wp:wrapNone/>
                <wp:docPr id="332" name="文本框 332"/>
                <wp:cNvGraphicFramePr/>
                <a:graphic xmlns:a="http://schemas.openxmlformats.org/drawingml/2006/main">
                  <a:graphicData uri="http://schemas.microsoft.com/office/word/2010/wordprocessingShape">
                    <wps:wsp>
                      <wps:cNvSpPr txBox="1"/>
                      <wps:spPr>
                        <a:xfrm>
                          <a:off x="0" y="0"/>
                          <a:ext cx="914400" cy="693420"/>
                        </a:xfrm>
                        <a:prstGeom prst="rect">
                          <a:avLst/>
                        </a:prstGeom>
                        <a:noFill/>
                        <a:ln>
                          <a:noFill/>
                        </a:ln>
                        <a:effectLst/>
                      </wps:spPr>
                      <wps:txbx>
                        <w:txbxContent>
                          <w:p w14:paraId="1697D8AD">
                            <w:pPr>
                              <w:pStyle w:val="24"/>
                              <w:spacing w:line="200" w:lineRule="exact"/>
                              <w:rPr>
                                <w:rFonts w:ascii="宋体" w:eastAsia="宋体"/>
                              </w:rPr>
                            </w:pPr>
                            <w:r>
                              <w:rPr>
                                <w:rFonts w:hint="eastAsia" w:ascii="楷体_GB2312" w:hAnsi="宋体" w:cs="楷体_GB2312"/>
                                <w:sz w:val="18"/>
                                <w:szCs w:val="18"/>
                              </w:rPr>
                              <w:t>合同价款调整程序的规定</w:t>
                            </w:r>
                            <w:r>
                              <w:rPr>
                                <w:rFonts w:ascii="楷体_GB2312" w:hAnsi="宋体" w:cs="楷体_GB2312"/>
                                <w:sz w:val="18"/>
                                <w:szCs w:val="18"/>
                              </w:rPr>
                              <w:t xml:space="preserve">    </w:t>
                            </w:r>
                            <w:r>
                              <w:rPr>
                                <w:rFonts w:ascii="宋体" w:hAnsi="宋体" w:cs="宋体"/>
                              </w:rPr>
                              <w:t xml:space="preserve">                         </w:t>
                            </w:r>
                          </w:p>
                        </w:txbxContent>
                      </wps:txbx>
                      <wps:bodyPr wrap="square" upright="1"/>
                    </wps:wsp>
                  </a:graphicData>
                </a:graphic>
              </wp:anchor>
            </w:drawing>
          </mc:Choice>
          <mc:Fallback>
            <w:pict>
              <v:shape id="_x0000_s1026" o:spid="_x0000_s1026" o:spt="202" type="#_x0000_t202" style="position:absolute;left:0pt;margin-left:-9pt;margin-top:1.25pt;height:54.6pt;width:72pt;z-index:251993088;mso-width-relative:page;mso-height-relative:page;" filled="f" stroked="f" coordsize="21600,21600" o:gfxdata="UEsDBAoAAAAAAIdO4kAAAAAAAAAAAAAAAAAEAAAAZHJzL1BLAwQUAAAACACHTuJAQPuPt9YAAAAJ&#10;AQAADwAAAGRycy9kb3ducmV2LnhtbE2PzU7DMBCE70h9B2uRuLW2I/pDiNNDEVcQhSJxc+NtEhGv&#10;o9htwtuzPcFtRzOa/abYTr4TFxxiG8iAXigQSFVwLdUGPt6f5xsQMVlytguEBn4wwrac3RQ2d2Gk&#10;N7zsUy24hGJuDTQp9bmUsWrQ27gIPRJ7pzB4m1gOtXSDHbncdzJTaiW9bYk/NLbHXYPV9/7sDRxe&#10;Tl+f9+q1fvLLfgyTkuQfpDF3t1o9gkg4pb8wXPEZHUpmOoYzuSg6A3O94S3JQLYEcfWzFesjH1qv&#10;QZaF/L+g/AVQSwMEFAAAAAgAh07iQFy4Rp29AQAAbQMAAA4AAABkcnMvZTJvRG9jLnhtbK1TS27b&#10;MBDdF+gdCO5ryR8EjWA5QGCkm6ItkPYANDWyCPAXDm3JF2hv0FU33fdcPkeHlOKm6SaLbqjhfB7n&#10;vRmtbwaj2RECKmdrPp+VnIGVrlF2X/Mvn+/evOUMo7CN0M5CzU+A/Gbz+tW69xUsXOd0A4ERiMWq&#10;9zXvYvRVUaDswAicOQ+Wgq0LRkS6hn3RBNETutHFoiyvit6FxgcnAZG82zHIJ8TwEkDXtkrC1smD&#10;ARtH1ABaRKKEnfLIN7nbtgUZP7YtQmS65sQ05pMeIXuXzmKzFtU+CN8pObUgXtLCM05GKEuPXqC2&#10;Igp2COofKKNkcOjaOJPOFCORrAixmJfPtLnvhIfMhaRGfxEd/x+s/HD8FJhqar5cLjizwtDIz9+/&#10;nX/8Ov/8ypKTJOo9VpR57yk3DrduoMV59CM5E/OhDSZ9iROjOAl8uggMQ2SSnNfz1aqkiKTQ1fVy&#10;tcgDKP4U+4DxHTjDklHzQPPLsorje4zUCKU+pqS3rLtTWucZavuXgxJHD+QlmKoTj7HfZMVhN0zk&#10;dq45EbeeFqHm+HAQATg7+KD2HbWRuRaphKaQm5g2Jo356Z3sp3/J5j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A+4+31gAAAAkBAAAPAAAAAAAAAAEAIAAAACIAAABkcnMvZG93bnJldi54bWxQSwEC&#10;FAAUAAAACACHTuJAXLhGnb0BAABtAwAADgAAAAAAAAABACAAAAAlAQAAZHJzL2Uyb0RvYy54bWxQ&#10;SwUGAAAAAAYABgBZAQAAVAUAAAAA&#10;">
                <v:fill on="f" focussize="0,0"/>
                <v:stroke on="f"/>
                <v:imagedata o:title=""/>
                <o:lock v:ext="edit" aspectratio="f"/>
                <v:textbox>
                  <w:txbxContent>
                    <w:p w14:paraId="1697D8AD">
                      <w:pPr>
                        <w:pStyle w:val="24"/>
                        <w:spacing w:line="200" w:lineRule="exact"/>
                        <w:rPr>
                          <w:rFonts w:ascii="宋体" w:eastAsia="宋体"/>
                        </w:rPr>
                      </w:pPr>
                      <w:r>
                        <w:rPr>
                          <w:rFonts w:hint="eastAsia" w:ascii="楷体_GB2312" w:hAnsi="宋体" w:cs="楷体_GB2312"/>
                          <w:sz w:val="18"/>
                          <w:szCs w:val="18"/>
                        </w:rPr>
                        <w:t>合同价款调整程序的规定</w:t>
                      </w:r>
                      <w:r>
                        <w:rPr>
                          <w:rFonts w:ascii="楷体_GB2312" w:hAnsi="宋体" w:cs="楷体_GB2312"/>
                          <w:sz w:val="18"/>
                          <w:szCs w:val="18"/>
                        </w:rPr>
                        <w:t xml:space="preserve">    </w:t>
                      </w:r>
                      <w:r>
                        <w:rPr>
                          <w:rFonts w:ascii="宋体" w:hAnsi="宋体" w:cs="宋体"/>
                        </w:rPr>
                        <w:t xml:space="preserve">                         </w:t>
                      </w:r>
                    </w:p>
                  </w:txbxContent>
                </v:textbox>
              </v:shape>
            </w:pict>
          </mc:Fallback>
        </mc:AlternateContent>
      </w:r>
      <w:r>
        <w:rPr>
          <w:rFonts w:hint="default" w:ascii="Times New Roman" w:hAnsi="Times New Roman" w:cs="Times New Roman"/>
          <w:color w:val="auto"/>
          <w:sz w:val="22"/>
          <w:szCs w:val="22"/>
          <w:highlight w:val="none"/>
        </w:rPr>
        <w:t>合同履行期间，出现第68.2款规定调整合同价款事件的，除费用索赔、现场签证事件分别按照第74条、第75条规定程序外，合同双方当事人应按照本条规定程序调整合同价款。</w:t>
      </w:r>
    </w:p>
    <w:p w14:paraId="6541182D">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94112" behindDoc="0" locked="0" layoutInCell="1" allowOverlap="1">
                <wp:simplePos x="0" y="0"/>
                <wp:positionH relativeFrom="column">
                  <wp:posOffset>-58420</wp:posOffset>
                </wp:positionH>
                <wp:positionV relativeFrom="paragraph">
                  <wp:posOffset>246380</wp:posOffset>
                </wp:positionV>
                <wp:extent cx="914400" cy="619125"/>
                <wp:effectExtent l="0" t="0" r="0" b="0"/>
                <wp:wrapNone/>
                <wp:docPr id="333" name="文本框 333"/>
                <wp:cNvGraphicFramePr/>
                <a:graphic xmlns:a="http://schemas.openxmlformats.org/drawingml/2006/main">
                  <a:graphicData uri="http://schemas.microsoft.com/office/word/2010/wordprocessingShape">
                    <wps:wsp>
                      <wps:cNvSpPr txBox="1"/>
                      <wps:spPr>
                        <a:xfrm>
                          <a:off x="0" y="0"/>
                          <a:ext cx="914400" cy="619125"/>
                        </a:xfrm>
                        <a:prstGeom prst="rect">
                          <a:avLst/>
                        </a:prstGeom>
                        <a:noFill/>
                        <a:ln>
                          <a:noFill/>
                        </a:ln>
                        <a:effectLst/>
                      </wps:spPr>
                      <wps:txbx>
                        <w:txbxContent>
                          <w:p w14:paraId="4F9C42C8">
                            <w:pPr>
                              <w:pStyle w:val="24"/>
                              <w:spacing w:line="200" w:lineRule="exact"/>
                              <w:rPr>
                                <w:rFonts w:ascii="楷体_GB2312" w:hAnsi="宋体"/>
                                <w:sz w:val="18"/>
                                <w:szCs w:val="18"/>
                              </w:rPr>
                            </w:pPr>
                            <w:r>
                              <w:rPr>
                                <w:rFonts w:hint="eastAsia" w:ascii="楷体_GB2312" w:hAnsi="宋体" w:cs="楷体_GB2312"/>
                                <w:sz w:val="18"/>
                                <w:szCs w:val="18"/>
                              </w:rPr>
                              <w:t>合同价款调增报告的提出</w:t>
                            </w:r>
                          </w:p>
                          <w:p w14:paraId="3923F619">
                            <w:pPr>
                              <w:pStyle w:val="24"/>
                              <w:spacing w:line="200" w:lineRule="exact"/>
                              <w:rPr>
                                <w:rFonts w:ascii="宋体" w:hAnsi="宋体" w:eastAsia="宋体"/>
                                <w:sz w:val="18"/>
                                <w:szCs w:val="18"/>
                              </w:rPr>
                            </w:pPr>
                          </w:p>
                        </w:txbxContent>
                      </wps:txbx>
                      <wps:bodyPr wrap="square" upright="1"/>
                    </wps:wsp>
                  </a:graphicData>
                </a:graphic>
              </wp:anchor>
            </w:drawing>
          </mc:Choice>
          <mc:Fallback>
            <w:pict>
              <v:shape id="_x0000_s1026" o:spid="_x0000_s1026" o:spt="202" type="#_x0000_t202" style="position:absolute;left:0pt;margin-left:-4.6pt;margin-top:19.4pt;height:48.75pt;width:72pt;z-index:251994112;mso-width-relative:page;mso-height-relative:page;" filled="f" stroked="f" coordsize="21600,21600" o:gfxdata="UEsDBAoAAAAAAIdO4kAAAAAAAAAAAAAAAAAEAAAAZHJzL1BLAwQUAAAACACHTuJAVC8H/tUAAAAJ&#10;AQAADwAAAGRycy9kb3ducmV2LnhtbE2PzW7CMBCE75V4B2srcQMbQhGEOByoeqUq/ZG4mXhJosbr&#10;KDYkfftuTu1tVjOa/SbbD64Rd+xC7UnDYq5AIBXe1lRq+Hh/mW1AhGjImsYTavjBAPt88pCZ1Pqe&#10;3vB+iqXgEgqp0VDF2KZShqJCZ8Lct0jsXX3nTOSzK6XtTM/lrpFLpdbSmZr4Q2VaPFRYfJ9uTsPn&#10;8Xr+WqnX8tk9tb0flCS3lVpPHxdqByLiEP/CMOIzOuTMdPE3skE0GmbbJSc1JBteMPrJisVlFOsE&#10;ZJ7J/wvyX1BLAwQUAAAACACHTuJAtTnCtL0BAABtAwAADgAAAGRycy9lMm9Eb2MueG1srVNLbtsw&#10;EN0X6B0I7mtJdho0guUAhZFsgrZAmgPQ1MgiIH7KoS35Au0Nuuqm+57L5+iQUpzfJotsqOF8Hue9&#10;GS0vB92xPXhU1lS8mOWcgZG2VmZb8bvvVx8+cYZBmFp01kDFD4D8cvX+3bJ3Jcxta7saPCMQg2Xv&#10;Kt6G4MosQ9mCFjizDgwFG+u1CHT126z2oid03WXzPD/Peutr560ERPKuxyCfEP1rAG3TKAlrK3ca&#10;TBhRPXQiECVslUO+St02DcjwtWkQAusqTkxDOukRsjfxzFZLUW69cK2SUwviNS0846SFMvToCWot&#10;gmA7r15AaSW9RduEmbQ6G4kkRYhFkT/T5rYVDhIXkhrdSXR8O1j5Zf/NM1VXfLFYcGaEppEff/86&#10;/vl3/PuTRSdJ1DssKfPWUW4YPtuBFufej+SMzIfG6/glToziJPDhJDAMgUlyXhRnZzlFJIXOi4ti&#10;/jGiZA/FzmO4BqtZNCruaX5JVrG/wTCm3qfEt4y9Ul2XZtiZJw7CHD2QlmCqjjzGfqMVhs0wkdvY&#10;+kDcelqEiuOPnfDA2c55tW2pjcQ1iyU0hdTvtDFxzI/vZD/+S1b/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FQvB/7VAAAACQEAAA8AAAAAAAAAAQAgAAAAIgAAAGRycy9kb3ducmV2LnhtbFBLAQIU&#10;ABQAAAAIAIdO4kC1OcK0vQEAAG0DAAAOAAAAAAAAAAEAIAAAACQBAABkcnMvZTJvRG9jLnhtbFBL&#10;BQYAAAAABgAGAFkBAABTBQAAAAA=&#10;">
                <v:fill on="f" focussize="0,0"/>
                <v:stroke on="f"/>
                <v:imagedata o:title=""/>
                <o:lock v:ext="edit" aspectratio="f"/>
                <v:textbox>
                  <w:txbxContent>
                    <w:p w14:paraId="4F9C42C8">
                      <w:pPr>
                        <w:pStyle w:val="24"/>
                        <w:spacing w:line="200" w:lineRule="exact"/>
                        <w:rPr>
                          <w:rFonts w:ascii="楷体_GB2312" w:hAnsi="宋体"/>
                          <w:sz w:val="18"/>
                          <w:szCs w:val="18"/>
                        </w:rPr>
                      </w:pPr>
                      <w:r>
                        <w:rPr>
                          <w:rFonts w:hint="eastAsia" w:ascii="楷体_GB2312" w:hAnsi="宋体" w:cs="楷体_GB2312"/>
                          <w:sz w:val="18"/>
                          <w:szCs w:val="18"/>
                        </w:rPr>
                        <w:t>合同价款调增报告的提出</w:t>
                      </w:r>
                    </w:p>
                    <w:p w14:paraId="3923F619">
                      <w:pPr>
                        <w:pStyle w:val="24"/>
                        <w:spacing w:line="200" w:lineRule="exact"/>
                        <w:rPr>
                          <w:rFonts w:ascii="宋体" w:hAnsi="宋体" w:eastAsia="宋体"/>
                          <w:sz w:val="18"/>
                          <w:szCs w:val="18"/>
                        </w:rPr>
                      </w:pPr>
                    </w:p>
                  </w:txbxContent>
                </v:textbox>
              </v:shape>
            </w:pict>
          </mc:Fallback>
        </mc:AlternateContent>
      </w:r>
      <w:r>
        <w:rPr>
          <w:rFonts w:hint="default" w:ascii="Times New Roman" w:hAnsi="Times New Roman" w:cs="Times New Roman"/>
          <w:b/>
          <w:bCs/>
          <w:color w:val="auto"/>
          <w:sz w:val="22"/>
          <w:szCs w:val="22"/>
          <w:highlight w:val="none"/>
        </w:rPr>
        <w:t xml:space="preserve">77.2 </w:t>
      </w:r>
      <w:r>
        <w:rPr>
          <w:rFonts w:hint="default" w:ascii="Times New Roman" w:hAnsi="Times New Roman" w:cs="Times New Roman"/>
          <w:b/>
          <w:bCs/>
          <w:color w:val="auto"/>
          <w:sz w:val="22"/>
          <w:szCs w:val="22"/>
          <w:highlight w:val="none"/>
          <w:u w:val="dotted"/>
        </w:rPr>
        <w:t xml:space="preserve">                                                                               </w:t>
      </w:r>
    </w:p>
    <w:p w14:paraId="4503D683">
      <w:pPr>
        <w:pStyle w:val="15"/>
        <w:adjustRightInd w:val="0"/>
        <w:snapToGrid w:val="0"/>
        <w:spacing w:line="420" w:lineRule="exact"/>
        <w:ind w:left="1619" w:leftChars="771"/>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w:t>出现合同价款调增事件后的14天内，承包人应向造价工程师提交合同价款调增报告。并附上相关资料。如承包人在出现合同价款调增事件后的14天内未提交合同价款调增报告的，则造价工程师可在报发包人批准后，根据实际情况决定是否调整合同价款以及调整的金额。</w:t>
      </w:r>
    </w:p>
    <w:p w14:paraId="6DD06DA1">
      <w:pPr>
        <w:pStyle w:val="15"/>
        <w:adjustRightInd w:val="0"/>
        <w:snapToGrid w:val="0"/>
        <w:spacing w:line="420" w:lineRule="exact"/>
        <w:rPr>
          <w:rFonts w:hint="default" w:ascii="Times New Roman" w:hAnsi="Times New Roman" w:cs="Times New Roman"/>
          <w:color w:val="auto"/>
          <w:sz w:val="22"/>
          <w:szCs w:val="22"/>
          <w:highlight w:val="none"/>
          <w:u w:val="dotted"/>
        </w:rPr>
      </w:pPr>
      <w:r>
        <w:rPr>
          <w:rFonts w:hint="default" w:ascii="Times New Roman" w:hAnsi="Times New Roman" w:cs="Times New Roman"/>
          <w:b/>
          <w:bCs/>
          <w:color w:val="auto"/>
          <w:sz w:val="22"/>
          <w:szCs w:val="22"/>
          <w:highlight w:val="none"/>
        </w:rPr>
        <w:t xml:space="preserve">77.3 </w:t>
      </w:r>
      <w:r>
        <w:rPr>
          <w:rFonts w:hint="default" w:ascii="Times New Roman" w:hAnsi="Times New Roman" w:cs="Times New Roman"/>
          <w:color w:val="auto"/>
          <w:sz w:val="22"/>
          <w:szCs w:val="22"/>
          <w:highlight w:val="none"/>
          <w:u w:val="dotted"/>
        </w:rPr>
        <w:t xml:space="preserve">                                                                              </w:t>
      </w:r>
    </w:p>
    <w:p w14:paraId="0C0015B5">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95136" behindDoc="0" locked="0" layoutInCell="1" allowOverlap="1">
                <wp:simplePos x="0" y="0"/>
                <wp:positionH relativeFrom="column">
                  <wp:posOffset>-114300</wp:posOffset>
                </wp:positionH>
                <wp:positionV relativeFrom="paragraph">
                  <wp:posOffset>34290</wp:posOffset>
                </wp:positionV>
                <wp:extent cx="1028700" cy="495300"/>
                <wp:effectExtent l="0" t="0" r="0" b="0"/>
                <wp:wrapNone/>
                <wp:docPr id="334" name="文本框 334"/>
                <wp:cNvGraphicFramePr/>
                <a:graphic xmlns:a="http://schemas.openxmlformats.org/drawingml/2006/main">
                  <a:graphicData uri="http://schemas.microsoft.com/office/word/2010/wordprocessingShape">
                    <wps:wsp>
                      <wps:cNvSpPr txBox="1"/>
                      <wps:spPr>
                        <a:xfrm>
                          <a:off x="0" y="0"/>
                          <a:ext cx="1028700" cy="495300"/>
                        </a:xfrm>
                        <a:prstGeom prst="rect">
                          <a:avLst/>
                        </a:prstGeom>
                        <a:noFill/>
                        <a:ln>
                          <a:noFill/>
                        </a:ln>
                        <a:effectLst/>
                      </wps:spPr>
                      <wps:txbx>
                        <w:txbxContent>
                          <w:p w14:paraId="0D0A1041">
                            <w:pPr>
                              <w:pStyle w:val="24"/>
                              <w:spacing w:line="200" w:lineRule="exact"/>
                              <w:rPr>
                                <w:rFonts w:ascii="楷体_GB2312" w:hAnsi="宋体"/>
                                <w:sz w:val="18"/>
                                <w:szCs w:val="18"/>
                              </w:rPr>
                            </w:pPr>
                            <w:r>
                              <w:rPr>
                                <w:rFonts w:hint="eastAsia" w:ascii="楷体_GB2312" w:hAnsi="宋体" w:cs="楷体_GB2312"/>
                                <w:sz w:val="18"/>
                                <w:szCs w:val="18"/>
                              </w:rPr>
                              <w:t>调增价款的核</w:t>
                            </w:r>
                          </w:p>
                          <w:p w14:paraId="5964B06B">
                            <w:pPr>
                              <w:pStyle w:val="24"/>
                              <w:spacing w:line="200" w:lineRule="exact"/>
                              <w:rPr>
                                <w:rFonts w:ascii="楷体_GB2312" w:hAnsi="宋体"/>
                                <w:sz w:val="18"/>
                                <w:szCs w:val="18"/>
                              </w:rPr>
                            </w:pPr>
                            <w:r>
                              <w:rPr>
                                <w:rFonts w:hint="eastAsia" w:ascii="楷体_GB2312" w:hAnsi="宋体" w:cs="楷体_GB2312"/>
                                <w:sz w:val="18"/>
                                <w:szCs w:val="18"/>
                              </w:rPr>
                              <w:t>实</w:t>
                            </w:r>
                          </w:p>
                        </w:txbxContent>
                      </wps:txbx>
                      <wps:bodyPr wrap="square" upright="1"/>
                    </wps:wsp>
                  </a:graphicData>
                </a:graphic>
              </wp:anchor>
            </w:drawing>
          </mc:Choice>
          <mc:Fallback>
            <w:pict>
              <v:shape id="_x0000_s1026" o:spid="_x0000_s1026" o:spt="202" type="#_x0000_t202" style="position:absolute;left:0pt;margin-left:-9pt;margin-top:2.7pt;height:39pt;width:81pt;z-index:251995136;mso-width-relative:page;mso-height-relative:page;" filled="f" stroked="f" coordsize="21600,21600" o:gfxdata="UEsDBAoAAAAAAIdO4kAAAAAAAAAAAAAAAAAEAAAAZHJzL1BLAwQUAAAACACHTuJA+mIYRtUAAAAI&#10;AQAADwAAAGRycy9kb3ducmV2LnhtbE2PwU7DMBBE70j8g7VI3Fo74KI0ZNMDiCuIFpB6c+NtEhGv&#10;o9htwt/jnuA4mtHMm3Izu16caQydZ4RsqUAQ19523CB87F4WOYgQDVvTeyaEHwqwqa6vSlNYP/E7&#10;nbexEamEQ2EQ2hiHQspQt+RMWPqBOHlHPzoTkxwbaUczpXLXyzulHqQzHaeF1gz01FL9vT05hM/X&#10;4/5Lq7fm2a2Gyc9KsltLxNubTD2CiDTHvzBc8BM6VInp4E9sg+gRFlmevkSElQZx8bVO+oCQ32uQ&#10;VSn/H6h+AVBLAwQUAAAACACHTuJAfOBo+b0BAABuAwAADgAAAGRycy9lMm9Eb2MueG1srVNLbtsw&#10;EN0X6B0I7msqdtqmguUAhZFsirZAkgPQ1MgiIH7CoS35Au0Nuuqm+57L58iQUtw03WTRDTWcz+O8&#10;N6Pl5WA6toeA2tmKn80KzsAqV2u7rfjd7dWbC84wSlvLzlmo+AGQX65ev1r2voS5a11XQ2AEYrHs&#10;fcXbGH0pBKoWjMSZ82Ap2LhgZKRr2Io6yJ7QTSfmRfFO9C7UPjgFiORdj0E+IYaXALqm0QrWTu0M&#10;2DiiBuhkJErYao98lbttGlDxS9MgRNZVnJjGfNIjZG/SKVZLWW6D9K1WUwvyJS0842SktvToCWot&#10;o2S7oP+BMloFh66JM+WMGIlkRYjFWfFMm5tWeshcSGr0J9Hx/8Gqz/uvgem64ovFOWdWGhr58cf3&#10;48/fx1/fWHKSRL3HkjJvPOXG4aMbaHEe/UjOxHxogklf4sQoTgIfTgLDEJlKRcX84n1BIUWx8w9v&#10;F2QTvPhT7QPGa3CGJaPigQaYdZX7TxjH1MeU9Jh1V7rr8hA7+5eDMEcP5C2YqhORseFkxWEzTOw2&#10;rj4QuZ42oeJ4v5MBONv5oLcttZHJilRCY8j9TiuT5vz0TvbT32T1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PpiGEbVAAAACAEAAA8AAAAAAAAAAQAgAAAAIgAAAGRycy9kb3ducmV2LnhtbFBLAQIU&#10;ABQAAAAIAIdO4kB84Gj5vQEAAG4DAAAOAAAAAAAAAAEAIAAAACQBAABkcnMvZTJvRG9jLnhtbFBL&#10;BQYAAAAABgAGAFkBAABTBQAAAAA=&#10;">
                <v:fill on="f" focussize="0,0"/>
                <v:stroke on="f"/>
                <v:imagedata o:title=""/>
                <o:lock v:ext="edit" aspectratio="f"/>
                <v:textbox>
                  <w:txbxContent>
                    <w:p w14:paraId="0D0A1041">
                      <w:pPr>
                        <w:pStyle w:val="24"/>
                        <w:spacing w:line="200" w:lineRule="exact"/>
                        <w:rPr>
                          <w:rFonts w:ascii="楷体_GB2312" w:hAnsi="宋体"/>
                          <w:sz w:val="18"/>
                          <w:szCs w:val="18"/>
                        </w:rPr>
                      </w:pPr>
                      <w:r>
                        <w:rPr>
                          <w:rFonts w:hint="eastAsia" w:ascii="楷体_GB2312" w:hAnsi="宋体" w:cs="楷体_GB2312"/>
                          <w:sz w:val="18"/>
                          <w:szCs w:val="18"/>
                        </w:rPr>
                        <w:t>调增价款的核</w:t>
                      </w:r>
                    </w:p>
                    <w:p w14:paraId="5964B06B">
                      <w:pPr>
                        <w:pStyle w:val="24"/>
                        <w:spacing w:line="200" w:lineRule="exact"/>
                        <w:rPr>
                          <w:rFonts w:ascii="楷体_GB2312" w:hAnsi="宋体"/>
                          <w:sz w:val="18"/>
                          <w:szCs w:val="18"/>
                        </w:rPr>
                      </w:pPr>
                      <w:r>
                        <w:rPr>
                          <w:rFonts w:hint="eastAsia" w:ascii="楷体_GB2312" w:hAnsi="宋体" w:cs="楷体_GB2312"/>
                          <w:sz w:val="18"/>
                          <w:szCs w:val="18"/>
                        </w:rPr>
                        <w:t>实</w:t>
                      </w:r>
                    </w:p>
                  </w:txbxContent>
                </v:textbox>
              </v:shape>
            </w:pict>
          </mc:Fallback>
        </mc:AlternateContent>
      </w:r>
      <w:r>
        <w:rPr>
          <w:rFonts w:hint="default" w:ascii="Times New Roman" w:hAnsi="Times New Roman" w:cs="Times New Roman"/>
          <w:color w:val="auto"/>
          <w:sz w:val="22"/>
          <w:szCs w:val="22"/>
          <w:highlight w:val="none"/>
        </w:rPr>
        <w:t>造价工程师应在收到合同价款调增报告及相关资料之日起14天内对其核实，并予以确认或提出协商意见。造价工程师在收到合同价款调增报告之日起14天内未确认也未提出协商意见的，视为承包人提交的合同价款调增报告已被认可。造价工程师提出协商意见的，合同双方当事人应在承包人收到协商意见后的14天内进行协商确定；协商未能达成一致的，由造价工程师暂定调增的合同价款，通知承包人并抄报发包人。出现暂定结果的，只要不实质影响合同双方当事人履约的，合同双方当事人应实施该结果，直到其被改变为止。</w:t>
      </w:r>
    </w:p>
    <w:p w14:paraId="6E6C6CEB">
      <w:pPr>
        <w:pStyle w:val="15"/>
        <w:adjustRightInd w:val="0"/>
        <w:snapToGrid w:val="0"/>
        <w:spacing w:line="420" w:lineRule="exact"/>
        <w:rPr>
          <w:rFonts w:hint="default" w:ascii="Times New Roman" w:hAnsi="Times New Roman" w:cs="Times New Roman"/>
          <w:b/>
          <w:bCs/>
          <w:color w:val="auto"/>
          <w:sz w:val="22"/>
          <w:szCs w:val="22"/>
          <w:highlight w:val="none"/>
          <w:u w:val="dotted"/>
        </w:rPr>
      </w:pPr>
      <w:r>
        <w:rPr>
          <w:rFonts w:hint="default" w:ascii="Times New Roman" w:hAnsi="Times New Roman" w:cs="Times New Roman"/>
          <w:b/>
          <w:bCs/>
          <w:color w:val="auto"/>
          <w:sz w:val="22"/>
          <w:szCs w:val="22"/>
          <w:highlight w:val="none"/>
        </w:rPr>
        <w:t xml:space="preserve">77.4 </w:t>
      </w:r>
      <w:r>
        <w:rPr>
          <w:rFonts w:hint="default" w:ascii="Times New Roman" w:hAnsi="Times New Roman" w:cs="Times New Roman"/>
          <w:b/>
          <w:bCs/>
          <w:color w:val="auto"/>
          <w:sz w:val="22"/>
          <w:szCs w:val="22"/>
          <w:highlight w:val="none"/>
          <w:u w:val="dotted"/>
        </w:rPr>
        <w:t xml:space="preserve">                                                                              </w:t>
      </w:r>
    </w:p>
    <w:p w14:paraId="7B26EE0C">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96160" behindDoc="0" locked="0" layoutInCell="1" allowOverlap="1">
                <wp:simplePos x="0" y="0"/>
                <wp:positionH relativeFrom="column">
                  <wp:posOffset>-114300</wp:posOffset>
                </wp:positionH>
                <wp:positionV relativeFrom="paragraph">
                  <wp:posOffset>34290</wp:posOffset>
                </wp:positionV>
                <wp:extent cx="1028700" cy="495300"/>
                <wp:effectExtent l="0" t="0" r="0" b="0"/>
                <wp:wrapNone/>
                <wp:docPr id="335" name="文本框 335"/>
                <wp:cNvGraphicFramePr/>
                <a:graphic xmlns:a="http://schemas.openxmlformats.org/drawingml/2006/main">
                  <a:graphicData uri="http://schemas.microsoft.com/office/word/2010/wordprocessingShape">
                    <wps:wsp>
                      <wps:cNvSpPr txBox="1"/>
                      <wps:spPr>
                        <a:xfrm>
                          <a:off x="0" y="0"/>
                          <a:ext cx="1028700" cy="495300"/>
                        </a:xfrm>
                        <a:prstGeom prst="rect">
                          <a:avLst/>
                        </a:prstGeom>
                        <a:noFill/>
                        <a:ln>
                          <a:noFill/>
                        </a:ln>
                        <a:effectLst/>
                      </wps:spPr>
                      <wps:txbx>
                        <w:txbxContent>
                          <w:p w14:paraId="18915737">
                            <w:pPr>
                              <w:pStyle w:val="24"/>
                              <w:spacing w:line="200" w:lineRule="exact"/>
                              <w:rPr>
                                <w:rFonts w:ascii="楷体_GB2312" w:hAnsi="宋体"/>
                                <w:sz w:val="18"/>
                                <w:szCs w:val="18"/>
                              </w:rPr>
                            </w:pPr>
                            <w:r>
                              <w:rPr>
                                <w:rFonts w:hint="eastAsia" w:ascii="楷体_GB2312" w:hAnsi="宋体" w:cs="楷体_GB2312"/>
                                <w:sz w:val="18"/>
                                <w:szCs w:val="18"/>
                              </w:rPr>
                              <w:t>调增价款的支</w:t>
                            </w:r>
                          </w:p>
                          <w:p w14:paraId="7341A86D">
                            <w:pPr>
                              <w:pStyle w:val="24"/>
                              <w:spacing w:line="200" w:lineRule="exact"/>
                              <w:rPr>
                                <w:rFonts w:ascii="楷体_GB2312" w:hAnsi="宋体"/>
                                <w:sz w:val="18"/>
                                <w:szCs w:val="18"/>
                              </w:rPr>
                            </w:pPr>
                            <w:r>
                              <w:rPr>
                                <w:rFonts w:hint="eastAsia" w:ascii="楷体_GB2312" w:hAnsi="宋体" w:cs="楷体_GB2312"/>
                                <w:sz w:val="18"/>
                                <w:szCs w:val="18"/>
                              </w:rPr>
                              <w:t>付</w:t>
                            </w:r>
                          </w:p>
                        </w:txbxContent>
                      </wps:txbx>
                      <wps:bodyPr wrap="square" upright="1"/>
                    </wps:wsp>
                  </a:graphicData>
                </a:graphic>
              </wp:anchor>
            </w:drawing>
          </mc:Choice>
          <mc:Fallback>
            <w:pict>
              <v:shape id="_x0000_s1026" o:spid="_x0000_s1026" o:spt="202" type="#_x0000_t202" style="position:absolute;left:0pt;margin-left:-9pt;margin-top:2.7pt;height:39pt;width:81pt;z-index:251996160;mso-width-relative:page;mso-height-relative:page;" filled="f" stroked="f" coordsize="21600,21600" o:gfxdata="UEsDBAoAAAAAAIdO4kAAAAAAAAAAAAAAAAAEAAAAZHJzL1BLAwQUAAAACACHTuJA+mIYRtUAAAAI&#10;AQAADwAAAGRycy9kb3ducmV2LnhtbE2PwU7DMBBE70j8g7VI3Fo74KI0ZNMDiCuIFpB6c+NtEhGv&#10;o9htwt/jnuA4mtHMm3Izu16caQydZ4RsqUAQ19523CB87F4WOYgQDVvTeyaEHwqwqa6vSlNYP/E7&#10;nbexEamEQ2EQ2hiHQspQt+RMWPqBOHlHPzoTkxwbaUczpXLXyzulHqQzHaeF1gz01FL9vT05hM/X&#10;4/5Lq7fm2a2Gyc9KsltLxNubTD2CiDTHvzBc8BM6VInp4E9sg+gRFlmevkSElQZx8bVO+oCQ32uQ&#10;VSn/H6h+AVBLAwQUAAAACACHTuJAs7Enqr0BAABuAwAADgAAAGRycy9lMm9Eb2MueG1srVNLbtsw&#10;EN0X6B0I7msqdtKmguUAhZFuirZAkgPQ1MgiIH7CoS35Au0Nuuqm+57L58iQUtw03WTRDTWcz+O8&#10;N6Pl1WA6toeA2tmKn80KzsAqV2u7rfjd7fWbS84wSlvLzlmo+AGQX61ev1r2voS5a11XQ2AEYrHs&#10;fcXbGH0pBKoWjMSZ82Ap2LhgZKRr2Io6yJ7QTSfmRfFW9C7UPjgFiORdj0E+IYaXALqm0QrWTu0M&#10;2DiiBuhkJErYao98lbttGlDxS9MgRNZVnJjGfNIjZG/SKVZLWW6D9K1WUwvyJS0842SktvToCWot&#10;o2S7oP+BMloFh66JM+WMGIlkRYjFWfFMm5tWeshcSGr0J9Hx/8Gqz/uvgem64ovFBWdWGhr58cf3&#10;48/fx1/fWHKSRL3HkjJvPOXG4YMbaHEe/UjOxHxogklf4sQoTgIfTgLDEJlKRcX88l1BIUWx8/cX&#10;C7IJXvyp9gHjR3CGJaPigQaYdZX7TxjH1MeU9Jh117rr8hA7+5eDMEcP5C2YqhORseFkxWEzTOw2&#10;rj4QuZ42oeJ4v5MBONv5oLcttZHJilRCY8j9TiuT5vz0TvbT32T1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PpiGEbVAAAACAEAAA8AAAAAAAAAAQAgAAAAIgAAAGRycy9kb3ducmV2LnhtbFBLAQIU&#10;ABQAAAAIAIdO4kCzsSeqvQEAAG4DAAAOAAAAAAAAAAEAIAAAACQBAABkcnMvZTJvRG9jLnhtbFBL&#10;BQYAAAAABgAGAFkBAABTBQAAAAA=&#10;">
                <v:fill on="f" focussize="0,0"/>
                <v:stroke on="f"/>
                <v:imagedata o:title=""/>
                <o:lock v:ext="edit" aspectratio="f"/>
                <v:textbox>
                  <w:txbxContent>
                    <w:p w14:paraId="18915737">
                      <w:pPr>
                        <w:pStyle w:val="24"/>
                        <w:spacing w:line="200" w:lineRule="exact"/>
                        <w:rPr>
                          <w:rFonts w:ascii="楷体_GB2312" w:hAnsi="宋体"/>
                          <w:sz w:val="18"/>
                          <w:szCs w:val="18"/>
                        </w:rPr>
                      </w:pPr>
                      <w:r>
                        <w:rPr>
                          <w:rFonts w:hint="eastAsia" w:ascii="楷体_GB2312" w:hAnsi="宋体" w:cs="楷体_GB2312"/>
                          <w:sz w:val="18"/>
                          <w:szCs w:val="18"/>
                        </w:rPr>
                        <w:t>调增价款的支</w:t>
                      </w:r>
                    </w:p>
                    <w:p w14:paraId="7341A86D">
                      <w:pPr>
                        <w:pStyle w:val="24"/>
                        <w:spacing w:line="200" w:lineRule="exact"/>
                        <w:rPr>
                          <w:rFonts w:ascii="楷体_GB2312" w:hAnsi="宋体"/>
                          <w:sz w:val="18"/>
                          <w:szCs w:val="18"/>
                        </w:rPr>
                      </w:pPr>
                      <w:r>
                        <w:rPr>
                          <w:rFonts w:hint="eastAsia" w:ascii="楷体_GB2312" w:hAnsi="宋体" w:cs="楷体_GB2312"/>
                          <w:sz w:val="18"/>
                          <w:szCs w:val="18"/>
                        </w:rPr>
                        <w:t>付</w:t>
                      </w:r>
                    </w:p>
                  </w:txbxContent>
                </v:textbox>
              </v:shape>
            </w:pict>
          </mc:Fallback>
        </mc:AlternateContent>
      </w:r>
      <w:r>
        <w:rPr>
          <w:rFonts w:hint="default" w:ascii="Times New Roman" w:hAnsi="Times New Roman" w:cs="Times New Roman"/>
          <w:color w:val="auto"/>
          <w:sz w:val="22"/>
          <w:szCs w:val="22"/>
          <w:highlight w:val="none"/>
        </w:rPr>
        <w:t>经合同双方当事人确认或造价工程师暂定调增的合同价款，作为追加合同价款，与工程进度款或结算款同期支付。</w:t>
      </w:r>
    </w:p>
    <w:p w14:paraId="080E4BFC">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77.5 </w:t>
      </w:r>
      <w:r>
        <w:rPr>
          <w:rFonts w:hint="default" w:ascii="Times New Roman" w:hAnsi="Times New Roman" w:cs="Times New Roman"/>
          <w:b/>
          <w:bCs/>
          <w:color w:val="auto"/>
          <w:sz w:val="22"/>
          <w:szCs w:val="22"/>
          <w:highlight w:val="none"/>
          <w:u w:val="dotted"/>
        </w:rPr>
        <w:t xml:space="preserve">                                                                               </w:t>
      </w:r>
    </w:p>
    <w:p w14:paraId="28353549">
      <w:pPr>
        <w:pStyle w:val="15"/>
        <w:adjustRightInd w:val="0"/>
        <w:snapToGrid w:val="0"/>
        <w:spacing w:line="420" w:lineRule="exact"/>
        <w:ind w:left="1606" w:leftChars="765"/>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97184" behindDoc="0" locked="0" layoutInCell="1" allowOverlap="1">
                <wp:simplePos x="0" y="0"/>
                <wp:positionH relativeFrom="column">
                  <wp:posOffset>-66675</wp:posOffset>
                </wp:positionH>
                <wp:positionV relativeFrom="paragraph">
                  <wp:posOffset>5715</wp:posOffset>
                </wp:positionV>
                <wp:extent cx="1143000" cy="495300"/>
                <wp:effectExtent l="0" t="0" r="0" b="0"/>
                <wp:wrapNone/>
                <wp:docPr id="336" name="文本框 336"/>
                <wp:cNvGraphicFramePr/>
                <a:graphic xmlns:a="http://schemas.openxmlformats.org/drawingml/2006/main">
                  <a:graphicData uri="http://schemas.microsoft.com/office/word/2010/wordprocessingShape">
                    <wps:wsp>
                      <wps:cNvSpPr txBox="1"/>
                      <wps:spPr>
                        <a:xfrm>
                          <a:off x="0" y="0"/>
                          <a:ext cx="1143000" cy="495300"/>
                        </a:xfrm>
                        <a:prstGeom prst="rect">
                          <a:avLst/>
                        </a:prstGeom>
                        <a:noFill/>
                        <a:ln>
                          <a:noFill/>
                        </a:ln>
                        <a:effectLst/>
                      </wps:spPr>
                      <wps:txbx>
                        <w:txbxContent>
                          <w:p w14:paraId="15A891CA">
                            <w:pPr>
                              <w:pStyle w:val="24"/>
                              <w:spacing w:line="200" w:lineRule="exact"/>
                              <w:rPr>
                                <w:rFonts w:ascii="楷体_GB2312" w:hAnsi="宋体"/>
                                <w:sz w:val="18"/>
                                <w:szCs w:val="18"/>
                              </w:rPr>
                            </w:pPr>
                            <w:r>
                              <w:rPr>
                                <w:rFonts w:hint="eastAsia" w:ascii="楷体_GB2312" w:hAnsi="宋体" w:cs="楷体_GB2312"/>
                                <w:sz w:val="18"/>
                                <w:szCs w:val="18"/>
                              </w:rPr>
                              <w:t>合同价款调减</w:t>
                            </w:r>
                          </w:p>
                          <w:p w14:paraId="3A8CE7B0">
                            <w:pPr>
                              <w:pStyle w:val="24"/>
                              <w:spacing w:line="200" w:lineRule="exact"/>
                              <w:rPr>
                                <w:rFonts w:ascii="楷体_GB2312" w:hAnsi="宋体"/>
                                <w:sz w:val="18"/>
                                <w:szCs w:val="18"/>
                              </w:rPr>
                            </w:pPr>
                            <w:r>
                              <w:rPr>
                                <w:rFonts w:hint="eastAsia" w:ascii="楷体_GB2312" w:hAnsi="宋体" w:cs="楷体_GB2312"/>
                                <w:sz w:val="18"/>
                                <w:szCs w:val="18"/>
                              </w:rPr>
                              <w:t>事件的处理</w:t>
                            </w:r>
                          </w:p>
                        </w:txbxContent>
                      </wps:txbx>
                      <wps:bodyPr wrap="square" upright="1"/>
                    </wps:wsp>
                  </a:graphicData>
                </a:graphic>
              </wp:anchor>
            </w:drawing>
          </mc:Choice>
          <mc:Fallback>
            <w:pict>
              <v:shape id="_x0000_s1026" o:spid="_x0000_s1026" o:spt="202" type="#_x0000_t202" style="position:absolute;left:0pt;margin-left:-5.25pt;margin-top:0.45pt;height:39pt;width:90pt;z-index:251997184;mso-width-relative:page;mso-height-relative:page;" filled="f" stroked="f" coordsize="21600,21600" o:gfxdata="UEsDBAoAAAAAAIdO4kAAAAAAAAAAAAAAAAAEAAAAZHJzL1BLAwQUAAAACACHTuJAFmpeOdMAAAAH&#10;AQAADwAAAGRycy9kb3ducmV2LnhtbE2OTU/DMBBE70j8B2uRuLXrIFqakE0PIK4gyofEzY23SUS8&#10;jmK3Cf8e9wTH0YzevHI7u16deAydF4JsqUGx1N520hC8vz0tNqBCNGJN74UJfjjAtrq8KE1h/SSv&#10;fNrFRiWIhMIQtDEOBWKoW3YmLP3AkrqDH52JKY4N2tFMCe56vNF6jc50kh5aM/BDy/X37ugIPp4P&#10;X5+3+qV5dKth8rNGcTkSXV9l+h5U5Dn+jeGsn9ShSk57fxQbVE+wyPQqTQlyUOd6nae4J7jb5IBV&#10;if/9q19QSwMEFAAAAAgAh07iQE0f+Oa8AQAAbgMAAA4AAABkcnMvZTJvRG9jLnhtbK1TS27bMBDd&#10;F8gdCO5jyXEatILlAIWRbIK2QNoD0NTQIsBfObQlX6C9QVfddN9z+RwdSoqbJpsssqGG83mc92a0&#10;vO6tYXuIqL2r+XxWcgZO+ka7bc2/frk5f8cZJuEaYbyDmh8A+fXq7M2yCxVc+NabBiIjEIdVF2re&#10;phSqokDZghU48wEcBZWPViS6xm3RRNERujXFRVleFZ2PTYheAiJ512OQT4jxJYBeKS1h7eXOgksj&#10;agQjElHCVgfkq6FbpUCmT0ohJGZqTkzTcNIjZG/yWayWotpGEVotpxbES1p4wskK7ejRE9RaJMF2&#10;UT+DslpGj16lmfS2GIkMihCLeflEm/tWBBi4kNQYTqLj68HKj/vPkemm5ovFFWdOWBr58eeP468/&#10;x9/fWXaSRF3AijLvA+Wm/oPvaXEe/EjOzLxX0eYvcWIUJ4EPJ4GhT0zmovnloiwpJCl2+f4tXTJM&#10;8a86REy34C3LRs0jDXDQVezvMI2pDyn5MedvtDHDEI37z0GYoweGLZiqM5Gx4WylftNP7Da+ORC5&#10;jjah5vhtJyJwtgtRb1tqYyBb5BIaw9DvtDJ5zo/vZD/+TVZ/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BZqXjnTAAAABwEAAA8AAAAAAAAAAQAgAAAAIgAAAGRycy9kb3ducmV2LnhtbFBLAQIUABQA&#10;AAAIAIdO4kBNH/jmvAEAAG4DAAAOAAAAAAAAAAEAIAAAACIBAABkcnMvZTJvRG9jLnhtbFBLBQYA&#10;AAAABgAGAFkBAABQBQAAAAA=&#10;">
                <v:fill on="f" focussize="0,0"/>
                <v:stroke on="f"/>
                <v:imagedata o:title=""/>
                <o:lock v:ext="edit" aspectratio="f"/>
                <v:textbox>
                  <w:txbxContent>
                    <w:p w14:paraId="15A891CA">
                      <w:pPr>
                        <w:pStyle w:val="24"/>
                        <w:spacing w:line="200" w:lineRule="exact"/>
                        <w:rPr>
                          <w:rFonts w:ascii="楷体_GB2312" w:hAnsi="宋体"/>
                          <w:sz w:val="18"/>
                          <w:szCs w:val="18"/>
                        </w:rPr>
                      </w:pPr>
                      <w:r>
                        <w:rPr>
                          <w:rFonts w:hint="eastAsia" w:ascii="楷体_GB2312" w:hAnsi="宋体" w:cs="楷体_GB2312"/>
                          <w:sz w:val="18"/>
                          <w:szCs w:val="18"/>
                        </w:rPr>
                        <w:t>合同价款调减</w:t>
                      </w:r>
                    </w:p>
                    <w:p w14:paraId="3A8CE7B0">
                      <w:pPr>
                        <w:pStyle w:val="24"/>
                        <w:spacing w:line="200" w:lineRule="exact"/>
                        <w:rPr>
                          <w:rFonts w:ascii="楷体_GB2312" w:hAnsi="宋体"/>
                          <w:sz w:val="18"/>
                          <w:szCs w:val="18"/>
                        </w:rPr>
                      </w:pPr>
                      <w:r>
                        <w:rPr>
                          <w:rFonts w:hint="eastAsia" w:ascii="楷体_GB2312" w:hAnsi="宋体" w:cs="楷体_GB2312"/>
                          <w:sz w:val="18"/>
                          <w:szCs w:val="18"/>
                        </w:rPr>
                        <w:t>事件的处理</w:t>
                      </w:r>
                    </w:p>
                  </w:txbxContent>
                </v:textbox>
              </v:shape>
            </w:pict>
          </mc:Fallback>
        </mc:AlternateContent>
      </w:r>
      <w:r>
        <w:rPr>
          <w:rFonts w:hint="default" w:ascii="Times New Roman" w:hAnsi="Times New Roman" w:cs="Times New Roman"/>
          <w:color w:val="auto"/>
          <w:sz w:val="22"/>
          <w:szCs w:val="22"/>
          <w:highlight w:val="none"/>
        </w:rPr>
        <w:t>出现合同价款调减事件时，发包人可按照本条规定的时限和要求，向承包人提交合同价款调减报告以及调减的金额，但调减部分金额应按照实际调减金额乘以承包人报价浮动率计算。</w:t>
      </w:r>
    </w:p>
    <w:p w14:paraId="629DCA18">
      <w:pPr>
        <w:pStyle w:val="15"/>
        <w:adjustRightInd w:val="0"/>
        <w:snapToGrid w:val="0"/>
        <w:spacing w:line="420" w:lineRule="exact"/>
        <w:ind w:left="1491" w:right="-238" w:hanging="1486" w:hangingChars="675"/>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7A9B42C0">
      <w:pPr>
        <w:pStyle w:val="5"/>
        <w:numPr>
          <w:ilvl w:val="0"/>
          <w:numId w:val="0"/>
        </w:numPr>
        <w:tabs>
          <w:tab w:val="left" w:pos="360"/>
          <w:tab w:val="left" w:pos="420"/>
          <w:tab w:val="left" w:pos="1287"/>
        </w:tabs>
        <w:spacing w:line="420" w:lineRule="exact"/>
        <w:rPr>
          <w:rFonts w:hint="default" w:ascii="Times New Roman" w:hAnsi="Times New Roman" w:cs="Times New Roman"/>
          <w:color w:val="auto"/>
          <w:sz w:val="22"/>
          <w:szCs w:val="22"/>
          <w:highlight w:val="none"/>
        </w:rPr>
      </w:pPr>
      <w:bookmarkStart w:id="257" w:name="_Toc20489"/>
      <w:bookmarkStart w:id="258" w:name="_Toc469384062"/>
      <w:r>
        <w:rPr>
          <w:rFonts w:hint="default" w:ascii="Times New Roman" w:hAnsi="Times New Roman" w:cs="Times New Roman"/>
          <w:b w:val="0"/>
          <w:bCs w:val="0"/>
          <w:color w:val="auto"/>
          <w:sz w:val="22"/>
          <w:szCs w:val="22"/>
          <w:highlight w:val="none"/>
        </w:rPr>
        <w:t>★</w:t>
      </w:r>
      <w:r>
        <w:rPr>
          <w:rFonts w:hint="default" w:ascii="Times New Roman" w:hAnsi="Times New Roman" w:cs="Times New Roman"/>
          <w:color w:val="auto"/>
          <w:sz w:val="22"/>
          <w:szCs w:val="22"/>
          <w:highlight w:val="none"/>
        </w:rPr>
        <w:t>78  支付事项</w:t>
      </w:r>
      <w:bookmarkEnd w:id="257"/>
      <w:bookmarkEnd w:id="258"/>
    </w:p>
    <w:p w14:paraId="1F514F36">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78.1   </w:t>
      </w:r>
    </w:p>
    <w:p w14:paraId="14A30106">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98208" behindDoc="0" locked="0" layoutInCell="1" allowOverlap="1">
                <wp:simplePos x="0" y="0"/>
                <wp:positionH relativeFrom="column">
                  <wp:posOffset>-114300</wp:posOffset>
                </wp:positionH>
                <wp:positionV relativeFrom="paragraph">
                  <wp:posOffset>21590</wp:posOffset>
                </wp:positionV>
                <wp:extent cx="1143000" cy="314325"/>
                <wp:effectExtent l="0" t="0" r="0" b="0"/>
                <wp:wrapNone/>
                <wp:docPr id="337" name="文本框 337"/>
                <wp:cNvGraphicFramePr/>
                <a:graphic xmlns:a="http://schemas.openxmlformats.org/drawingml/2006/main">
                  <a:graphicData uri="http://schemas.microsoft.com/office/word/2010/wordprocessingShape">
                    <wps:wsp>
                      <wps:cNvSpPr txBox="1"/>
                      <wps:spPr>
                        <a:xfrm>
                          <a:off x="0" y="0"/>
                          <a:ext cx="1143000" cy="314325"/>
                        </a:xfrm>
                        <a:prstGeom prst="rect">
                          <a:avLst/>
                        </a:prstGeom>
                        <a:noFill/>
                        <a:ln>
                          <a:noFill/>
                        </a:ln>
                        <a:effectLst/>
                      </wps:spPr>
                      <wps:txbx>
                        <w:txbxContent>
                          <w:p w14:paraId="6BE64854">
                            <w:pPr>
                              <w:pStyle w:val="24"/>
                              <w:spacing w:line="200" w:lineRule="exact"/>
                              <w:rPr>
                                <w:rFonts w:ascii="楷体_GB2312" w:hAnsi="宋体"/>
                                <w:sz w:val="18"/>
                                <w:szCs w:val="18"/>
                              </w:rPr>
                            </w:pPr>
                            <w:r>
                              <w:rPr>
                                <w:rFonts w:hint="eastAsia" w:ascii="楷体_GB2312" w:hAnsi="宋体" w:cs="楷体_GB2312"/>
                                <w:sz w:val="18"/>
                                <w:szCs w:val="18"/>
                              </w:rPr>
                              <w:t>支付工程款项</w:t>
                            </w:r>
                          </w:p>
                        </w:txbxContent>
                      </wps:txbx>
                      <wps:bodyPr wrap="square" upright="1"/>
                    </wps:wsp>
                  </a:graphicData>
                </a:graphic>
              </wp:anchor>
            </w:drawing>
          </mc:Choice>
          <mc:Fallback>
            <w:pict>
              <v:shape id="_x0000_s1026" o:spid="_x0000_s1026" o:spt="202" type="#_x0000_t202" style="position:absolute;left:0pt;margin-left:-9pt;margin-top:1.7pt;height:24.75pt;width:90pt;z-index:251998208;mso-width-relative:page;mso-height-relative:page;" filled="f" stroked="f" coordsize="21600,21600" o:gfxdata="UEsDBAoAAAAAAIdO4kAAAAAAAAAAAAAAAAAEAAAAZHJzL1BLAwQUAAAACACHTuJAFoX0y9UAAAAI&#10;AQAADwAAAGRycy9kb3ducmV2LnhtbE2PwW7CMBBE75X4B2sr9QZ2UkCQZsOBqtdW0ILUm4mXJGq8&#10;jmJD0r+vOdHjaEYzb/LNaFtxpd43jhGSmQJBXDrTcIXw9fk2XYHwQbPRrWNC+CUPm2LykOvMuIF3&#10;dN2HSsQS9plGqEPoMil9WZPVfuY64uidXW91iLKvpOn1EMttK1OlltLqhuNCrTva1lT+7C8W4fB+&#10;/j7O1Uf1ahfd4EYl2a4l4tNjol5ABBrDPQw3/IgORWQ6uQsbL1qEabKKXwLC8xzEzV+mUZ8QFuka&#10;ZJHL/weKP1BLAwQUAAAACACHTuJAwy9SeLsBAABuAwAADgAAAGRycy9lMm9Eb2MueG1srVNLbtsw&#10;EN0XyB0I7mPKdvqBYDlAYSSboi2Q9gA0NbQIiJ9yaEu+QHuDrrrpvufyOTqUFDdNNllkQw3n8zjv&#10;zWh13duWHSCi8a7i81nBGTjla+N2Ff/65ebyHWeYpKtl6x1U/AjIr9cXr1ZdKGHhG9/WEBmBOCy7&#10;UPEmpVAKgaoBK3HmAzgKah+tTHSNO1FH2RG6bcWiKN6Izsc6RK8AkbybMcgnxPgcQK+1UbDxam/B&#10;pRE1QisTUcLGBOTroVutQaVPWiMk1lacmKbhpEfI3uZTrFey3EUZGqOmFuRzWnjEyUrj6NEz1EYm&#10;yfbRPIGyRkWPXqeZ8laMRAZFiMW8eKTNXSMDDFxIagxn0fHlYNXHw+fITF3x5fItZ05aGvnp54/T&#10;rz+n399ZdpJEXcCSMu8C5ab+ve9pce79SM7MvNfR5i9xYhQngY9ngaFPTOWi+dWyKCikKLaky+J1&#10;hhH/qkPEdAvesmxUPNIAB13l4QOmMfU+JT/m/I1p22GIrfvPQZijB4YtmKozkbHhbKV+20/str4+&#10;ErmONqHi+G0vI3C2D9HsGmpjICtyCY1h6HdamTznh3eyH/4m67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WhfTL1QAAAAgBAAAPAAAAAAAAAAEAIAAAACIAAABkcnMvZG93bnJldi54bWxQSwECFAAU&#10;AAAACACHTuJAwy9SeLsBAABuAwAADgAAAAAAAAABACAAAAAkAQAAZHJzL2Uyb0RvYy54bWxQSwUG&#10;AAAAAAYABgBZAQAAUQUAAAAA&#10;">
                <v:fill on="f" focussize="0,0"/>
                <v:stroke on="f"/>
                <v:imagedata o:title=""/>
                <o:lock v:ext="edit" aspectratio="f"/>
                <v:textbox>
                  <w:txbxContent>
                    <w:p w14:paraId="6BE64854">
                      <w:pPr>
                        <w:pStyle w:val="24"/>
                        <w:spacing w:line="200" w:lineRule="exact"/>
                        <w:rPr>
                          <w:rFonts w:ascii="楷体_GB2312" w:hAnsi="宋体"/>
                          <w:sz w:val="18"/>
                          <w:szCs w:val="18"/>
                        </w:rPr>
                      </w:pPr>
                      <w:r>
                        <w:rPr>
                          <w:rFonts w:hint="eastAsia" w:ascii="楷体_GB2312" w:hAnsi="宋体" w:cs="楷体_GB2312"/>
                          <w:sz w:val="18"/>
                          <w:szCs w:val="18"/>
                        </w:rPr>
                        <w:t>支付工程款项</w:t>
                      </w:r>
                    </w:p>
                  </w:txbxContent>
                </v:textbox>
              </v:shape>
            </w:pict>
          </mc:Fallback>
        </mc:AlternateContent>
      </w:r>
      <w:r>
        <w:rPr>
          <w:rFonts w:hint="default" w:ascii="Times New Roman" w:hAnsi="Times New Roman" w:cs="Times New Roman"/>
          <w:color w:val="auto"/>
          <w:sz w:val="22"/>
          <w:szCs w:val="22"/>
          <w:highlight w:val="none"/>
        </w:rPr>
        <w:t>发包人应按照下列规定向承包人支付工程款及其他各种款项：</w:t>
      </w:r>
    </w:p>
    <w:p w14:paraId="3AE38472">
      <w:pPr>
        <w:pStyle w:val="15"/>
        <w:adjustRightInd w:val="0"/>
        <w:snapToGrid w:val="0"/>
        <w:spacing w:line="420" w:lineRule="exact"/>
        <w:ind w:left="1079" w:leftChars="514" w:firstLine="660" w:firstLineChars="3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(1)预付款按照第79条的规定支付；</w:t>
      </w:r>
    </w:p>
    <w:p w14:paraId="6EBCA521">
      <w:pPr>
        <w:pStyle w:val="15"/>
        <w:adjustRightInd w:val="0"/>
        <w:snapToGrid w:val="0"/>
        <w:spacing w:line="420" w:lineRule="exact"/>
        <w:ind w:left="1079" w:leftChars="514" w:firstLine="660" w:firstLineChars="3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(2) 绿色施工安全防护费按照第80条规定支付；</w:t>
      </w:r>
    </w:p>
    <w:p w14:paraId="094D06A2">
      <w:pPr>
        <w:pStyle w:val="15"/>
        <w:adjustRightInd w:val="0"/>
        <w:snapToGrid w:val="0"/>
        <w:spacing w:line="420" w:lineRule="exact"/>
        <w:ind w:left="1079" w:leftChars="514" w:firstLine="660" w:firstLineChars="3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(3)进度款按照第81条的规定支付；</w:t>
      </w:r>
    </w:p>
    <w:p w14:paraId="552CD9EA">
      <w:pPr>
        <w:pStyle w:val="15"/>
        <w:adjustRightInd w:val="0"/>
        <w:snapToGrid w:val="0"/>
        <w:spacing w:line="420" w:lineRule="exact"/>
        <w:ind w:left="481" w:leftChars="229" w:firstLine="1210" w:firstLineChars="55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(4)结算款按照第83条的规定支付；</w:t>
      </w:r>
    </w:p>
    <w:p w14:paraId="53877781">
      <w:pPr>
        <w:pStyle w:val="15"/>
        <w:adjustRightInd w:val="0"/>
        <w:snapToGrid w:val="0"/>
        <w:spacing w:line="420" w:lineRule="exact"/>
        <w:ind w:left="1079" w:leftChars="514" w:firstLine="660" w:firstLineChars="3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(5)质量保证金按照第84条的规定支付；</w:t>
      </w:r>
    </w:p>
    <w:p w14:paraId="44585043">
      <w:pPr>
        <w:pStyle w:val="15"/>
        <w:adjustRightInd w:val="0"/>
        <w:snapToGrid w:val="0"/>
        <w:spacing w:line="420" w:lineRule="exact"/>
        <w:ind w:left="1079" w:leftChars="514" w:firstLine="660" w:firstLineChars="3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(6)最终清算款按照第85条的规定支付。</w:t>
      </w:r>
    </w:p>
    <w:p w14:paraId="5FB5B99E">
      <w:pPr>
        <w:pStyle w:val="15"/>
        <w:adjustRightInd w:val="0"/>
        <w:snapToGrid w:val="0"/>
        <w:spacing w:line="420" w:lineRule="exact"/>
        <w:rPr>
          <w:rFonts w:hint="default" w:ascii="Times New Roman" w:hAnsi="Times New Roman" w:cs="Times New Roman"/>
          <w:b/>
          <w:bCs/>
          <w:color w:val="auto"/>
          <w:sz w:val="22"/>
          <w:szCs w:val="22"/>
          <w:highlight w:val="none"/>
        </w:rPr>
      </w:pPr>
    </w:p>
    <w:p w14:paraId="68323B4E">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78.2  </w:t>
      </w:r>
      <w:r>
        <w:rPr>
          <w:rFonts w:hint="default" w:ascii="Times New Roman" w:hAnsi="Times New Roman" w:cs="Times New Roman"/>
          <w:b/>
          <w:bCs/>
          <w:color w:val="auto"/>
          <w:sz w:val="22"/>
          <w:szCs w:val="22"/>
          <w:highlight w:val="none"/>
          <w:u w:val="dotted"/>
        </w:rPr>
        <w:t xml:space="preserve">                                                                                                         </w:t>
      </w:r>
    </w:p>
    <w:p w14:paraId="15380555">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1999232" behindDoc="0" locked="0" layoutInCell="1" allowOverlap="1">
                <wp:simplePos x="0" y="0"/>
                <wp:positionH relativeFrom="column">
                  <wp:posOffset>-114300</wp:posOffset>
                </wp:positionH>
                <wp:positionV relativeFrom="paragraph">
                  <wp:posOffset>43815</wp:posOffset>
                </wp:positionV>
                <wp:extent cx="914400" cy="398145"/>
                <wp:effectExtent l="0" t="0" r="0" b="0"/>
                <wp:wrapNone/>
                <wp:docPr id="338" name="文本框 338"/>
                <wp:cNvGraphicFramePr/>
                <a:graphic xmlns:a="http://schemas.openxmlformats.org/drawingml/2006/main">
                  <a:graphicData uri="http://schemas.microsoft.com/office/word/2010/wordprocessingShape">
                    <wps:wsp>
                      <wps:cNvSpPr txBox="1"/>
                      <wps:spPr>
                        <a:xfrm>
                          <a:off x="0" y="0"/>
                          <a:ext cx="914400" cy="398145"/>
                        </a:xfrm>
                        <a:prstGeom prst="rect">
                          <a:avLst/>
                        </a:prstGeom>
                        <a:noFill/>
                        <a:ln>
                          <a:noFill/>
                        </a:ln>
                        <a:effectLst/>
                      </wps:spPr>
                      <wps:txbx>
                        <w:txbxContent>
                          <w:p w14:paraId="717D5757">
                            <w:pPr>
                              <w:pStyle w:val="24"/>
                              <w:spacing w:line="200" w:lineRule="exact"/>
                              <w:rPr>
                                <w:rFonts w:ascii="楷体_GB2312" w:hAnsi="宋体"/>
                                <w:sz w:val="18"/>
                                <w:szCs w:val="18"/>
                              </w:rPr>
                            </w:pPr>
                            <w:r>
                              <w:rPr>
                                <w:rFonts w:hint="eastAsia" w:ascii="楷体_GB2312" w:hAnsi="宋体" w:cs="楷体_GB2312"/>
                                <w:sz w:val="18"/>
                                <w:szCs w:val="18"/>
                              </w:rPr>
                              <w:t>延迟支付的利息计算</w:t>
                            </w:r>
                          </w:p>
                        </w:txbxContent>
                      </wps:txbx>
                      <wps:bodyPr wrap="square" upright="1"/>
                    </wps:wsp>
                  </a:graphicData>
                </a:graphic>
              </wp:anchor>
            </w:drawing>
          </mc:Choice>
          <mc:Fallback>
            <w:pict>
              <v:shape id="_x0000_s1026" o:spid="_x0000_s1026" o:spt="202" type="#_x0000_t202" style="position:absolute;left:0pt;margin-left:-9pt;margin-top:3.45pt;height:31.35pt;width:72pt;z-index:251999232;mso-width-relative:page;mso-height-relative:page;" filled="f" stroked="f" coordsize="21600,21600" o:gfxdata="UEsDBAoAAAAAAIdO4kAAAAAAAAAAAAAAAAAEAAAAZHJzL1BLAwQUAAAACACHTuJAauCdo9QAAAAI&#10;AQAADwAAAGRycy9kb3ducmV2LnhtbE2PwW7CMBBE75X4B2uReoN1UBtBGocDVa+tSgGpNxMvSUS8&#10;jmJD0r+vc2qPT7OafZNvR9uKO/W+cawgWUoQxKUzDVcKDl9vizUIHzQb3TomBT/kYVvMHnKdGTfw&#10;J933oRKxhH2mFdQhdBmiL2uy2i9dRxyzi+utDhH7Ck2vh1huW1xJmaLVDccPte5oV1N53d+sguP7&#10;5fv0JD+qV/vcDW6UyHaDSj3OE/kCItAY/o5h0o/qUESns7ux8aJVsEjWcUtQkG5ATPkqjXyeOAUs&#10;cvw/oPgFUEsDBBQAAAAIAIdO4kAlcx2HvQEAAG0DAAAOAAAAZHJzL2Uyb0RvYy54bWytU0tu2zAQ&#10;3RfoHQjua8mxWySC5QCFkW6KtkCaA9DU0CIgfsqhLfkC7Q266qb7nsvn6JBS3DTZZJENNZzP47w3&#10;o9X1YDp2gIDa2ZrPZyVnYKVrtN3V/O7rzZtLzjAK24jOWaj5EZBfr1+/WvW+ggvXuq6BwAjEYtX7&#10;mrcx+qooULZgBM6cB0tB5YIRka5hVzRB9IRuuuKiLN8VvQuND04CInk3Y5BPiOE5gE4pLWHj5N6A&#10;jSNqgE5EooSt9sjXuVulQMbPSiFE1tWcmMZ80iNkb9NZrFei2gXhWy2nFsRzWnjEyQht6dEz1EZE&#10;wfZBP4EyWgaHTsWZdKYYiWRFiMW8fKTNbSs8ZC4kNfqz6PhysPLT4Utguqn5YkGDt8LQyE8/f5x+&#10;/Tn9/s6SkyTqPVaUeespNw7v3UCLc+9HcibmgwomfYkTozgJfDwLDENkkpxX8+WypIik0OLqcr58&#10;m1CKf8U+YPwAzrBk1DzQ/LKs4vAR45h6n5Lesu5Gd12eYWf/cxDm6IG8BFN14jH2m6w4bIeJ3NY1&#10;R+LW0yLUHL/tRQDO9j7oXUttZK5FKqEp5H6njUljfngn++Ffsv4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auCdo9QAAAAIAQAADwAAAAAAAAABACAAAAAiAAAAZHJzL2Rvd25yZXYueG1sUEsBAhQA&#10;FAAAAAgAh07iQCVzHYe9AQAAbQMAAA4AAAAAAAAAAQAgAAAAIwEAAGRycy9lMm9Eb2MueG1sUEsF&#10;BgAAAAAGAAYAWQEAAFIFAAAAAA==&#10;">
                <v:fill on="f" focussize="0,0"/>
                <v:stroke on="f"/>
                <v:imagedata o:title=""/>
                <o:lock v:ext="edit" aspectratio="f"/>
                <v:textbox>
                  <w:txbxContent>
                    <w:p w14:paraId="717D5757">
                      <w:pPr>
                        <w:pStyle w:val="24"/>
                        <w:spacing w:line="200" w:lineRule="exact"/>
                        <w:rPr>
                          <w:rFonts w:ascii="楷体_GB2312" w:hAnsi="宋体"/>
                          <w:sz w:val="18"/>
                          <w:szCs w:val="18"/>
                        </w:rPr>
                      </w:pPr>
                      <w:r>
                        <w:rPr>
                          <w:rFonts w:hint="eastAsia" w:ascii="楷体_GB2312" w:hAnsi="宋体" w:cs="楷体_GB2312"/>
                          <w:sz w:val="18"/>
                          <w:szCs w:val="18"/>
                        </w:rPr>
                        <w:t>延迟支付的利息计算</w:t>
                      </w:r>
                    </w:p>
                  </w:txbxContent>
                </v:textbox>
              </v:shape>
            </w:pict>
          </mc:Fallback>
        </mc:AlternateContent>
      </w:r>
      <w:r>
        <w:rPr>
          <w:rFonts w:hint="default" w:ascii="Times New Roman" w:hAnsi="Times New Roman" w:cs="Times New Roman"/>
          <w:color w:val="auto"/>
          <w:sz w:val="22"/>
          <w:szCs w:val="22"/>
          <w:highlight w:val="none"/>
        </w:rPr>
        <w:t>如果发包人延迟支付款项，则承包人有权按照专用条款约定的利率计算和得到利息。计息时间从应支付之日算起直到该笔延迟款额支付之日止。除专用条款另有约定外，利息的利率按照中国人民银行发布的同期同类贷款利率计算。</w:t>
      </w:r>
    </w:p>
    <w:p w14:paraId="4CF087F4">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78.3  </w:t>
      </w:r>
      <w:r>
        <w:rPr>
          <w:rFonts w:hint="default" w:ascii="Times New Roman" w:hAnsi="Times New Roman" w:cs="Times New Roman"/>
          <w:b/>
          <w:bCs/>
          <w:color w:val="auto"/>
          <w:sz w:val="22"/>
          <w:szCs w:val="22"/>
          <w:highlight w:val="none"/>
          <w:u w:val="dotted"/>
        </w:rPr>
        <w:t xml:space="preserve">                                                                                                        </w:t>
      </w:r>
    </w:p>
    <w:p w14:paraId="3FD3182C">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00256" behindDoc="0" locked="0" layoutInCell="1" allowOverlap="1">
                <wp:simplePos x="0" y="0"/>
                <wp:positionH relativeFrom="column">
                  <wp:posOffset>-114300</wp:posOffset>
                </wp:positionH>
                <wp:positionV relativeFrom="paragraph">
                  <wp:posOffset>4445</wp:posOffset>
                </wp:positionV>
                <wp:extent cx="914400" cy="438150"/>
                <wp:effectExtent l="0" t="0" r="0" b="0"/>
                <wp:wrapNone/>
                <wp:docPr id="339" name="文本框 339"/>
                <wp:cNvGraphicFramePr/>
                <a:graphic xmlns:a="http://schemas.openxmlformats.org/drawingml/2006/main">
                  <a:graphicData uri="http://schemas.microsoft.com/office/word/2010/wordprocessingShape">
                    <wps:wsp>
                      <wps:cNvSpPr txBox="1"/>
                      <wps:spPr>
                        <a:xfrm>
                          <a:off x="0" y="0"/>
                          <a:ext cx="914400" cy="438150"/>
                        </a:xfrm>
                        <a:prstGeom prst="rect">
                          <a:avLst/>
                        </a:prstGeom>
                        <a:noFill/>
                        <a:ln>
                          <a:noFill/>
                        </a:ln>
                        <a:effectLst/>
                      </wps:spPr>
                      <wps:txbx>
                        <w:txbxContent>
                          <w:p w14:paraId="7281E4CB">
                            <w:pPr>
                              <w:pStyle w:val="24"/>
                              <w:spacing w:line="200" w:lineRule="exact"/>
                              <w:rPr>
                                <w:rFonts w:ascii="楷体_GB2312" w:hAnsi="宋体"/>
                                <w:sz w:val="18"/>
                                <w:szCs w:val="18"/>
                              </w:rPr>
                            </w:pPr>
                            <w:r>
                              <w:rPr>
                                <w:rFonts w:hint="eastAsia" w:ascii="楷体_GB2312" w:hAnsi="宋体" w:cs="楷体_GB2312"/>
                                <w:sz w:val="18"/>
                                <w:szCs w:val="18"/>
                              </w:rPr>
                              <w:t>承包人提供支付凭证</w:t>
                            </w:r>
                          </w:p>
                        </w:txbxContent>
                      </wps:txbx>
                      <wps:bodyPr wrap="square" upright="1"/>
                    </wps:wsp>
                  </a:graphicData>
                </a:graphic>
              </wp:anchor>
            </w:drawing>
          </mc:Choice>
          <mc:Fallback>
            <w:pict>
              <v:shape id="_x0000_s1026" o:spid="_x0000_s1026" o:spt="202" type="#_x0000_t202" style="position:absolute;left:0pt;margin-left:-9pt;margin-top:0.35pt;height:34.5pt;width:72pt;z-index:252000256;mso-width-relative:page;mso-height-relative:page;" filled="f" stroked="f" coordsize="21600,21600" o:gfxdata="UEsDBAoAAAAAAIdO4kAAAAAAAAAAAAAAAAAEAAAAZHJzL1BLAwQUAAAACACHTuJAaqu7otQAAAAH&#10;AQAADwAAAGRycy9kb3ducmV2LnhtbE2PwW7CMBBE70j8g7VIvYEd1AYI2XBo1WurQlupNxMvSUS8&#10;jmJD0r+vOZXjaEYzb/LdaFtxpd43jhGShQJBXDrTcIXweXidr0H4oNno1jEh/JKHXTGd5DozbuAP&#10;uu5DJWIJ+0wj1CF0mZS+rMlqv3AdcfROrrc6RNlX0vR6iOW2lUulUml1w3Gh1h0911Se9xeL8PV2&#10;+vl+VO/Vi33qBjcqyXYjER9midqCCDSG/zDc8CM6FJHp6C5svGgR5sk6fgkIKxA3e5lGeURINyuQ&#10;RS7v+Ys/UEsDBBQAAAAIAIdO4kA0JMMqvgEAAG0DAAAOAAAAZHJzL2Uyb0RvYy54bWytU0tu2zAQ&#10;3RfoHQjua8qxWySC5QCFkW6KtkCaA9DUyCIgfsqhLfkC7Q266qb7nsvn6JBS3DTZZJENNZzP47w3&#10;o9X1YDp2gIDa2YrPZwVnYJWrtd1V/O7rzZtLzjBKW8vOWaj4EZBfr1+/WvW+hAvXuq6GwAjEYtn7&#10;ircx+lIIVC0YiTPnwVKwccHISNewE3WQPaGbTlwUxTvRu1D74BQgknczBvmEGJ4D6JpGK9g4tTdg&#10;44gaoJORKGGrPfJ17rZpQMXPTYMQWVdxYhrzSY+QvU2nWK9kuQvSt1pNLcjntPCIk5Ha0qNnqI2M&#10;ku2DfgJltAoOXRNnyhkxEsmKEIt58Uib21Z6yFxIavRn0fHlYNWnw5fAdF3xxeKKMysNjfz088fp&#10;15/T7+8sOUmi3mNJmbeecuPw3g20OPd+JGdiPjTBpC9xYhQngY9ngWGITJHzar5cFhRRFFouLudv&#10;8wDEv2IfMH4AZ1gyKh5ofllWefiIkRqh1PuU9JZ1N7rr8gw7+5+DEkcP5CWYqhOPsd9kxWE7TOS2&#10;rj4St54WoeL4bS8DcLb3Qe9aaiNzFamEppCbmDYmjfnhneyHf8n6L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Gqru6LUAAAABwEAAA8AAAAAAAAAAQAgAAAAIgAAAGRycy9kb3ducmV2LnhtbFBLAQIU&#10;ABQAAAAIAIdO4kA0JMMqvgEAAG0DAAAOAAAAAAAAAAEAIAAAACMBAABkcnMvZTJvRG9jLnhtbFBL&#10;BQYAAAAABgAGAFkBAABTBQAAAAA=&#10;">
                <v:fill on="f" focussize="0,0"/>
                <v:stroke on="f"/>
                <v:imagedata o:title=""/>
                <o:lock v:ext="edit" aspectratio="f"/>
                <v:textbox>
                  <w:txbxContent>
                    <w:p w14:paraId="7281E4CB">
                      <w:pPr>
                        <w:pStyle w:val="24"/>
                        <w:spacing w:line="200" w:lineRule="exact"/>
                        <w:rPr>
                          <w:rFonts w:ascii="楷体_GB2312" w:hAnsi="宋体"/>
                          <w:sz w:val="18"/>
                          <w:szCs w:val="18"/>
                        </w:rPr>
                      </w:pPr>
                      <w:r>
                        <w:rPr>
                          <w:rFonts w:hint="eastAsia" w:ascii="楷体_GB2312" w:hAnsi="宋体" w:cs="楷体_GB2312"/>
                          <w:sz w:val="18"/>
                          <w:szCs w:val="18"/>
                        </w:rPr>
                        <w:t>承包人提供支付凭证</w:t>
                      </w:r>
                    </w:p>
                  </w:txbxContent>
                </v:textbox>
              </v:shape>
            </w:pict>
          </mc:Fallback>
        </mc:AlternateContent>
      </w:r>
      <w:r>
        <w:rPr>
          <w:rFonts w:hint="default" w:ascii="Times New Roman" w:hAnsi="Times New Roman" w:cs="Times New Roman"/>
          <w:color w:val="auto"/>
          <w:sz w:val="22"/>
          <w:szCs w:val="22"/>
          <w:highlight w:val="none"/>
        </w:rPr>
        <w:t>发包人或受其委托的造价工程师有权要求，承包人向发包人或造价工程师提供其对雇员劳务工资、分包人已完工程款以及材料和工程设备供应商货款的支付凭证。如果承包人未能提供上述凭证，视为承包人未向雇员、分包人、供应商支付相关款项。</w:t>
      </w:r>
    </w:p>
    <w:p w14:paraId="1647E672">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78.4  </w:t>
      </w:r>
      <w:r>
        <w:rPr>
          <w:rFonts w:hint="default" w:ascii="Times New Roman" w:hAnsi="Times New Roman" w:cs="Times New Roman"/>
          <w:b/>
          <w:bCs/>
          <w:color w:val="auto"/>
          <w:sz w:val="22"/>
          <w:szCs w:val="22"/>
          <w:highlight w:val="none"/>
          <w:u w:val="dotted"/>
        </w:rPr>
        <w:t xml:space="preserve">                                                                                                       </w:t>
      </w:r>
    </w:p>
    <w:p w14:paraId="6B5E6860">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01280" behindDoc="0" locked="0" layoutInCell="1" allowOverlap="1">
                <wp:simplePos x="0" y="0"/>
                <wp:positionH relativeFrom="column">
                  <wp:posOffset>-114300</wp:posOffset>
                </wp:positionH>
                <wp:positionV relativeFrom="paragraph">
                  <wp:posOffset>22225</wp:posOffset>
                </wp:positionV>
                <wp:extent cx="914400" cy="504190"/>
                <wp:effectExtent l="0" t="0" r="0" b="0"/>
                <wp:wrapNone/>
                <wp:docPr id="340" name="文本框 340"/>
                <wp:cNvGraphicFramePr/>
                <a:graphic xmlns:a="http://schemas.openxmlformats.org/drawingml/2006/main">
                  <a:graphicData uri="http://schemas.microsoft.com/office/word/2010/wordprocessingShape">
                    <wps:wsp>
                      <wps:cNvSpPr txBox="1"/>
                      <wps:spPr>
                        <a:xfrm>
                          <a:off x="0" y="0"/>
                          <a:ext cx="914400" cy="504190"/>
                        </a:xfrm>
                        <a:prstGeom prst="rect">
                          <a:avLst/>
                        </a:prstGeom>
                        <a:noFill/>
                        <a:ln>
                          <a:noFill/>
                        </a:ln>
                        <a:effectLst/>
                      </wps:spPr>
                      <wps:txbx>
                        <w:txbxContent>
                          <w:p w14:paraId="29F162A6">
                            <w:pPr>
                              <w:pStyle w:val="24"/>
                              <w:spacing w:line="200" w:lineRule="exact"/>
                              <w:rPr>
                                <w:rFonts w:ascii="楷体_GB2312" w:hAnsi="宋体"/>
                                <w:sz w:val="18"/>
                                <w:szCs w:val="18"/>
                              </w:rPr>
                            </w:pPr>
                            <w:r>
                              <w:rPr>
                                <w:rFonts w:hint="eastAsia" w:ascii="楷体_GB2312" w:hAnsi="宋体" w:cs="楷体_GB2312"/>
                                <w:sz w:val="18"/>
                                <w:szCs w:val="18"/>
                              </w:rPr>
                              <w:t>承包人未按规定支付款项的限制</w:t>
                            </w:r>
                          </w:p>
                        </w:txbxContent>
                      </wps:txbx>
                      <wps:bodyPr wrap="square" upright="1"/>
                    </wps:wsp>
                  </a:graphicData>
                </a:graphic>
              </wp:anchor>
            </w:drawing>
          </mc:Choice>
          <mc:Fallback>
            <w:pict>
              <v:shape id="_x0000_s1026" o:spid="_x0000_s1026" o:spt="202" type="#_x0000_t202" style="position:absolute;left:0pt;margin-left:-9pt;margin-top:1.75pt;height:39.7pt;width:72pt;z-index:252001280;mso-width-relative:page;mso-height-relative:page;" filled="f" stroked="f" coordsize="21600,21600" o:gfxdata="UEsDBAoAAAAAAIdO4kAAAAAAAAAAAAAAAAAEAAAAZHJzL1BLAwQUAAAACACHTuJAdUnsp9UAAAAI&#10;AQAADwAAAGRycy9kb3ducmV2LnhtbE2PzU7DMBCE75V4B2uRuLV2Aq3SkE0PIK4g+oPEzY23SUS8&#10;jmK3CW+Pe6LH0Yxmvik2k+3EhQbfOkZIFgoEceVMyzXCfvc2z0D4oNnozjEh/JKHTXk3K3Ru3Mif&#10;dNmGWsQS9rlGaELocyl91ZDVfuF64uid3GB1iHKopRn0GMttJ1OlVtLqluNCo3t6aaj62Z4twuH9&#10;9P31pD7qV7vsRzcpyXYtER/uE/UMItAU/sNwxY/oUEamozuz8aJDmCdZ/BIQHpcgrn66ivqIkKVr&#10;kGUhbw+Uf1BLAwQUAAAACACHTuJAf36a57wBAABtAwAADgAAAGRycy9lMm9Eb2MueG1srVNLbtsw&#10;EN0XyB0I7mvJqVs0guUAhZFsirZAmgPQ1MgiwF85tCVfoL1BV91033P5HB1SivPbZJENNZzP47w3&#10;o+XlYDTbQ0DlbM3ns5IzsNI1ym5rfvv96u1HzjAK2wjtLNT8AMgvV2dvlr2v4Nx1TjcQGIFYrHpf&#10;8y5GXxUFyg6MwJnzYCnYumBEpGvYFk0QPaEbXZyX5Yeid6HxwUlAJO96DPIJMbwE0LWtkrB2cmfA&#10;xhE1gBaRKGGnPPJV7rZtQcavbYsQma45MY35pEfI3qSzWC1FtQ3Cd0pOLYiXtPCEkxHK0qMnqLWI&#10;gu2CegZllAwOXRtn0pliJJIVIRbz8ok2N53wkLmQ1OhPouPrwcov+2+Bqabm7xakiRWGRn78/ev4&#10;59/x70+WnCRR77GizBtPuXH45AZanDs/kjMxH9pg0pc4MYoT2OEkMAyRSXJezBeLkiKSQu/Lxfwi&#10;oxf3xT5gvAZnWDJqHmh+WVax/4yRGqHUu5T0lnVXSus8Q20fOShx9EBegqk68Rj7TVYcNsNEbuOa&#10;A3HraRFqjj92IgBnOx/UtqM2MtcildAUchPTxqQxP7yT/fAvWf0H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dUnsp9UAAAAIAQAADwAAAAAAAAABACAAAAAiAAAAZHJzL2Rvd25yZXYueG1sUEsBAhQA&#10;FAAAAAgAh07iQH9+mue8AQAAbQMAAA4AAAAAAAAAAQAgAAAAJAEAAGRycy9lMm9Eb2MueG1sUEsF&#10;BgAAAAAGAAYAWQEAAFIFAAAAAA==&#10;">
                <v:fill on="f" focussize="0,0"/>
                <v:stroke on="f"/>
                <v:imagedata o:title=""/>
                <o:lock v:ext="edit" aspectratio="f"/>
                <v:textbox>
                  <w:txbxContent>
                    <w:p w14:paraId="29F162A6">
                      <w:pPr>
                        <w:pStyle w:val="24"/>
                        <w:spacing w:line="200" w:lineRule="exact"/>
                        <w:rPr>
                          <w:rFonts w:ascii="楷体_GB2312" w:hAnsi="宋体"/>
                          <w:sz w:val="18"/>
                          <w:szCs w:val="18"/>
                        </w:rPr>
                      </w:pPr>
                      <w:r>
                        <w:rPr>
                          <w:rFonts w:hint="eastAsia" w:ascii="楷体_GB2312" w:hAnsi="宋体" w:cs="楷体_GB2312"/>
                          <w:sz w:val="18"/>
                          <w:szCs w:val="18"/>
                        </w:rPr>
                        <w:t>承包人未按规定支付款项的限制</w:t>
                      </w:r>
                    </w:p>
                  </w:txbxContent>
                </v:textbox>
              </v:shape>
            </w:pict>
          </mc:Fallback>
        </mc:AlternateContent>
      </w:r>
      <w:r>
        <w:rPr>
          <w:rFonts w:hint="default" w:ascii="Times New Roman" w:hAnsi="Times New Roman" w:cs="Times New Roman"/>
          <w:color w:val="auto"/>
          <w:sz w:val="22"/>
          <w:szCs w:val="22"/>
          <w:highlight w:val="none"/>
        </w:rPr>
        <w:t>如果承包人未按照雇员劳务合同和政府有关规定支付雇员劳务工资，或未按照分包合同支付分包人工程款，或未按照购销合同支付材料和工程设备供应商货款，均视为承包人违约。若在造价工程师书面通知改正后的7天内，承包人仍未采取措施补救的，发包人可在不损害承包人其他权利的前提下，实施下列工作：</w:t>
      </w:r>
    </w:p>
    <w:p w14:paraId="4CAA0D8E">
      <w:pPr>
        <w:pStyle w:val="15"/>
        <w:numPr>
          <w:ilvl w:val="0"/>
          <w:numId w:val="24"/>
        </w:numPr>
        <w:tabs>
          <w:tab w:val="left" w:pos="2160"/>
        </w:tabs>
        <w:adjustRightInd w:val="0"/>
        <w:snapToGrid w:val="0"/>
        <w:spacing w:line="420" w:lineRule="exact"/>
        <w:ind w:left="1619" w:leftChars="771"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立即停止向承包人支付应付的款项；</w:t>
      </w:r>
    </w:p>
    <w:p w14:paraId="743E072C">
      <w:pPr>
        <w:pStyle w:val="15"/>
        <w:numPr>
          <w:ilvl w:val="0"/>
          <w:numId w:val="24"/>
        </w:numPr>
        <w:tabs>
          <w:tab w:val="left" w:pos="2160"/>
        </w:tabs>
        <w:adjustRightInd w:val="0"/>
        <w:snapToGrid w:val="0"/>
        <w:spacing w:line="420" w:lineRule="exact"/>
        <w:ind w:left="1618" w:leftChars="770" w:hanging="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在相应支付期应付的工程款范围内，直接向雇员、分包人和材料设备供应商支付承包人应付的款项。</w:t>
      </w:r>
    </w:p>
    <w:p w14:paraId="0A5EDEF2">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发包人在实施上述工作后的14天内应以书面形式通知承包人，抄送造价工程师。造价工程师在签发下期支付证书时，应扣除已由发包人直接支付的款项。由于上述工作原因发生的费用由承包人承担；给发包人造成损失的，承包人应予赔偿。</w:t>
      </w:r>
    </w:p>
    <w:p w14:paraId="25F51DB5">
      <w:pPr>
        <w:pStyle w:val="15"/>
        <w:adjustRightInd w:val="0"/>
        <w:snapToGrid w:val="0"/>
        <w:spacing w:line="420" w:lineRule="exact"/>
        <w:ind w:right="-238"/>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784EC18E">
      <w:pPr>
        <w:pStyle w:val="15"/>
        <w:tabs>
          <w:tab w:val="left" w:pos="540"/>
        </w:tabs>
        <w:adjustRightInd w:val="0"/>
        <w:snapToGrid w:val="0"/>
        <w:spacing w:before="240" w:beforeLines="100" w:line="420" w:lineRule="exact"/>
        <w:ind w:firstLine="482"/>
        <w:rPr>
          <w:rFonts w:hint="default" w:ascii="Times New Roman" w:hAnsi="Times New Roman" w:cs="Times New Roman"/>
          <w:b/>
          <w:bCs/>
          <w:color w:val="auto"/>
          <w:sz w:val="22"/>
          <w:szCs w:val="22"/>
          <w:highlight w:val="none"/>
        </w:rPr>
      </w:pPr>
    </w:p>
    <w:p w14:paraId="3EFBABA4">
      <w:pPr>
        <w:pStyle w:val="15"/>
        <w:tabs>
          <w:tab w:val="left" w:pos="540"/>
        </w:tabs>
        <w:adjustRightInd w:val="0"/>
        <w:snapToGrid w:val="0"/>
        <w:spacing w:before="240" w:beforeLines="100" w:line="420" w:lineRule="exact"/>
        <w:outlineLvl w:val="2"/>
        <w:rPr>
          <w:rFonts w:hint="default" w:ascii="Times New Roman" w:hAnsi="Times New Roman" w:cs="Times New Roman"/>
          <w:b/>
          <w:bCs/>
          <w:color w:val="auto"/>
          <w:sz w:val="22"/>
          <w:szCs w:val="22"/>
          <w:highlight w:val="none"/>
        </w:rPr>
      </w:pPr>
      <w:bookmarkStart w:id="259" w:name="_Toc469384063"/>
      <w:bookmarkStart w:id="260" w:name="_Toc17555"/>
      <w:r>
        <w:rPr>
          <w:rFonts w:hint="default" w:ascii="Times New Roman" w:hAnsi="Times New Roman" w:cs="Times New Roman"/>
          <w:b/>
          <w:bCs/>
          <w:color w:val="auto"/>
          <w:sz w:val="22"/>
          <w:szCs w:val="22"/>
          <w:highlight w:val="none"/>
        </w:rPr>
        <w:t>★79  预付款</w:t>
      </w:r>
      <w:bookmarkEnd w:id="259"/>
      <w:bookmarkEnd w:id="260"/>
    </w:p>
    <w:p w14:paraId="44C90B5C">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02304" behindDoc="0" locked="0" layoutInCell="1" allowOverlap="1">
                <wp:simplePos x="0" y="0"/>
                <wp:positionH relativeFrom="column">
                  <wp:posOffset>-114300</wp:posOffset>
                </wp:positionH>
                <wp:positionV relativeFrom="paragraph">
                  <wp:posOffset>226695</wp:posOffset>
                </wp:positionV>
                <wp:extent cx="1371600" cy="560705"/>
                <wp:effectExtent l="0" t="0" r="0" b="0"/>
                <wp:wrapNone/>
                <wp:docPr id="341" name="文本框 341"/>
                <wp:cNvGraphicFramePr/>
                <a:graphic xmlns:a="http://schemas.openxmlformats.org/drawingml/2006/main">
                  <a:graphicData uri="http://schemas.microsoft.com/office/word/2010/wordprocessingShape">
                    <wps:wsp>
                      <wps:cNvSpPr txBox="1"/>
                      <wps:spPr>
                        <a:xfrm>
                          <a:off x="0" y="0"/>
                          <a:ext cx="1371600" cy="560705"/>
                        </a:xfrm>
                        <a:prstGeom prst="rect">
                          <a:avLst/>
                        </a:prstGeom>
                        <a:noFill/>
                        <a:ln>
                          <a:noFill/>
                        </a:ln>
                        <a:effectLst/>
                      </wps:spPr>
                      <wps:txbx>
                        <w:txbxContent>
                          <w:p w14:paraId="64B96D78">
                            <w:pPr>
                              <w:pStyle w:val="24"/>
                              <w:spacing w:line="200" w:lineRule="exact"/>
                              <w:rPr>
                                <w:rFonts w:ascii="楷体_GB2312" w:hAnsi="宋体"/>
                                <w:sz w:val="18"/>
                                <w:szCs w:val="18"/>
                              </w:rPr>
                            </w:pPr>
                            <w:r>
                              <w:rPr>
                                <w:rFonts w:hint="eastAsia" w:ascii="楷体_GB2312" w:hAnsi="宋体" w:cs="楷体_GB2312"/>
                                <w:sz w:val="18"/>
                                <w:szCs w:val="18"/>
                              </w:rPr>
                              <w:t>预付款的约定</w:t>
                            </w:r>
                          </w:p>
                          <w:p w14:paraId="41EAD3E4">
                            <w:pPr>
                              <w:pStyle w:val="24"/>
                              <w:spacing w:line="200" w:lineRule="exact"/>
                              <w:rPr>
                                <w:rFonts w:ascii="楷体_GB2312" w:hAnsi="宋体"/>
                                <w:sz w:val="18"/>
                                <w:szCs w:val="18"/>
                              </w:rPr>
                            </w:pPr>
                            <w:r>
                              <w:rPr>
                                <w:rFonts w:hint="eastAsia" w:ascii="楷体_GB2312" w:hAnsi="宋体" w:cs="楷体_GB2312"/>
                                <w:sz w:val="18"/>
                                <w:szCs w:val="18"/>
                              </w:rPr>
                              <w:t>及管理</w:t>
                            </w:r>
                          </w:p>
                        </w:txbxContent>
                      </wps:txbx>
                      <wps:bodyPr wrap="square" upright="1"/>
                    </wps:wsp>
                  </a:graphicData>
                </a:graphic>
              </wp:anchor>
            </w:drawing>
          </mc:Choice>
          <mc:Fallback>
            <w:pict>
              <v:shape id="_x0000_s1026" o:spid="_x0000_s1026" o:spt="202" type="#_x0000_t202" style="position:absolute;left:0pt;margin-left:-9pt;margin-top:17.85pt;height:44.15pt;width:108pt;z-index:252002304;mso-width-relative:page;mso-height-relative:page;" filled="f" stroked="f" coordsize="21600,21600" o:gfxdata="UEsDBAoAAAAAAIdO4kAAAAAAAAAAAAAAAAAEAAAAZHJzL1BLAwQUAAAACACHTuJAMho/39cAAAAK&#10;AQAADwAAAGRycy9kb3ducmV2LnhtbE2PQW/CMAyF75P4D5GRdgOnDAZ0TTmAdt00NibtFhrTVmuc&#10;qgm0+/dLT9vN9nt6/l62G2wjbtT52rGCZC5BEBfO1Fwq+Hh/nm1A+KDZ6MYxKfghD7t8cpfp1Lie&#10;3+h2DKWIIexTraAKoU0RfVGR1X7uWuKoXVxndYhrV6LpdB/DbYMLKR/R6prjh0q3tK+o+D5erYLT&#10;y+Xrcylfy4Ndtb0bJLLdolL300Q+gQg0hD8zjPgRHfLIdHZXNl40CmbJJnYJCh5WaxCjYTseznFY&#10;LCVgnuH/CvkvUEsDBBQAAAAIAIdO4kBbbVDGvQEAAG4DAAAOAAAAZHJzL2Uyb0RvYy54bWytU0tu&#10;2zAQ3RfIHQjua8pJ4xSC5QCFkWyKtECaA9DUyCIgfsqhLfkC6Q266qb7nsvn6JBS3DTdZNENNZzP&#10;47w3o+X1YDq2h4Da2YrPZwVnYJWrtd1W/OHLzdv3nGGUtpads1DxAyC/Xp29Wfa+hHPXuq6GwAjE&#10;Ytn7ircx+lIIVC0YiTPnwVKwccHISNewFXWQPaGbTpwXxUL0LtQ+OAWI5F2PQT4hhtcAuqbRCtZO&#10;7QzYOKIG6GQkSthqj3yVu20aUPFT0yBE1lWcmMZ80iNkb9IpVktZboP0rVZTC/I1LbzgZKS29OgJ&#10;ai2jZLug/4EyWgWHrokz5YwYiWRFiMW8eKHNfSs9ZC4kNfqT6Pj/YNXd/nNguq74xbs5Z1YaGvnx&#10;+7fjj1/Hn48sOUmi3mNJmfeecuPwwQ20OE9+JGdiPjTBpC9xYhQngQ8ngWGITKWii6v5oqCQotjl&#10;orgqLhOM+FPtA8ZbcIYlo+KBBph1lfuPGMfUp5T0mHU3uuvyEDv7l4MwRw/kLZiqE5Gx4WTFYTNM&#10;7DauPhC5njah4vh1JwNwtvNBb1tqI5MVqYTGkPudVibN+fmd7Oe/yeo3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Mho/39cAAAAKAQAADwAAAAAAAAABACAAAAAiAAAAZHJzL2Rvd25yZXYueG1sUEsB&#10;AhQAFAAAAAgAh07iQFttUMa9AQAAbgMAAA4AAAAAAAAAAQAgAAAAJgEAAGRycy9lMm9Eb2MueG1s&#10;UEsFBgAAAAAGAAYAWQEAAFUFAAAAAA==&#10;">
                <v:fill on="f" focussize="0,0"/>
                <v:stroke on="f"/>
                <v:imagedata o:title=""/>
                <o:lock v:ext="edit" aspectratio="f"/>
                <v:textbox>
                  <w:txbxContent>
                    <w:p w14:paraId="64B96D78">
                      <w:pPr>
                        <w:pStyle w:val="24"/>
                        <w:spacing w:line="200" w:lineRule="exact"/>
                        <w:rPr>
                          <w:rFonts w:ascii="楷体_GB2312" w:hAnsi="宋体"/>
                          <w:sz w:val="18"/>
                          <w:szCs w:val="18"/>
                        </w:rPr>
                      </w:pPr>
                      <w:r>
                        <w:rPr>
                          <w:rFonts w:hint="eastAsia" w:ascii="楷体_GB2312" w:hAnsi="宋体" w:cs="楷体_GB2312"/>
                          <w:sz w:val="18"/>
                          <w:szCs w:val="18"/>
                        </w:rPr>
                        <w:t>预付款的约定</w:t>
                      </w:r>
                    </w:p>
                    <w:p w14:paraId="41EAD3E4">
                      <w:pPr>
                        <w:pStyle w:val="24"/>
                        <w:spacing w:line="200" w:lineRule="exact"/>
                        <w:rPr>
                          <w:rFonts w:ascii="楷体_GB2312" w:hAnsi="宋体"/>
                          <w:sz w:val="18"/>
                          <w:szCs w:val="18"/>
                        </w:rPr>
                      </w:pPr>
                      <w:r>
                        <w:rPr>
                          <w:rFonts w:hint="eastAsia" w:ascii="楷体_GB2312" w:hAnsi="宋体" w:cs="楷体_GB2312"/>
                          <w:sz w:val="18"/>
                          <w:szCs w:val="18"/>
                        </w:rPr>
                        <w:t>及管理</w:t>
                      </w:r>
                    </w:p>
                  </w:txbxContent>
                </v:textbox>
              </v:shape>
            </w:pict>
          </mc:Fallback>
        </mc:AlternateContent>
      </w:r>
      <w:r>
        <w:rPr>
          <w:rFonts w:hint="default" w:ascii="Times New Roman" w:hAnsi="Times New Roman" w:cs="Times New Roman"/>
          <w:b/>
          <w:bCs/>
          <w:color w:val="auto"/>
          <w:sz w:val="22"/>
          <w:szCs w:val="22"/>
          <w:highlight w:val="none"/>
        </w:rPr>
        <w:t xml:space="preserve">79.1      </w:t>
      </w:r>
    </w:p>
    <w:p w14:paraId="1481940F">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除专用条款另有约定外，合同双方当事人应约定预付款，并在专用条款中明确预付款金额、支付办法和抵扣方式。</w:t>
      </w:r>
    </w:p>
    <w:p w14:paraId="2CFFD797">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预付款专款专用，承包人应在财务账目中表明专用于为合同工程施工购置材料、工程设备、施工设备、修建临时设施以及组织施工队伍进场等所需的款项，不得挪作他用。除专用条款另有约定外，预付款的预付比例不低于合同价款（扣除暂列金额）的10%，不高于合同价款（扣除暂列金额）的30%。</w:t>
      </w:r>
    </w:p>
    <w:p w14:paraId="073BE7CD">
      <w:pPr>
        <w:pStyle w:val="15"/>
        <w:tabs>
          <w:tab w:val="left" w:pos="1320"/>
        </w:tabs>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79.2  </w:t>
      </w:r>
      <w:r>
        <w:rPr>
          <w:rFonts w:hint="default" w:ascii="Times New Roman" w:hAnsi="Times New Roman" w:cs="Times New Roman"/>
          <w:b/>
          <w:bCs/>
          <w:color w:val="auto"/>
          <w:sz w:val="22"/>
          <w:szCs w:val="22"/>
          <w:highlight w:val="none"/>
          <w:u w:val="dotted"/>
        </w:rPr>
        <w:t xml:space="preserve">                                                                                                        </w:t>
      </w:r>
    </w:p>
    <w:p w14:paraId="67551345">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03328" behindDoc="0" locked="0" layoutInCell="1" allowOverlap="1">
                <wp:simplePos x="0" y="0"/>
                <wp:positionH relativeFrom="column">
                  <wp:posOffset>-114300</wp:posOffset>
                </wp:positionH>
                <wp:positionV relativeFrom="paragraph">
                  <wp:posOffset>19685</wp:posOffset>
                </wp:positionV>
                <wp:extent cx="914400" cy="591185"/>
                <wp:effectExtent l="0" t="0" r="0" b="0"/>
                <wp:wrapNone/>
                <wp:docPr id="342" name="文本框 342"/>
                <wp:cNvGraphicFramePr/>
                <a:graphic xmlns:a="http://schemas.openxmlformats.org/drawingml/2006/main">
                  <a:graphicData uri="http://schemas.microsoft.com/office/word/2010/wordprocessingShape">
                    <wps:wsp>
                      <wps:cNvSpPr txBox="1"/>
                      <wps:spPr>
                        <a:xfrm>
                          <a:off x="0" y="0"/>
                          <a:ext cx="914400" cy="591185"/>
                        </a:xfrm>
                        <a:prstGeom prst="rect">
                          <a:avLst/>
                        </a:prstGeom>
                        <a:noFill/>
                        <a:ln>
                          <a:noFill/>
                        </a:ln>
                        <a:effectLst/>
                      </wps:spPr>
                      <wps:txbx>
                        <w:txbxContent>
                          <w:p w14:paraId="6A2C87A2">
                            <w:pPr>
                              <w:pStyle w:val="24"/>
                              <w:spacing w:line="200" w:lineRule="exact"/>
                              <w:rPr>
                                <w:rFonts w:ascii="楷体_GB2312" w:hAnsi="宋体"/>
                                <w:sz w:val="18"/>
                                <w:szCs w:val="18"/>
                              </w:rPr>
                            </w:pPr>
                            <w:r>
                              <w:rPr>
                                <w:rFonts w:hint="eastAsia" w:ascii="楷体_GB2312" w:hAnsi="宋体" w:cs="楷体_GB2312"/>
                                <w:sz w:val="18"/>
                                <w:szCs w:val="18"/>
                              </w:rPr>
                              <w:t>预付款支付申请的提交、核实与支付</w:t>
                            </w:r>
                          </w:p>
                        </w:txbxContent>
                      </wps:txbx>
                      <wps:bodyPr wrap="square" upright="1"/>
                    </wps:wsp>
                  </a:graphicData>
                </a:graphic>
              </wp:anchor>
            </w:drawing>
          </mc:Choice>
          <mc:Fallback>
            <w:pict>
              <v:shape id="_x0000_s1026" o:spid="_x0000_s1026" o:spt="202" type="#_x0000_t202" style="position:absolute;left:0pt;margin-left:-9pt;margin-top:1.55pt;height:46.55pt;width:72pt;z-index:252003328;mso-width-relative:page;mso-height-relative:page;" filled="f" stroked="f" coordsize="21600,21600" o:gfxdata="UEsDBAoAAAAAAIdO4kAAAAAAAAAAAAAAAAAEAAAAZHJzL1BLAwQUAAAACACHTuJACeJ85NUAAAAI&#10;AQAADwAAAGRycy9kb3ducmV2LnhtbE2PzW7CMBCE75V4B2sr9QZ20jaCkA0Hql5bQX8kbiZekqjx&#10;OooNSd8ec2qPoxnNfFNsJtuJCw2+dYyQLBQI4sqZlmuEz4/X+RKED5qN7hwTwi952JSzu0Lnxo28&#10;o8s+1CKWsM81QhNCn0vpq4as9gvXE0fv5AarQ5RDLc2gx1huO5kqlUmrW44Lje5p21D1sz9bhK+3&#10;0+H7Sb3XL/a5H92kJNuVRHy4T9QaRKAp/IXhhh/RoYxMR3dm40WHME+W8UtAeExA3Pw0i/qIsMpS&#10;kGUh/x8or1BLAwQUAAAACACHTuJAMdAru70BAABtAwAADgAAAGRycy9lMm9Eb2MueG1srVNLbtsw&#10;EN0XyB0I7mtKrlMkguUAhZFsirZAmgPQ1MgiIH7KoS35Au0Nuuqm+57L5+hQUpzfJotsqOF8Hue9&#10;GS2vetOyPQTUzpY8n2WcgVWu0nZb8rvv1+8vOMMobSVbZ6HkB0B+tTp7t+x8AXPXuLaCwAjEYtH5&#10;kjcx+kIIVA0YiTPnwVKwdsHISNewFVWQHaGbVsyz7KPoXKh8cAoQybseg3xCDK8BdHWtFayd2hmw&#10;cUQN0MpIlLDRHvlq6LauQcWvdY0QWVtyYhqHkx4he5NOsVrKYhukb7SaWpCvaeEZJyO1pUdPUGsZ&#10;JdsF/QLKaBUcujrOlDNiJDIoQizy7Jk2t430MHAhqdGfRMe3g1Vf9t8C01XJPyzmnFlpaOTH37+O&#10;f/4d//5kyUkSdR4Lyrz1lBv7T66nxbn3IzkT874OJn2JE6M4CXw4CQx9ZIqcl/likVFEUej8Ms8v&#10;zhOKeCj2AeMNOMOSUfJA8xtklfvPGMfU+5T0lnXXum2HGbb2iYMwRw8MSzBVJx5jv8mK/aafyG1c&#10;dSBuHS1CyfHHTgbgbOeD3jbUxsBVpBKawtDvtDFpzI/vZD/+S1b/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AnifOTVAAAACAEAAA8AAAAAAAAAAQAgAAAAIgAAAGRycy9kb3ducmV2LnhtbFBLAQIU&#10;ABQAAAAIAIdO4kAx0Cu7vQEAAG0DAAAOAAAAAAAAAAEAIAAAACQBAABkcnMvZTJvRG9jLnhtbFBL&#10;BQYAAAAABgAGAFkBAABTBQAAAAA=&#10;">
                <v:fill on="f" focussize="0,0"/>
                <v:stroke on="f"/>
                <v:imagedata o:title=""/>
                <o:lock v:ext="edit" aspectratio="f"/>
                <v:textbox>
                  <w:txbxContent>
                    <w:p w14:paraId="6A2C87A2">
                      <w:pPr>
                        <w:pStyle w:val="24"/>
                        <w:spacing w:line="200" w:lineRule="exact"/>
                        <w:rPr>
                          <w:rFonts w:ascii="楷体_GB2312" w:hAnsi="宋体"/>
                          <w:sz w:val="18"/>
                          <w:szCs w:val="18"/>
                        </w:rPr>
                      </w:pPr>
                      <w:r>
                        <w:rPr>
                          <w:rFonts w:hint="eastAsia" w:ascii="楷体_GB2312" w:hAnsi="宋体" w:cs="楷体_GB2312"/>
                          <w:sz w:val="18"/>
                          <w:szCs w:val="18"/>
                        </w:rPr>
                        <w:t>预付款支付申请的提交、核实与支付</w:t>
                      </w:r>
                    </w:p>
                  </w:txbxContent>
                </v:textbox>
              </v:shape>
            </w:pict>
          </mc:Fallback>
        </mc:AlternateContent>
      </w:r>
      <w:r>
        <w:rPr>
          <w:rFonts w:hint="default" w:ascii="Times New Roman" w:hAnsi="Times New Roman" w:cs="Times New Roman"/>
          <w:color w:val="auto"/>
          <w:sz w:val="22"/>
          <w:szCs w:val="22"/>
          <w:highlight w:val="none"/>
        </w:rPr>
        <w:t>承包人在完成下列工作后，应按照专用条款约定的期限内向造价工程师提交预付款支付申请，并抄送发包人。</w:t>
      </w:r>
    </w:p>
    <w:p w14:paraId="3C017E44">
      <w:pPr>
        <w:pStyle w:val="15"/>
        <w:adjustRightInd w:val="0"/>
        <w:snapToGrid w:val="0"/>
        <w:spacing w:line="420" w:lineRule="exact"/>
        <w:ind w:firstLine="1485" w:firstLineChars="675"/>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（1）签订本合同；</w:t>
      </w:r>
    </w:p>
    <w:p w14:paraId="0BAEA63C">
      <w:pPr>
        <w:pStyle w:val="15"/>
        <w:adjustRightInd w:val="0"/>
        <w:snapToGrid w:val="0"/>
        <w:spacing w:line="420" w:lineRule="exact"/>
        <w:ind w:firstLine="1485" w:firstLineChars="675"/>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（2）按照第28.1款规定提供履约担保；</w:t>
      </w:r>
    </w:p>
    <w:p w14:paraId="76A9424E">
      <w:pPr>
        <w:pStyle w:val="15"/>
        <w:adjustRightInd w:val="0"/>
        <w:snapToGrid w:val="0"/>
        <w:spacing w:line="420" w:lineRule="exact"/>
        <w:ind w:firstLine="1485" w:firstLineChars="675"/>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（3）向发包人提供与预付款等额的预付款保函的正本。</w:t>
      </w:r>
    </w:p>
    <w:p w14:paraId="793EABFD">
      <w:pPr>
        <w:pStyle w:val="15"/>
        <w:adjustRightInd w:val="0"/>
        <w:snapToGrid w:val="0"/>
        <w:spacing w:line="420" w:lineRule="exact"/>
        <w:ind w:left="1619" w:leftChars="771" w:firstLine="2"/>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造价工程师应对支付申请进行核实，并在收到支付申请后的7天内报发包人确认后向发包人发出支付证书，同时抄送承包人。</w:t>
      </w:r>
    </w:p>
    <w:p w14:paraId="3A5713E8">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发包人在造价工程师签发支付证书后的30天内向承包人支付预付款，并通知造价工程师。</w:t>
      </w:r>
    </w:p>
    <w:p w14:paraId="18B5176E">
      <w:pPr>
        <w:pStyle w:val="15"/>
        <w:tabs>
          <w:tab w:val="left" w:pos="1320"/>
        </w:tabs>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79.3  </w:t>
      </w:r>
      <w:r>
        <w:rPr>
          <w:rFonts w:hint="default" w:ascii="Times New Roman" w:hAnsi="Times New Roman" w:cs="Times New Roman"/>
          <w:b/>
          <w:bCs/>
          <w:color w:val="auto"/>
          <w:sz w:val="22"/>
          <w:szCs w:val="22"/>
          <w:highlight w:val="none"/>
          <w:u w:val="dotted"/>
        </w:rPr>
        <w:t xml:space="preserve">                                                                                                        </w:t>
      </w:r>
    </w:p>
    <w:p w14:paraId="73018F3E">
      <w:pPr>
        <w:pStyle w:val="7"/>
        <w:adjustRightInd w:val="0"/>
        <w:snapToGrid w:val="0"/>
        <w:spacing w:line="420" w:lineRule="exact"/>
        <w:ind w:left="1619" w:leftChars="771"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04352" behindDoc="0" locked="0" layoutInCell="1" allowOverlap="1">
                <wp:simplePos x="0" y="0"/>
                <wp:positionH relativeFrom="column">
                  <wp:posOffset>-114300</wp:posOffset>
                </wp:positionH>
                <wp:positionV relativeFrom="paragraph">
                  <wp:posOffset>10795</wp:posOffset>
                </wp:positionV>
                <wp:extent cx="914400" cy="400685"/>
                <wp:effectExtent l="0" t="0" r="0" b="0"/>
                <wp:wrapNone/>
                <wp:docPr id="343" name="文本框 343"/>
                <wp:cNvGraphicFramePr/>
                <a:graphic xmlns:a="http://schemas.openxmlformats.org/drawingml/2006/main">
                  <a:graphicData uri="http://schemas.microsoft.com/office/word/2010/wordprocessingShape">
                    <wps:wsp>
                      <wps:cNvSpPr txBox="1"/>
                      <wps:spPr>
                        <a:xfrm>
                          <a:off x="0" y="0"/>
                          <a:ext cx="914400" cy="400685"/>
                        </a:xfrm>
                        <a:prstGeom prst="rect">
                          <a:avLst/>
                        </a:prstGeom>
                        <a:noFill/>
                        <a:ln>
                          <a:noFill/>
                        </a:ln>
                        <a:effectLst/>
                      </wps:spPr>
                      <wps:txbx>
                        <w:txbxContent>
                          <w:p w14:paraId="1162F45A">
                            <w:pPr>
                              <w:pStyle w:val="24"/>
                              <w:spacing w:line="200" w:lineRule="exact"/>
                              <w:rPr>
                                <w:rFonts w:ascii="楷体_GB2312" w:hAnsi="宋体"/>
                                <w:sz w:val="18"/>
                                <w:szCs w:val="18"/>
                              </w:rPr>
                            </w:pPr>
                            <w:r>
                              <w:rPr>
                                <w:rFonts w:hint="eastAsia" w:ascii="楷体_GB2312" w:hAnsi="宋体" w:cs="楷体_GB2312"/>
                                <w:sz w:val="18"/>
                                <w:szCs w:val="18"/>
                              </w:rPr>
                              <w:t>预付款支付的限制</w:t>
                            </w:r>
                          </w:p>
                        </w:txbxContent>
                      </wps:txbx>
                      <wps:bodyPr wrap="square" upright="1"/>
                    </wps:wsp>
                  </a:graphicData>
                </a:graphic>
              </wp:anchor>
            </w:drawing>
          </mc:Choice>
          <mc:Fallback>
            <w:pict>
              <v:shape id="_x0000_s1026" o:spid="_x0000_s1026" o:spt="202" type="#_x0000_t202" style="position:absolute;left:0pt;margin-left:-9pt;margin-top:0.85pt;height:31.55pt;width:72pt;z-index:252004352;mso-width-relative:page;mso-height-relative:page;" filled="f" stroked="f" coordsize="21600,21600" o:gfxdata="UEsDBAoAAAAAAIdO4kAAAAAAAAAAAAAAAAAEAAAAZHJzL1BLAwQUAAAACACHTuJAXN/jDNUAAAAI&#10;AQAADwAAAGRycy9kb3ducmV2LnhtbE2Py27CMBBF95X4B2sqsQM7iKYhxGFB1S1V6UPqzsRDEjUe&#10;R7Eh6d93WLXLqzO6c26xm1wnrjiE1pOGZKlAIFXetlRreH97XmQgQjRkTecJNfxggF05uytMbv1I&#10;r3g9xlpwCYXcaGhi7HMpQ9WgM2HpeyRmZz84EzkOtbSDGbncdXKlVCqdaYk/NKbHfYPV9/HiNHwc&#10;zl+fa/VSP7mHfvSTkuQ2Uuv5faK2ICJO8e8YbvqsDiU7nfyFbBCdhkWS8ZbI4BHEja9SzicN6ToD&#10;WRby/4DyF1BLAwQUAAAACACHTuJAsp5A47sBAABtAwAADgAAAGRycy9lMm9Eb2MueG1srVNLbtsw&#10;EN0XyB0I7mvKiROkguUAhZFsirZAmgPQ1MgiwF85tCVfIL1BV91033P5HB1Kipummyy6oYbzeZz3&#10;ZrS86a1he4iovav4fFZwBk75WrttxR++3L695gyTdLU03kHFD4D8ZnX2ZtmFEs59600NkRGIw7IL&#10;FW9TCqUQqFqwEmc+gKNg46OVia5xK+ooO0K3RpwXxZXofKxD9AoQybseg3xCjK8B9E2jFay92llw&#10;aUSNYGQiStjqgHw1dNs0oNKnpkFIzFScmKbhpEfI3uRTrJay3EYZWq2mFuRrWnjByUrt6NET1Fom&#10;yXZR/wNltYoefZNmylsxEhkUIRbz4oU2960MMHAhqTGcRMf/B6s+7j9HpuuKXywuOHPS0siP378d&#10;f/w6/nxk2UkSdQFLyrwPlJv6976nxXnyIzkz876JNn+JE6M4CXw4CQx9Yoqc7+aLRUERRSEyrq4v&#10;M4r4UxwipjvwlmWj4pHmN8gq9x8wjalPKfkt52+1McMMjfvLQZijB4YlmKozj7HfbKV+00/kNr4+&#10;ELeOFqHi+HUnI3C2C1FvW2pj4CpyCU1h6HfamDzm53eyn/8lq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Bc3+MM1QAAAAgBAAAPAAAAAAAAAAEAIAAAACIAAABkcnMvZG93bnJldi54bWxQSwECFAAU&#10;AAAACACHTuJAsp5A47sBAABtAwAADgAAAAAAAAABACAAAAAkAQAAZHJzL2Uyb0RvYy54bWxQSwUG&#10;AAAAAAYABgBZAQAAUQUAAAAA&#10;">
                <v:fill on="f" focussize="0,0"/>
                <v:stroke on="f"/>
                <v:imagedata o:title=""/>
                <o:lock v:ext="edit" aspectratio="f"/>
                <v:textbox>
                  <w:txbxContent>
                    <w:p w14:paraId="1162F45A">
                      <w:pPr>
                        <w:pStyle w:val="24"/>
                        <w:spacing w:line="200" w:lineRule="exact"/>
                        <w:rPr>
                          <w:rFonts w:ascii="楷体_GB2312" w:hAnsi="宋体"/>
                          <w:sz w:val="18"/>
                          <w:szCs w:val="18"/>
                        </w:rPr>
                      </w:pPr>
                      <w:r>
                        <w:rPr>
                          <w:rFonts w:hint="eastAsia" w:ascii="楷体_GB2312" w:hAnsi="宋体" w:cs="楷体_GB2312"/>
                          <w:sz w:val="18"/>
                          <w:szCs w:val="18"/>
                        </w:rPr>
                        <w:t>预付款支付的限制</w:t>
                      </w:r>
                    </w:p>
                  </w:txbxContent>
                </v:textbox>
              </v:shape>
            </w:pict>
          </mc:Fallback>
        </mc:AlternateContent>
      </w:r>
      <w:r>
        <w:rPr>
          <w:rFonts w:hint="default" w:ascii="Times New Roman" w:hAnsi="Times New Roman" w:cs="Times New Roman"/>
          <w:color w:val="auto"/>
          <w:sz w:val="22"/>
          <w:szCs w:val="22"/>
          <w:highlight w:val="none"/>
        </w:rPr>
        <w:t>发包人没有按时支付预付款的，承包人应在付款期满后的10天向发包人发出要求支付的通知；发包人收到通知后仍不按要求支付，承包人可在发出通知14天后暂停施工。发包人可与承包人协商签订延期支付协议，经承包人同意后可延期支付，承包人有权按照第78.2款规定获得延期支付的利息。发包方承担由此增加的费用和（或）延误的工期，并向承包人支付合理利润。</w:t>
      </w:r>
    </w:p>
    <w:p w14:paraId="3A133629">
      <w:pPr>
        <w:pStyle w:val="15"/>
        <w:tabs>
          <w:tab w:val="left" w:pos="1320"/>
        </w:tabs>
        <w:adjustRightInd w:val="0"/>
        <w:snapToGrid w:val="0"/>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 xml:space="preserve">79.4 </w:t>
      </w:r>
      <w:r>
        <w:rPr>
          <w:rFonts w:hint="default" w:ascii="Times New Roman" w:hAnsi="Times New Roman" w:cs="Times New Roman"/>
          <w:color w:val="auto"/>
          <w:sz w:val="22"/>
          <w:szCs w:val="22"/>
          <w:highlight w:val="none"/>
        </w:rPr>
        <w:t xml:space="preserve"> </w:t>
      </w:r>
      <w:r>
        <w:rPr>
          <w:rFonts w:hint="default" w:ascii="Times New Roman" w:hAnsi="Times New Roman" w:cs="Times New Roman"/>
          <w:color w:val="auto"/>
          <w:sz w:val="22"/>
          <w:szCs w:val="22"/>
          <w:highlight w:val="none"/>
          <w:u w:val="dotted"/>
        </w:rPr>
        <w:t xml:space="preserve">                                                                                                        </w:t>
      </w:r>
    </w:p>
    <w:p w14:paraId="3B2FCF31">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05376" behindDoc="0" locked="0" layoutInCell="1" allowOverlap="1">
                <wp:simplePos x="0" y="0"/>
                <wp:positionH relativeFrom="column">
                  <wp:posOffset>-114300</wp:posOffset>
                </wp:positionH>
                <wp:positionV relativeFrom="paragraph">
                  <wp:posOffset>46355</wp:posOffset>
                </wp:positionV>
                <wp:extent cx="1028700" cy="304165"/>
                <wp:effectExtent l="0" t="0" r="0" b="0"/>
                <wp:wrapNone/>
                <wp:docPr id="344" name="文本框 344"/>
                <wp:cNvGraphicFramePr/>
                <a:graphic xmlns:a="http://schemas.openxmlformats.org/drawingml/2006/main">
                  <a:graphicData uri="http://schemas.microsoft.com/office/word/2010/wordprocessingShape">
                    <wps:wsp>
                      <wps:cNvSpPr txBox="1"/>
                      <wps:spPr>
                        <a:xfrm>
                          <a:off x="0" y="0"/>
                          <a:ext cx="1028700" cy="304165"/>
                        </a:xfrm>
                        <a:prstGeom prst="rect">
                          <a:avLst/>
                        </a:prstGeom>
                        <a:noFill/>
                        <a:ln>
                          <a:noFill/>
                        </a:ln>
                        <a:effectLst/>
                      </wps:spPr>
                      <wps:txbx>
                        <w:txbxContent>
                          <w:p w14:paraId="6A6C3108">
                            <w:pPr>
                              <w:pStyle w:val="24"/>
                              <w:spacing w:line="200" w:lineRule="exact"/>
                              <w:rPr>
                                <w:rFonts w:ascii="楷体_GB2312" w:hAnsi="宋体"/>
                                <w:sz w:val="18"/>
                                <w:szCs w:val="18"/>
                              </w:rPr>
                            </w:pPr>
                            <w:r>
                              <w:rPr>
                                <w:rFonts w:hint="eastAsia" w:ascii="楷体_GB2312" w:hAnsi="宋体" w:cs="楷体_GB2312"/>
                                <w:sz w:val="18"/>
                                <w:szCs w:val="18"/>
                              </w:rPr>
                              <w:t>预付款的扣回</w:t>
                            </w:r>
                          </w:p>
                        </w:txbxContent>
                      </wps:txbx>
                      <wps:bodyPr wrap="square" upright="1"/>
                    </wps:wsp>
                  </a:graphicData>
                </a:graphic>
              </wp:anchor>
            </w:drawing>
          </mc:Choice>
          <mc:Fallback>
            <w:pict>
              <v:shape id="_x0000_s1026" o:spid="_x0000_s1026" o:spt="202" type="#_x0000_t202" style="position:absolute;left:0pt;margin-left:-9pt;margin-top:3.65pt;height:23.95pt;width:81pt;z-index:252005376;mso-width-relative:page;mso-height-relative:page;" filled="f" stroked="f" coordsize="21600,21600" o:gfxdata="UEsDBAoAAAAAAIdO4kAAAAAAAAAAAAAAAAAEAAAAZHJzL1BLAwQUAAAACACHTuJAeXEXcdYAAAAI&#10;AQAADwAAAGRycy9kb3ducmV2LnhtbE2PzU7DMBCE70h9B2srcWvtlARKmk0PIK4gyo/EzY23SdR4&#10;HcVuE94e90SPoxnNfFNsJ9uJMw2+dYyQLBUI4sqZlmuEz4+XxRqED5qN7hwTwi952Jazm0Lnxo38&#10;TuddqEUsYZ9rhCaEPpfSVw1Z7ZeuJ47ewQ1WhyiHWppBj7HcdnKl1L20uuW40OienhqqjruTRfh6&#10;Pfx8p+qtfrZZP7pJSbaPEvF2nqgNiEBT+A/DBT+iQxmZ9u7ExosOYZGs45eA8HAH4uKnadR7hCxb&#10;gSwLeX2g/ANQSwMEFAAAAAgAh07iQJO/qOe9AQAAbgMAAA4AAABkcnMvZTJvRG9jLnhtbK1TS27b&#10;MBDdF+gdCO5ryo6bBoLlAIWRboq2QJoD0NTQIiB+yqEt+QLtDbrqpvuey+foUFLcNNlkkQ01nM/j&#10;vDej1XVvW3aAiMa7is9nBWfglK+N21X87uvNmyvOMElXy9Y7qPgRkF+vX79adaGEhW98W0NkBOKw&#10;7ELFm5RCKQSqBqzEmQ/gKKh9tDLRNe5EHWVH6LYVi6K4FJ2PdYheASJ5N2OQT4jxOYBea6Ng49Xe&#10;gksjaoRWJqKEjQnI10O3WoNKn7VGSKytODFNw0mPkL3Np1ivZLmLMjRGTS3I57TwiJOVxtGjZ6iN&#10;TJLto3kCZY2KHr1OM+WtGIkMihCLefFIm9tGBhi4kNQYzqLjy8GqT4cvkZm64hfLJWdOWhr56eeP&#10;068/p9/fWXaSRF3AkjJvA+Wm/r3vaXHu/UjOzLzX0eYvcWIUJ4GPZ4GhT0zlomJx9a6gkKLYRbGc&#10;X77NMOJfdYiYPoC3LBsVjzTAQVd5+IhpTL1PyY85f2Padhhi6/5zEObogWELpupMZGw4W6nf9hO7&#10;ra+PRK6jTag4ftvLCJztQzS7htoYyIpcQmMY+p1WJs/54Z3sh7/J+i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5cRdx1gAAAAgBAAAPAAAAAAAAAAEAIAAAACIAAABkcnMvZG93bnJldi54bWxQSwEC&#10;FAAUAAAACACHTuJAk7+o570BAABuAwAADgAAAAAAAAABACAAAAAlAQAAZHJzL2Uyb0RvYy54bWxQ&#10;SwUGAAAAAAYABgBZAQAAVAUAAAAA&#10;">
                <v:fill on="f" focussize="0,0"/>
                <v:stroke on="f"/>
                <v:imagedata o:title=""/>
                <o:lock v:ext="edit" aspectratio="f"/>
                <v:textbox>
                  <w:txbxContent>
                    <w:p w14:paraId="6A6C3108">
                      <w:pPr>
                        <w:pStyle w:val="24"/>
                        <w:spacing w:line="200" w:lineRule="exact"/>
                        <w:rPr>
                          <w:rFonts w:ascii="楷体_GB2312" w:hAnsi="宋体"/>
                          <w:sz w:val="18"/>
                          <w:szCs w:val="18"/>
                        </w:rPr>
                      </w:pPr>
                      <w:r>
                        <w:rPr>
                          <w:rFonts w:hint="eastAsia" w:ascii="楷体_GB2312" w:hAnsi="宋体" w:cs="楷体_GB2312"/>
                          <w:sz w:val="18"/>
                          <w:szCs w:val="18"/>
                        </w:rPr>
                        <w:t>预付款的扣回</w:t>
                      </w:r>
                    </w:p>
                  </w:txbxContent>
                </v:textbox>
              </v:shape>
            </w:pict>
          </mc:Fallback>
        </mc:AlternateContent>
      </w:r>
      <w:r>
        <w:rPr>
          <w:rFonts w:hint="default" w:ascii="Times New Roman" w:hAnsi="Times New Roman" w:cs="Times New Roman"/>
          <w:color w:val="auto"/>
          <w:sz w:val="22"/>
          <w:szCs w:val="22"/>
          <w:highlight w:val="none"/>
        </w:rPr>
        <w:t>预付款应从每支付期应支付给承包人的进度款中扣回，直到扣回的金额达到专用条款约定的预付款金额为止。造价工程师应依据专用条款约定的抵扣方式，在签发支付证书时从应支付给承包人的款项中扣回。</w:t>
      </w:r>
    </w:p>
    <w:p w14:paraId="2446A83C">
      <w:pPr>
        <w:pStyle w:val="15"/>
        <w:tabs>
          <w:tab w:val="left" w:pos="1320"/>
        </w:tabs>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79.5  </w:t>
      </w:r>
      <w:r>
        <w:rPr>
          <w:rFonts w:hint="default" w:ascii="Times New Roman" w:hAnsi="Times New Roman" w:cs="Times New Roman"/>
          <w:b/>
          <w:bCs/>
          <w:color w:val="auto"/>
          <w:sz w:val="22"/>
          <w:szCs w:val="22"/>
          <w:highlight w:val="none"/>
          <w:u w:val="dotted"/>
        </w:rPr>
        <w:t xml:space="preserve">                                                                                                        </w:t>
      </w:r>
    </w:p>
    <w:p w14:paraId="4BD757C6">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06400" behindDoc="0" locked="0" layoutInCell="1" allowOverlap="1">
                <wp:simplePos x="0" y="0"/>
                <wp:positionH relativeFrom="column">
                  <wp:posOffset>-114300</wp:posOffset>
                </wp:positionH>
                <wp:positionV relativeFrom="paragraph">
                  <wp:posOffset>13335</wp:posOffset>
                </wp:positionV>
                <wp:extent cx="914400" cy="408305"/>
                <wp:effectExtent l="0" t="0" r="0" b="0"/>
                <wp:wrapNone/>
                <wp:docPr id="345" name="文本框 345"/>
                <wp:cNvGraphicFramePr/>
                <a:graphic xmlns:a="http://schemas.openxmlformats.org/drawingml/2006/main">
                  <a:graphicData uri="http://schemas.microsoft.com/office/word/2010/wordprocessingShape">
                    <wps:wsp>
                      <wps:cNvSpPr txBox="1"/>
                      <wps:spPr>
                        <a:xfrm>
                          <a:off x="0" y="0"/>
                          <a:ext cx="914400" cy="408305"/>
                        </a:xfrm>
                        <a:prstGeom prst="rect">
                          <a:avLst/>
                        </a:prstGeom>
                        <a:noFill/>
                        <a:ln>
                          <a:noFill/>
                        </a:ln>
                        <a:effectLst/>
                      </wps:spPr>
                      <wps:txbx>
                        <w:txbxContent>
                          <w:p w14:paraId="4A03D1AE">
                            <w:pPr>
                              <w:pStyle w:val="24"/>
                              <w:spacing w:line="200" w:lineRule="exact"/>
                              <w:rPr>
                                <w:rFonts w:ascii="楷体_GB2312" w:hAnsi="宋体"/>
                                <w:sz w:val="18"/>
                                <w:szCs w:val="18"/>
                              </w:rPr>
                            </w:pPr>
                            <w:r>
                              <w:rPr>
                                <w:rFonts w:hint="eastAsia" w:ascii="楷体_GB2312" w:hAnsi="宋体" w:cs="楷体_GB2312"/>
                                <w:sz w:val="18"/>
                                <w:szCs w:val="18"/>
                              </w:rPr>
                              <w:t>预付款保函的有效与退还</w:t>
                            </w:r>
                          </w:p>
                        </w:txbxContent>
                      </wps:txbx>
                      <wps:bodyPr wrap="square" upright="1"/>
                    </wps:wsp>
                  </a:graphicData>
                </a:graphic>
              </wp:anchor>
            </w:drawing>
          </mc:Choice>
          <mc:Fallback>
            <w:pict>
              <v:shape id="_x0000_s1026" o:spid="_x0000_s1026" o:spt="202" type="#_x0000_t202" style="position:absolute;left:0pt;margin-left:-9pt;margin-top:1.05pt;height:32.15pt;width:72pt;z-index:252006400;mso-width-relative:page;mso-height-relative:page;" filled="f" stroked="f" coordsize="21600,21600" o:gfxdata="UEsDBAoAAAAAAIdO4kAAAAAAAAAAAAAAAAAEAAAAZHJzL1BLAwQUAAAACACHTuJAK3FFtdUAAAAI&#10;AQAADwAAAGRycy9kb3ducmV2LnhtbE2PwW7CMBBE75X6D9ZW4gZ2IhrRkA2HVr0WldJKvZl4SSLi&#10;dRQbEv4ec2qPoxnNvCk2k+3EhQbfOkZIFgoEceVMyzXC/ut9vgLhg2ajO8eEcCUPm/LxodC5cSN/&#10;0mUXahFL2OcaoQmhz6X0VUNW+4XriaN3dIPVIcqhlmbQYyy3nUyVyqTVLceFRvf02lB12p0twvfH&#10;8fdnqbb1m33uRzcpyfZFIs6eErUGEWgKf2G440d0KCPTwZ3ZeNEhzJNV/BIQ0gTE3U+zqA8IWbYE&#10;WRby/4HyBlBLAwQUAAAACACHTuJAtWBMnb0BAABtAwAADgAAAGRycy9lMm9Eb2MueG1srVNLbtsw&#10;EN0XyB0I7mPJiVukguUAhZFsgrZA2gPQ1NAiIH7KoS35Au0Nuuqm+57L5+iQUtw02WSRDTWcz+O8&#10;N6Pl9WA6toeA2tmaz2clZ2Cla7Td1vzrl5vzK84wCtuIzlmo+QGQX6/O3ix7X8GFa13XQGAEYrHq&#10;fc3bGH1VFChbMAJnzoOloHLBiEjXsC2aIHpCN11xUZbvit6FxgcnAZG86zHIJ8TwEkCnlJawdnJn&#10;wMYRNUAnIlHCVnvkq9ytUiDjJ6UQIutqTkxjPukRsjfpLFZLUW2D8K2WUwviJS084WSEtvToCWot&#10;omC7oJ9BGS2DQ6fiTDpTjESyIsRiXj7R5r4VHjIXkhr9SXR8PVj5cf85MN3U/HLxljMrDI38+PPH&#10;8def4+/vLDlJot5jRZn3nnLj8MENtDgPfiRnYj6oYNKXODGKk8CHk8AwRCbJ+X6+WJQUkRRalFeX&#10;ZUYv/hX7gPEWnGHJqHmg+WVZxf4OIzVCqQ8p6S3rbnTX5Rl29j8HJY4eyEswVSceY7/JisNmmMht&#10;XHMgbj0tQs3x204E4Gzng9621EbmWqQSmkJuYtqYNObHd7If/yWrv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CtxRbXVAAAACAEAAA8AAAAAAAAAAQAgAAAAIgAAAGRycy9kb3ducmV2LnhtbFBLAQIU&#10;ABQAAAAIAIdO4kC1YEydvQEAAG0DAAAOAAAAAAAAAAEAIAAAACQBAABkcnMvZTJvRG9jLnhtbFBL&#10;BQYAAAAABgAGAFkBAABTBQAAAAA=&#10;">
                <v:fill on="f" focussize="0,0"/>
                <v:stroke on="f"/>
                <v:imagedata o:title=""/>
                <o:lock v:ext="edit" aspectratio="f"/>
                <v:textbox>
                  <w:txbxContent>
                    <w:p w14:paraId="4A03D1AE">
                      <w:pPr>
                        <w:pStyle w:val="24"/>
                        <w:spacing w:line="200" w:lineRule="exact"/>
                        <w:rPr>
                          <w:rFonts w:ascii="楷体_GB2312" w:hAnsi="宋体"/>
                          <w:sz w:val="18"/>
                          <w:szCs w:val="18"/>
                        </w:rPr>
                      </w:pPr>
                      <w:r>
                        <w:rPr>
                          <w:rFonts w:hint="eastAsia" w:ascii="楷体_GB2312" w:hAnsi="宋体" w:cs="楷体_GB2312"/>
                          <w:sz w:val="18"/>
                          <w:szCs w:val="18"/>
                        </w:rPr>
                        <w:t>预付款保函的有效与退还</w:t>
                      </w:r>
                    </w:p>
                  </w:txbxContent>
                </v:textbox>
              </v:shape>
            </w:pict>
          </mc:Fallback>
        </mc:AlternateContent>
      </w:r>
      <w:r>
        <w:rPr>
          <w:rFonts w:hint="default" w:ascii="Times New Roman" w:hAnsi="Times New Roman" w:cs="Times New Roman"/>
          <w:color w:val="auto"/>
          <w:sz w:val="22"/>
          <w:szCs w:val="22"/>
          <w:highlight w:val="none"/>
        </w:rPr>
        <w:t>承包人应保持预付款保函在预付款全部扣回之前一直有效。发包人应在预付款扣完后的14天内将预付款保函退还承包人，并不得向承包人收取预付款的任何利息。</w:t>
      </w:r>
    </w:p>
    <w:p w14:paraId="10F42CC2">
      <w:pPr>
        <w:pStyle w:val="15"/>
        <w:adjustRightInd w:val="0"/>
        <w:snapToGrid w:val="0"/>
        <w:spacing w:line="420" w:lineRule="exact"/>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7ECEF6CF">
      <w:pPr>
        <w:pStyle w:val="15"/>
        <w:tabs>
          <w:tab w:val="left" w:pos="540"/>
        </w:tabs>
        <w:adjustRightInd w:val="0"/>
        <w:snapToGrid w:val="0"/>
        <w:spacing w:before="240" w:beforeLines="100" w:line="420" w:lineRule="exact"/>
        <w:ind w:firstLine="482"/>
        <w:rPr>
          <w:rFonts w:hint="default" w:ascii="Times New Roman" w:hAnsi="Times New Roman" w:cs="Times New Roman"/>
          <w:b/>
          <w:bCs/>
          <w:color w:val="auto"/>
          <w:sz w:val="22"/>
          <w:szCs w:val="22"/>
          <w:highlight w:val="none"/>
        </w:rPr>
      </w:pPr>
    </w:p>
    <w:p w14:paraId="1CFFA186">
      <w:pPr>
        <w:pStyle w:val="15"/>
        <w:tabs>
          <w:tab w:val="left" w:pos="540"/>
        </w:tabs>
        <w:adjustRightInd w:val="0"/>
        <w:snapToGrid w:val="0"/>
        <w:spacing w:before="240" w:beforeLines="100" w:line="420" w:lineRule="exact"/>
        <w:outlineLvl w:val="2"/>
        <w:rPr>
          <w:rFonts w:hint="default" w:ascii="Times New Roman" w:hAnsi="Times New Roman" w:cs="Times New Roman"/>
          <w:b/>
          <w:bCs/>
          <w:color w:val="auto"/>
          <w:sz w:val="22"/>
          <w:szCs w:val="22"/>
          <w:highlight w:val="none"/>
        </w:rPr>
      </w:pPr>
      <w:bookmarkStart w:id="261" w:name="_Toc469384064"/>
      <w:bookmarkStart w:id="262" w:name="_Toc30682"/>
      <w:r>
        <w:rPr>
          <w:rFonts w:hint="default" w:ascii="Times New Roman" w:hAnsi="Times New Roman" w:cs="Times New Roman"/>
          <w:b/>
          <w:bCs/>
          <w:color w:val="auto"/>
          <w:sz w:val="22"/>
          <w:szCs w:val="22"/>
          <w:highlight w:val="none"/>
        </w:rPr>
        <w:t>★80  绿色施工安全防护费</w:t>
      </w:r>
      <w:bookmarkEnd w:id="261"/>
      <w:bookmarkEnd w:id="262"/>
    </w:p>
    <w:p w14:paraId="476EDB34">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80.1      </w:t>
      </w:r>
    </w:p>
    <w:p w14:paraId="2F8A0056">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07424" behindDoc="0" locked="0" layoutInCell="1" allowOverlap="1">
                <wp:simplePos x="0" y="0"/>
                <wp:positionH relativeFrom="column">
                  <wp:posOffset>-114300</wp:posOffset>
                </wp:positionH>
                <wp:positionV relativeFrom="paragraph">
                  <wp:posOffset>17780</wp:posOffset>
                </wp:positionV>
                <wp:extent cx="1028700" cy="440055"/>
                <wp:effectExtent l="0" t="0" r="0" b="0"/>
                <wp:wrapNone/>
                <wp:docPr id="346" name="文本框 346"/>
                <wp:cNvGraphicFramePr/>
                <a:graphic xmlns:a="http://schemas.openxmlformats.org/drawingml/2006/main">
                  <a:graphicData uri="http://schemas.microsoft.com/office/word/2010/wordprocessingShape">
                    <wps:wsp>
                      <wps:cNvSpPr txBox="1"/>
                      <wps:spPr>
                        <a:xfrm>
                          <a:off x="0" y="0"/>
                          <a:ext cx="1028700" cy="440055"/>
                        </a:xfrm>
                        <a:prstGeom prst="rect">
                          <a:avLst/>
                        </a:prstGeom>
                        <a:noFill/>
                        <a:ln>
                          <a:noFill/>
                        </a:ln>
                        <a:effectLst/>
                      </wps:spPr>
                      <wps:txbx>
                        <w:txbxContent>
                          <w:p w14:paraId="2BF75EC8">
                            <w:pPr>
                              <w:pStyle w:val="24"/>
                              <w:spacing w:line="200" w:lineRule="exact"/>
                              <w:rPr>
                                <w:rFonts w:ascii="楷体_GB2312" w:hAnsi="宋体"/>
                                <w:sz w:val="18"/>
                                <w:szCs w:val="18"/>
                              </w:rPr>
                            </w:pPr>
                            <w:r>
                              <w:rPr>
                                <w:rFonts w:hint="eastAsia" w:ascii="楷体_GB2312" w:hAnsi="宋体" w:cs="楷体_GB2312"/>
                                <w:sz w:val="18"/>
                                <w:szCs w:val="18"/>
                              </w:rPr>
                              <w:t>内容、范围和</w:t>
                            </w:r>
                          </w:p>
                          <w:p w14:paraId="2AFDB4E5">
                            <w:pPr>
                              <w:pStyle w:val="24"/>
                              <w:spacing w:line="200" w:lineRule="exact"/>
                              <w:rPr>
                                <w:rFonts w:ascii="楷体_GB2312" w:hAnsi="宋体"/>
                                <w:sz w:val="18"/>
                                <w:szCs w:val="18"/>
                              </w:rPr>
                            </w:pPr>
                            <w:r>
                              <w:rPr>
                                <w:rFonts w:hint="eastAsia" w:ascii="楷体_GB2312" w:hAnsi="宋体" w:cs="楷体_GB2312"/>
                                <w:sz w:val="18"/>
                                <w:szCs w:val="18"/>
                              </w:rPr>
                              <w:t>金额</w:t>
                            </w:r>
                          </w:p>
                        </w:txbxContent>
                      </wps:txbx>
                      <wps:bodyPr wrap="square" upright="1"/>
                    </wps:wsp>
                  </a:graphicData>
                </a:graphic>
              </wp:anchor>
            </w:drawing>
          </mc:Choice>
          <mc:Fallback>
            <w:pict>
              <v:shape id="_x0000_s1026" o:spid="_x0000_s1026" o:spt="202" type="#_x0000_t202" style="position:absolute;left:0pt;margin-left:-9pt;margin-top:1.4pt;height:34.65pt;width:81pt;z-index:252007424;mso-width-relative:page;mso-height-relative:page;" filled="f" stroked="f" coordsize="21600,21600" o:gfxdata="UEsDBAoAAAAAAIdO4kAAAAAAAAAAAAAAAAAEAAAAZHJzL1BLAwQUAAAACACHTuJATtsiLdQAAAAI&#10;AQAADwAAAGRycy9kb3ducmV2LnhtbE2PQU+DQBCF7yb+h82YeGt3IagtMvSg8aqxVZPetjAFIjtL&#10;2G3Bf+/0pMeXN3nzfcVmdr060xg6zwjJ0oAirnzdcYPwsXtZrECFaLm2vWdC+KEAm/L6qrB57Sd+&#10;p/M2NkpGOOQWoY1xyLUOVUvOhqUfiKU7+tHZKHFsdD3aScZdr1Nj7rWzHcuH1g701FL1vT05hM/X&#10;4/4rM2/Ns7sbJj8bzW6tEW9vEvMIKtIc/47hgi/oUArTwZ+4DqpHWCQrcYkIqRhc+iyTfEB4SBPQ&#10;ZaH/C5S/UEsDBBQAAAAIAIdO4kCcdgJTvQEAAG4DAAAOAAAAZHJzL2Uyb0RvYy54bWytU0tu2zAQ&#10;3RfIHQjuYymOkwaC5QCFkWyKtkCaA9DU0CIgfsqhLfkC7Q266qb7nsvn6JBS3DTdZNENNZzP47w3&#10;o+XtYDq2h4Da2ZpfzErOwErXaLut+ePnu/MbzjAK24jOWaj5AZDfrs7eLHtfwdy1rmsgMAKxWPW+&#10;5m2MvioKlC0YgTPnwVJQuWBEpGvYFk0QPaGbrpiX5XXRu9D44CQgknc9BvmEGF4D6JTSEtZO7gzY&#10;OKIG6EQkSthqj3yVu1UKZPyoFEJkXc2JacwnPUL2Jp3FaimqbRC+1XJqQbymhRecjNCWHj1BrUUU&#10;bBf0P1BGy+DQqTiTzhQjkawIsbgoX2jz0AoPmQtJjf4kOv4/WPlh/ykw3dT8cnHNmRWGRn78/u34&#10;49fx51eWnCRR77GizAdPuXF45wZanCc/kjMxH1Qw6UucGMVJ4MNJYBgik6monN+8LSkkKbZYlOXV&#10;VYIp/lT7gPEenGHJqHmgAWZdxf49xjH1KSU9Zt2d7ro8xM7+5SDM0QN5C6bqRGRsOFlx2AwTu41r&#10;DkSup02oOX7ZiQCc7XzQ25bayGSLVEJjyP1OK5Pm/PxO9vPfZPU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TtsiLdQAAAAIAQAADwAAAAAAAAABACAAAAAiAAAAZHJzL2Rvd25yZXYueG1sUEsBAhQA&#10;FAAAAAgAh07iQJx2AlO9AQAAbgMAAA4AAAAAAAAAAQAgAAAAIwEAAGRycy9lMm9Eb2MueG1sUEsF&#10;BgAAAAAGAAYAWQEAAFIFAAAAAA==&#10;">
                <v:fill on="f" focussize="0,0"/>
                <v:stroke on="f"/>
                <v:imagedata o:title=""/>
                <o:lock v:ext="edit" aspectratio="f"/>
                <v:textbox>
                  <w:txbxContent>
                    <w:p w14:paraId="2BF75EC8">
                      <w:pPr>
                        <w:pStyle w:val="24"/>
                        <w:spacing w:line="200" w:lineRule="exact"/>
                        <w:rPr>
                          <w:rFonts w:ascii="楷体_GB2312" w:hAnsi="宋体"/>
                          <w:sz w:val="18"/>
                          <w:szCs w:val="18"/>
                        </w:rPr>
                      </w:pPr>
                      <w:r>
                        <w:rPr>
                          <w:rFonts w:hint="eastAsia" w:ascii="楷体_GB2312" w:hAnsi="宋体" w:cs="楷体_GB2312"/>
                          <w:sz w:val="18"/>
                          <w:szCs w:val="18"/>
                        </w:rPr>
                        <w:t>内容、范围和</w:t>
                      </w:r>
                    </w:p>
                    <w:p w14:paraId="2AFDB4E5">
                      <w:pPr>
                        <w:pStyle w:val="24"/>
                        <w:spacing w:line="200" w:lineRule="exact"/>
                        <w:rPr>
                          <w:rFonts w:ascii="楷体_GB2312" w:hAnsi="宋体"/>
                          <w:sz w:val="18"/>
                          <w:szCs w:val="18"/>
                        </w:rPr>
                      </w:pPr>
                      <w:r>
                        <w:rPr>
                          <w:rFonts w:hint="eastAsia" w:ascii="楷体_GB2312" w:hAnsi="宋体" w:cs="楷体_GB2312"/>
                          <w:sz w:val="18"/>
                          <w:szCs w:val="18"/>
                        </w:rPr>
                        <w:t>金额</w:t>
                      </w:r>
                    </w:p>
                  </w:txbxContent>
                </v:textbox>
              </v:shape>
            </w:pict>
          </mc:Fallback>
        </mc:AlternateContent>
      </w:r>
      <w:r>
        <w:rPr>
          <w:rFonts w:hint="default" w:ascii="Times New Roman" w:hAnsi="Times New Roman" w:cs="Times New Roman"/>
          <w:color w:val="auto"/>
          <w:sz w:val="22"/>
          <w:szCs w:val="22"/>
          <w:highlight w:val="none"/>
        </w:rPr>
        <w:t>合同双方当事人应在专用条款中约定绿色施工安全防护费的内容、范围和金额，并按照第45条规定实施绿色施工安全防护。除专用条款另有约定外，绿色施工安全防护费的内容和范围，应以现行广东省统一工程计价依据、省市造价管理部门发布管理文件的规定为准。</w:t>
      </w:r>
    </w:p>
    <w:p w14:paraId="65143BEF">
      <w:pPr>
        <w:pStyle w:val="15"/>
        <w:adjustRightInd w:val="0"/>
        <w:snapToGrid w:val="0"/>
        <w:spacing w:line="420" w:lineRule="exact"/>
        <w:rPr>
          <w:rFonts w:hint="default" w:ascii="Times New Roman" w:hAnsi="Times New Roman" w:cs="Times New Roman"/>
          <w:color w:val="auto"/>
          <w:sz w:val="22"/>
          <w:szCs w:val="22"/>
          <w:highlight w:val="none"/>
          <w:u w:val="dotted"/>
        </w:rPr>
      </w:pPr>
      <w:r>
        <w:rPr>
          <w:rFonts w:hint="default" w:ascii="Times New Roman" w:hAnsi="Times New Roman" w:cs="Times New Roman"/>
          <w:b/>
          <w:bCs/>
          <w:color w:val="auto"/>
          <w:sz w:val="22"/>
          <w:szCs w:val="22"/>
          <w:highlight w:val="none"/>
        </w:rPr>
        <w:t xml:space="preserve">80.2  </w:t>
      </w:r>
      <w:r>
        <w:rPr>
          <w:rFonts w:hint="default" w:ascii="Times New Roman" w:hAnsi="Times New Roman" w:cs="Times New Roman"/>
          <w:color w:val="auto"/>
          <w:sz w:val="22"/>
          <w:szCs w:val="22"/>
          <w:highlight w:val="none"/>
          <w:u w:val="dotted"/>
        </w:rPr>
        <w:t xml:space="preserve">                                                                             </w:t>
      </w:r>
    </w:p>
    <w:p w14:paraId="073A48AF">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08448" behindDoc="0" locked="0" layoutInCell="1" allowOverlap="1">
                <wp:simplePos x="0" y="0"/>
                <wp:positionH relativeFrom="column">
                  <wp:posOffset>-114300</wp:posOffset>
                </wp:positionH>
                <wp:positionV relativeFrom="paragraph">
                  <wp:posOffset>34290</wp:posOffset>
                </wp:positionV>
                <wp:extent cx="914400" cy="789305"/>
                <wp:effectExtent l="0" t="0" r="0" b="0"/>
                <wp:wrapNone/>
                <wp:docPr id="347" name="文本框 347"/>
                <wp:cNvGraphicFramePr/>
                <a:graphic xmlns:a="http://schemas.openxmlformats.org/drawingml/2006/main">
                  <a:graphicData uri="http://schemas.microsoft.com/office/word/2010/wordprocessingShape">
                    <wps:wsp>
                      <wps:cNvSpPr txBox="1"/>
                      <wps:spPr>
                        <a:xfrm>
                          <a:off x="0" y="0"/>
                          <a:ext cx="914400" cy="789305"/>
                        </a:xfrm>
                        <a:prstGeom prst="rect">
                          <a:avLst/>
                        </a:prstGeom>
                        <a:noFill/>
                        <a:ln>
                          <a:noFill/>
                        </a:ln>
                        <a:effectLst/>
                      </wps:spPr>
                      <wps:txbx>
                        <w:txbxContent>
                          <w:p w14:paraId="04F9E33A">
                            <w:pPr>
                              <w:pStyle w:val="24"/>
                              <w:spacing w:line="200" w:lineRule="exact"/>
                              <w:rPr>
                                <w:rFonts w:ascii="楷体_GB2312" w:hAnsi="宋体"/>
                                <w:sz w:val="18"/>
                                <w:szCs w:val="18"/>
                              </w:rPr>
                            </w:pPr>
                            <w:r>
                              <w:rPr>
                                <w:rFonts w:hint="eastAsia" w:ascii="楷体_GB2312" w:hAnsi="宋体" w:cs="楷体_GB2312"/>
                                <w:sz w:val="18"/>
                                <w:szCs w:val="18"/>
                              </w:rPr>
                              <w:t>支付申请的提交与核实</w:t>
                            </w:r>
                          </w:p>
                        </w:txbxContent>
                      </wps:txbx>
                      <wps:bodyPr wrap="square" upright="1"/>
                    </wps:wsp>
                  </a:graphicData>
                </a:graphic>
              </wp:anchor>
            </w:drawing>
          </mc:Choice>
          <mc:Fallback>
            <w:pict>
              <v:shape id="_x0000_s1026" o:spid="_x0000_s1026" o:spt="202" type="#_x0000_t202" style="position:absolute;left:0pt;margin-left:-9pt;margin-top:2.7pt;height:62.15pt;width:72pt;z-index:252008448;mso-width-relative:page;mso-height-relative:page;" filled="f" stroked="f" coordsize="21600,21600" o:gfxdata="UEsDBAoAAAAAAIdO4kAAAAAAAAAAAAAAAAAEAAAAZHJzL1BLAwQUAAAACACHTuJAIkXix9YAAAAJ&#10;AQAADwAAAGRycy9kb3ducmV2LnhtbE2PzW7CMBCE70h9B2srcQM7CCikcTi04toK+iP1tsRLEjVe&#10;R7Eh6dvXOcFtRzOa/SbbDbYRV+p87VhDMlcgiAtnai41fH7sZxsQPiAbbByThj/ysMsfJhmmxvV8&#10;oOsxlCKWsE9RQxVCm0rpi4os+rlriaN3dp3FEGVXStNhH8ttIxdKraXFmuOHClt6qaj4PV6shq+3&#10;88/3Ur2Xr3bV9m5Qku1Waj19TNQziEBDuIVhxI/okEemk7uw8aLRMEs2cUvQsFqCGP3FOurTeGyf&#10;QOaZvF+Q/wNQSwMEFAAAAAgAh07iQLL9yyu9AQAAbQMAAA4AAABkcnMvZTJvRG9jLnhtbK1TS27b&#10;MBDdF+gdCO5ryYnbJILlAIWRboq2QNoD0NTQIsBfObQlX6C9QVfddN9z+RwZSoqbJpsssqGG83mc&#10;92a0vO6tYXuIqL2r+XxWcgZO+ka7bc2/fb15c8kZJuEaYbyDmh8A+fXq9atlFyo48603DURGIA6r&#10;LtS8TSlURYGyBStw5gM4CiofrUh0jduiiaIjdGuKs7J8V3Q+NiF6CYjkXY9BPiHG5wB6pbSEtZc7&#10;Cy6NqBGMSEQJWx2Qr4ZulQKZPiuFkJipOTFNw0mPkL3JZ7FaimobRWi1nFoQz2nhEScrtKNHT1Br&#10;kQTbRf0EymoZPXqVZtLbYiQyKEIs5uUjbW5bEWDgQlJjOImOLwcrP+2/RKabmp8vLjhzwtLIj79+&#10;Hn//Pf75wbKTJOoCVpR5Gyg39e99T4tz70dyZua9ijZ/iROjOAl8OAkMfWKSnFfzxaKkiKTQxeXV&#10;efk2oxT/ikPE9AG8ZdmoeaT5DbKK/UdMY+p9Sn7L+RttzDBD4/5zEObogWEJpurMY+w3W6nf9BO5&#10;jW8OxK2jRag5ft+JCJztQtTbltoYuBa5hKYw9DttTB7zwzvZD/+S1R1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iReLH1gAAAAkBAAAPAAAAAAAAAAEAIAAAACIAAABkcnMvZG93bnJldi54bWxQSwEC&#10;FAAUAAAACACHTuJAsv3LK70BAABtAwAADgAAAAAAAAABACAAAAAlAQAAZHJzL2Uyb0RvYy54bWxQ&#10;SwUGAAAAAAYABgBZAQAAVAUAAAAA&#10;">
                <v:fill on="f" focussize="0,0"/>
                <v:stroke on="f"/>
                <v:imagedata o:title=""/>
                <o:lock v:ext="edit" aspectratio="f"/>
                <v:textbox>
                  <w:txbxContent>
                    <w:p w14:paraId="04F9E33A">
                      <w:pPr>
                        <w:pStyle w:val="24"/>
                        <w:spacing w:line="200" w:lineRule="exact"/>
                        <w:rPr>
                          <w:rFonts w:ascii="楷体_GB2312" w:hAnsi="宋体"/>
                          <w:sz w:val="18"/>
                          <w:szCs w:val="18"/>
                        </w:rPr>
                      </w:pPr>
                      <w:r>
                        <w:rPr>
                          <w:rFonts w:hint="eastAsia" w:ascii="楷体_GB2312" w:hAnsi="宋体" w:cs="楷体_GB2312"/>
                          <w:sz w:val="18"/>
                          <w:szCs w:val="18"/>
                        </w:rPr>
                        <w:t>支付申请的提交与核实</w:t>
                      </w:r>
                    </w:p>
                  </w:txbxContent>
                </v:textbox>
              </v:shape>
            </w:pict>
          </mc:Fallback>
        </mc:AlternateContent>
      </w:r>
      <w:r>
        <w:rPr>
          <w:rFonts w:hint="default" w:ascii="Times New Roman" w:hAnsi="Times New Roman" w:cs="Times New Roman"/>
          <w:color w:val="auto"/>
          <w:sz w:val="22"/>
          <w:szCs w:val="22"/>
          <w:highlight w:val="none"/>
        </w:rPr>
        <w:t>专用条款没有约定的，承包人应在接到监理工程师按照第34.2款规定发出开工令后的7天内向造价工程师提交绿色施工安全防护费支付申请，并抄送发包人。造价工程师应对支付申请进行核实，并在收到支付申请后的7天内报发包人确认后向发包人发出支付证书，同时抄送承包人。</w:t>
      </w:r>
    </w:p>
    <w:p w14:paraId="04EEFF5B">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80.3  </w:t>
      </w:r>
      <w:r>
        <w:rPr>
          <w:rFonts w:hint="default" w:ascii="Times New Roman" w:hAnsi="Times New Roman" w:cs="Times New Roman"/>
          <w:b/>
          <w:bCs/>
          <w:color w:val="auto"/>
          <w:sz w:val="22"/>
          <w:szCs w:val="22"/>
          <w:highlight w:val="none"/>
          <w:u w:val="dotted"/>
        </w:rPr>
        <w:t xml:space="preserve">                                                                                                        </w:t>
      </w:r>
    </w:p>
    <w:p w14:paraId="4C7500B8">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合同双方当事人应按照建设行政主管部门的规定，在专用条款中约定绿色施工安全防护费的支付办法和抵扣方式。除专用条款另有约定外，</w:t>
      </w: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09472" behindDoc="0" locked="0" layoutInCell="1" allowOverlap="1">
                <wp:simplePos x="0" y="0"/>
                <wp:positionH relativeFrom="column">
                  <wp:posOffset>-114300</wp:posOffset>
                </wp:positionH>
                <wp:positionV relativeFrom="paragraph">
                  <wp:posOffset>71755</wp:posOffset>
                </wp:positionV>
                <wp:extent cx="1028700" cy="352425"/>
                <wp:effectExtent l="0" t="0" r="0" b="0"/>
                <wp:wrapNone/>
                <wp:docPr id="348" name="文本框 348"/>
                <wp:cNvGraphicFramePr/>
                <a:graphic xmlns:a="http://schemas.openxmlformats.org/drawingml/2006/main">
                  <a:graphicData uri="http://schemas.microsoft.com/office/word/2010/wordprocessingShape">
                    <wps:wsp>
                      <wps:cNvSpPr txBox="1"/>
                      <wps:spPr>
                        <a:xfrm>
                          <a:off x="0" y="0"/>
                          <a:ext cx="1028700" cy="352425"/>
                        </a:xfrm>
                        <a:prstGeom prst="rect">
                          <a:avLst/>
                        </a:prstGeom>
                        <a:noFill/>
                        <a:ln>
                          <a:noFill/>
                        </a:ln>
                        <a:effectLst/>
                      </wps:spPr>
                      <wps:txbx>
                        <w:txbxContent>
                          <w:p w14:paraId="491E1E4F">
                            <w:pPr>
                              <w:rPr>
                                <w:rFonts w:ascii="楷体_GB2312" w:hAnsi="宋体" w:eastAsia="楷体_GB2312" w:cs="Times New Roman"/>
                                <w:b/>
                                <w:bCs/>
                                <w:sz w:val="18"/>
                                <w:szCs w:val="18"/>
                              </w:rPr>
                            </w:pPr>
                            <w:r>
                              <w:rPr>
                                <w:rFonts w:hint="eastAsia" w:ascii="楷体_GB2312" w:hAnsi="宋体" w:eastAsia="楷体_GB2312" w:cs="楷体_GB2312"/>
                                <w:b/>
                                <w:bCs/>
                                <w:sz w:val="18"/>
                                <w:szCs w:val="18"/>
                              </w:rPr>
                              <w:t>费用支付</w:t>
                            </w:r>
                          </w:p>
                        </w:txbxContent>
                      </wps:txbx>
                      <wps:bodyPr wrap="square" upright="1"/>
                    </wps:wsp>
                  </a:graphicData>
                </a:graphic>
              </wp:anchor>
            </w:drawing>
          </mc:Choice>
          <mc:Fallback>
            <w:pict>
              <v:shape id="_x0000_s1026" o:spid="_x0000_s1026" o:spt="202" type="#_x0000_t202" style="position:absolute;left:0pt;margin-left:-9pt;margin-top:5.65pt;height:27.75pt;width:81pt;z-index:252009472;mso-width-relative:page;mso-height-relative:page;" filled="f" stroked="f" coordsize="21600,21600" o:gfxdata="UEsDBAoAAAAAAIdO4kAAAAAAAAAAAAAAAAAEAAAAZHJzL1BLAwQUAAAACACHTuJAe+gtd9UAAAAJ&#10;AQAADwAAAGRycy9kb3ducmV2LnhtbE2PzU7DMBCE70i8g7VI3Fo7EKIQ4vQA4grqHxI3N94mEfE6&#10;it0mvH23JzjuzGj2m3I1u16ccQydJw3JUoFAqr3tqNGw274vchAhGrKm94QafjHAqrq9KU1h/URr&#10;PG9iI7iEQmE0tDEOhZShbtGZsPQDEntHPzoT+RwbaUczcbnr5YNSmXSmI/7QmgFfW6x/NienYf9x&#10;/P5K1Wfz5p6Gyc9KknuWWt/fJeoFRMQ5/oXhis/oUDHTwZ/IBtFrWCQ5b4lsJI8groE0ZeGgIcty&#10;kFUp/y+oLlBLAwQUAAAACACHTuJAfmm+YL0BAABuAwAADgAAAGRycy9lMm9Eb2MueG1srVNLbtsw&#10;EN0X6B0I7msqStIGguUAhZFuirZAmgPQ1MgiIH7KoS35Au0Nuuqm+57L5+iQUtw02WSRDTWcz+O8&#10;N6Pl9Wh6toeA2tmany0KzsAq12i7rfnd15s3V5xhlLaRvbNQ8wMgv169frUcfAWl61zfQGAEYrEa&#10;fM27GH0lBKoOjMSF82Ap2LpgZKRr2IomyIHQTS/KongrBhcaH5wCRPKupyCfEcNzAF3bagVrp3YG&#10;bJxQA/QyEiXstEe+yt22Laj4uW0RIutrTkxjPukRsjfpFKulrLZB+k6ruQX5nBYecTJSW3r0BLWW&#10;UbJd0E+gjFbBoWvjQjkjJiJZEWJxVjzS5raTHjIXkhr9SXR8OVj1af8lMN3U/PyCBm+loZEff/44&#10;/vpz/P2dJSdJNHisKPPWU24c37uRFufej+RMzMc2mPQlToziJPDhJDCMkalUVJRX7woKKYqdX5YX&#10;5WWCEf+qfcD4AZxhyah5oAFmXeX+I8Yp9T4lPWbdje77PMTe/ucgzMkDeQvm6kRkajhZcdyMM7uN&#10;aw5EbqBNqDl+28kAnO180NuO2shkRSqhMeR+55VJc354J/vhb7L6C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HvoLXfVAAAACQEAAA8AAAAAAAAAAQAgAAAAIgAAAGRycy9kb3ducmV2LnhtbFBLAQIU&#10;ABQAAAAIAIdO4kB+ab5gvQEAAG4DAAAOAAAAAAAAAAEAIAAAACQBAABkcnMvZTJvRG9jLnhtbFBL&#10;BQYAAAAABgAGAFkBAABTBQAAAAA=&#10;">
                <v:fill on="f" focussize="0,0"/>
                <v:stroke on="f"/>
                <v:imagedata o:title=""/>
                <o:lock v:ext="edit" aspectratio="f"/>
                <v:textbox>
                  <w:txbxContent>
                    <w:p w14:paraId="491E1E4F">
                      <w:pPr>
                        <w:rPr>
                          <w:rFonts w:ascii="楷体_GB2312" w:hAnsi="宋体" w:eastAsia="楷体_GB2312" w:cs="Times New Roman"/>
                          <w:b/>
                          <w:bCs/>
                          <w:sz w:val="18"/>
                          <w:szCs w:val="18"/>
                        </w:rPr>
                      </w:pPr>
                      <w:r>
                        <w:rPr>
                          <w:rFonts w:hint="eastAsia" w:ascii="楷体_GB2312" w:hAnsi="宋体" w:eastAsia="楷体_GB2312" w:cs="楷体_GB2312"/>
                          <w:b/>
                          <w:bCs/>
                          <w:sz w:val="18"/>
                          <w:szCs w:val="18"/>
                        </w:rPr>
                        <w:t>费用支付</w:t>
                      </w:r>
                    </w:p>
                  </w:txbxContent>
                </v:textbox>
              </v:shape>
            </w:pict>
          </mc:Fallback>
        </mc:AlternateContent>
      </w:r>
      <w:r>
        <w:rPr>
          <w:rFonts w:hint="default" w:ascii="Times New Roman" w:hAnsi="Times New Roman" w:cs="Times New Roman"/>
          <w:color w:val="auto"/>
          <w:sz w:val="22"/>
          <w:szCs w:val="22"/>
          <w:highlight w:val="none"/>
        </w:rPr>
        <w:t>发包人应在造价工程师签发支付证书后的7天内向承包人支付绿色施工安全防护费，并保证在工程开工后的28天内支付绿色施工安全防护费金额的50%，同时通知造价工程师。其余部分与进度款同期支付。</w:t>
      </w:r>
    </w:p>
    <w:p w14:paraId="6786FFEF">
      <w:pPr>
        <w:pStyle w:val="15"/>
        <w:tabs>
          <w:tab w:val="left" w:pos="1320"/>
        </w:tabs>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80.4  </w:t>
      </w:r>
      <w:r>
        <w:rPr>
          <w:rFonts w:hint="default" w:ascii="Times New Roman" w:hAnsi="Times New Roman" w:cs="Times New Roman"/>
          <w:b/>
          <w:bCs/>
          <w:color w:val="auto"/>
          <w:sz w:val="22"/>
          <w:szCs w:val="22"/>
          <w:highlight w:val="none"/>
          <w:u w:val="dotted"/>
        </w:rPr>
        <w:t xml:space="preserve">                                                                                                        </w:t>
      </w:r>
    </w:p>
    <w:p w14:paraId="0BE0EED0">
      <w:pPr>
        <w:pStyle w:val="7"/>
        <w:adjustRightInd w:val="0"/>
        <w:snapToGrid w:val="0"/>
        <w:spacing w:line="420" w:lineRule="exact"/>
        <w:ind w:left="1619" w:leftChars="771"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10496" behindDoc="0" locked="0" layoutInCell="1" allowOverlap="1">
                <wp:simplePos x="0" y="0"/>
                <wp:positionH relativeFrom="column">
                  <wp:posOffset>-114300</wp:posOffset>
                </wp:positionH>
                <wp:positionV relativeFrom="paragraph">
                  <wp:posOffset>10795</wp:posOffset>
                </wp:positionV>
                <wp:extent cx="914400" cy="400685"/>
                <wp:effectExtent l="0" t="0" r="0" b="0"/>
                <wp:wrapNone/>
                <wp:docPr id="349" name="文本框 349"/>
                <wp:cNvGraphicFramePr/>
                <a:graphic xmlns:a="http://schemas.openxmlformats.org/drawingml/2006/main">
                  <a:graphicData uri="http://schemas.microsoft.com/office/word/2010/wordprocessingShape">
                    <wps:wsp>
                      <wps:cNvSpPr txBox="1"/>
                      <wps:spPr>
                        <a:xfrm>
                          <a:off x="0" y="0"/>
                          <a:ext cx="914400" cy="400685"/>
                        </a:xfrm>
                        <a:prstGeom prst="rect">
                          <a:avLst/>
                        </a:prstGeom>
                        <a:noFill/>
                        <a:ln>
                          <a:noFill/>
                        </a:ln>
                        <a:effectLst/>
                      </wps:spPr>
                      <wps:txbx>
                        <w:txbxContent>
                          <w:p w14:paraId="5303CD8E">
                            <w:pPr>
                              <w:rPr>
                                <w:rFonts w:ascii="楷体_GB2312" w:hAnsi="宋体" w:eastAsia="楷体_GB2312" w:cs="Times New Roman"/>
                                <w:b/>
                                <w:bCs/>
                                <w:sz w:val="18"/>
                                <w:szCs w:val="18"/>
                              </w:rPr>
                            </w:pPr>
                            <w:r>
                              <w:rPr>
                                <w:rFonts w:hint="eastAsia" w:ascii="楷体_GB2312" w:hAnsi="宋体" w:eastAsia="楷体_GB2312" w:cs="楷体_GB2312"/>
                                <w:b/>
                                <w:bCs/>
                                <w:sz w:val="18"/>
                                <w:szCs w:val="18"/>
                              </w:rPr>
                              <w:t>支付限制</w:t>
                            </w:r>
                          </w:p>
                        </w:txbxContent>
                      </wps:txbx>
                      <wps:bodyPr wrap="square" upright="1"/>
                    </wps:wsp>
                  </a:graphicData>
                </a:graphic>
              </wp:anchor>
            </w:drawing>
          </mc:Choice>
          <mc:Fallback>
            <w:pict>
              <v:shape id="_x0000_s1026" o:spid="_x0000_s1026" o:spt="202" type="#_x0000_t202" style="position:absolute;left:0pt;margin-left:-9pt;margin-top:0.85pt;height:31.55pt;width:72pt;z-index:252010496;mso-width-relative:page;mso-height-relative:page;" filled="f" stroked="f" coordsize="21600,21600" o:gfxdata="UEsDBAoAAAAAAIdO4kAAAAAAAAAAAAAAAAAEAAAAZHJzL1BLAwQUAAAACACHTuJAXN/jDNUAAAAI&#10;AQAADwAAAGRycy9kb3ducmV2LnhtbE2Py27CMBBF95X4B2sqsQM7iKYhxGFB1S1V6UPqzsRDEjUe&#10;R7Eh6d93WLXLqzO6c26xm1wnrjiE1pOGZKlAIFXetlRreH97XmQgQjRkTecJNfxggF05uytMbv1I&#10;r3g9xlpwCYXcaGhi7HMpQ9WgM2HpeyRmZz84EzkOtbSDGbncdXKlVCqdaYk/NKbHfYPV9/HiNHwc&#10;zl+fa/VSP7mHfvSTkuQ2Uuv5faK2ICJO8e8YbvqsDiU7nfyFbBCdhkWS8ZbI4BHEja9SzicN6ToD&#10;WRby/4DyF1BLAwQUAAAACACHTuJAg4FnSrsBAABtAwAADgAAAGRycy9lMm9Eb2MueG1srVNLbtsw&#10;EN0X6B0I7mPKiRskguUAhZFuirZAmgPQ1MgiwF85tCVfoL1BV91033P5HB1KivPpJotuqOF8Hue9&#10;GS1vemvYHiJq7yo+nxWcgVO+1m5b8fuvt2dXnGGSrpbGO6j4AZDfrN6+WXahhHPfelNDZATisOxC&#10;xduUQikEqhasxJkP4CjY+GhlomvcijrKjtCtEedFcSk6H+sQvQJE8q7HIJ8Q42sAfdNoBWuvdhZc&#10;GlEjGJmIErY6IF8N3TYNqPS5aRASMxUnpmk46RGyN/kUq6Ust1GGVqupBfmaFl5wslI7evQEtZZJ&#10;sl3U/0BZraJH36SZ8laMRAZFiMW8eKHNXSsDDFxIagwn0fH/wapP+y+R6briF4trzpy0NPLjzx/H&#10;X3+Ov7+z7CSJuoAlZd4Fyk39e9/T4jz4kZyZed9Em7/EiVGcBD6cBIY+MUXO6/liUVBEUYiMy6t3&#10;GUU8FoeI6QN4y7JR8UjzG2SV+4+YxtSHlPyW87famGGGxj1zEObogWEJpurMY+w3W6nf9BO5ja8P&#10;xK2jRag4ftvJCJztQtTbltoYuIpcQlMY+p02Jo/56Z3sp3/J6i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Bc3+MM1QAAAAgBAAAPAAAAAAAAAAEAIAAAACIAAABkcnMvZG93bnJldi54bWxQSwECFAAU&#10;AAAACACHTuJAg4FnSrsBAABtAwAADgAAAAAAAAABACAAAAAkAQAAZHJzL2Uyb0RvYy54bWxQSwUG&#10;AAAAAAYABgBZAQAAUQUAAAAA&#10;">
                <v:fill on="f" focussize="0,0"/>
                <v:stroke on="f"/>
                <v:imagedata o:title=""/>
                <o:lock v:ext="edit" aspectratio="f"/>
                <v:textbox>
                  <w:txbxContent>
                    <w:p w14:paraId="5303CD8E">
                      <w:pPr>
                        <w:rPr>
                          <w:rFonts w:ascii="楷体_GB2312" w:hAnsi="宋体" w:eastAsia="楷体_GB2312" w:cs="Times New Roman"/>
                          <w:b/>
                          <w:bCs/>
                          <w:sz w:val="18"/>
                          <w:szCs w:val="18"/>
                        </w:rPr>
                      </w:pPr>
                      <w:r>
                        <w:rPr>
                          <w:rFonts w:hint="eastAsia" w:ascii="楷体_GB2312" w:hAnsi="宋体" w:eastAsia="楷体_GB2312" w:cs="楷体_GB2312"/>
                          <w:b/>
                          <w:bCs/>
                          <w:sz w:val="18"/>
                          <w:szCs w:val="18"/>
                        </w:rPr>
                        <w:t>支付限制</w:t>
                      </w:r>
                    </w:p>
                  </w:txbxContent>
                </v:textbox>
              </v:shape>
            </w:pict>
          </mc:Fallback>
        </mc:AlternateContent>
      </w:r>
      <w:r>
        <w:rPr>
          <w:rFonts w:hint="default" w:ascii="Times New Roman" w:hAnsi="Times New Roman" w:cs="Times New Roman"/>
          <w:color w:val="auto"/>
          <w:sz w:val="22"/>
          <w:szCs w:val="22"/>
          <w:highlight w:val="none"/>
        </w:rPr>
        <w:t>发包人没有按时支付绿色施工安全防护费的，承包人应在付款期满后的10天向发包人发出要求支付的通知；发包人收到通知后仍不按要求支付，承包人可在发出通知14天后暂停施工。发包人应承担由此增加的费用和（或）延误的工期，并向承包人支付合理利润。</w:t>
      </w:r>
    </w:p>
    <w:p w14:paraId="0E01F744">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80.5  </w:t>
      </w:r>
      <w:r>
        <w:rPr>
          <w:rFonts w:hint="default" w:ascii="Times New Roman" w:hAnsi="Times New Roman" w:cs="Times New Roman"/>
          <w:b/>
          <w:bCs/>
          <w:color w:val="auto"/>
          <w:sz w:val="22"/>
          <w:szCs w:val="22"/>
          <w:highlight w:val="none"/>
          <w:u w:val="dotted"/>
        </w:rPr>
        <w:t xml:space="preserve">                                                                                                        </w:t>
      </w:r>
    </w:p>
    <w:p w14:paraId="25CCEBED">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11520" behindDoc="0" locked="0" layoutInCell="1" allowOverlap="1">
                <wp:simplePos x="0" y="0"/>
                <wp:positionH relativeFrom="column">
                  <wp:posOffset>-114300</wp:posOffset>
                </wp:positionH>
                <wp:positionV relativeFrom="paragraph">
                  <wp:posOffset>1905</wp:posOffset>
                </wp:positionV>
                <wp:extent cx="914400" cy="471170"/>
                <wp:effectExtent l="0" t="0" r="0" b="0"/>
                <wp:wrapNone/>
                <wp:docPr id="350" name="文本框 350"/>
                <wp:cNvGraphicFramePr/>
                <a:graphic xmlns:a="http://schemas.openxmlformats.org/drawingml/2006/main">
                  <a:graphicData uri="http://schemas.microsoft.com/office/word/2010/wordprocessingShape">
                    <wps:wsp>
                      <wps:cNvSpPr txBox="1"/>
                      <wps:spPr>
                        <a:xfrm>
                          <a:off x="0" y="0"/>
                          <a:ext cx="914400" cy="471170"/>
                        </a:xfrm>
                        <a:prstGeom prst="rect">
                          <a:avLst/>
                        </a:prstGeom>
                        <a:noFill/>
                        <a:ln>
                          <a:noFill/>
                        </a:ln>
                        <a:effectLst/>
                      </wps:spPr>
                      <wps:txbx>
                        <w:txbxContent>
                          <w:p w14:paraId="04E81113">
                            <w:pPr>
                              <w:spacing w:line="240" w:lineRule="exact"/>
                              <w:rPr>
                                <w:rFonts w:ascii="宋体" w:cs="Times New Roman"/>
                              </w:rPr>
                            </w:pPr>
                            <w:r>
                              <w:rPr>
                                <w:rFonts w:hint="eastAsia" w:ascii="楷体_GB2312" w:hAnsi="宋体" w:eastAsia="楷体_GB2312" w:cs="楷体_GB2312"/>
                                <w:b/>
                                <w:bCs/>
                                <w:sz w:val="18"/>
                                <w:szCs w:val="18"/>
                              </w:rPr>
                              <w:t>管理要求</w:t>
                            </w:r>
                          </w:p>
                        </w:txbxContent>
                      </wps:txbx>
                      <wps:bodyPr wrap="square" upright="1"/>
                    </wps:wsp>
                  </a:graphicData>
                </a:graphic>
              </wp:anchor>
            </w:drawing>
          </mc:Choice>
          <mc:Fallback>
            <w:pict>
              <v:shape id="_x0000_s1026" o:spid="_x0000_s1026" o:spt="202" type="#_x0000_t202" style="position:absolute;left:0pt;margin-left:-9pt;margin-top:0.15pt;height:37.1pt;width:72pt;z-index:252011520;mso-width-relative:page;mso-height-relative:page;" filled="f" stroked="f" coordsize="21600,21600" o:gfxdata="UEsDBAoAAAAAAIdO4kAAAAAAAAAAAAAAAAAEAAAAZHJzL1BLAwQUAAAACACHTuJAP3DUx9UAAAAH&#10;AQAADwAAAGRycy9kb3ducmV2LnhtbE2PzU7DMBCE70i8g7VI3Fo7pS0lZNMDiCuI8iNx28bbJCJe&#10;R7HbhLfHPcFxNKOZb4rt5Dp14iG0XhCyuQHFUnnbSo3w/vY024AKkcRS54URfjjAtry8KCi3fpRX&#10;Pu1irVKJhJwQmhj7XOtQNewozH3PkryDHxzFJIda24HGVO46vTBmrR21khYa6vmh4ep7d3QIH8+H&#10;r8+leakf3aof/WS0uDuNeH2VmXtQkaf4F4YzfkKHMjHt/VFsUB3CLNukLxHhBtTZXqyT3CPcLleg&#10;y0L/5y9/AVBLAwQUAAAACACHTuJA4tEaDbwBAABtAwAADgAAAGRycy9lMm9Eb2MueG1srVNLjtQw&#10;EN0jcQfLe9rJ0DAQdXok1Bo2CJAGDuB2Kh1L8QeXu5O+ANyAFRv2nKvPQdnJNPPZzIKNU67Pc71X&#10;ldXVaHp2gIDa2ZqXi4IzsMo12u5q/vXL9Ys3nGGUtpG9s1DzIyC/Wj9/thp8BReuc30DgRGIxWrw&#10;Ne9i9JUQqDowEhfOg6Vg64KRka5hJ5ogB0I3vbgoitdicKHxwSlAJO9mCvIZMTwF0LWtVrBxam/A&#10;xgk1QC8jUcJOe+Tr3G3bgoqf2hYhsr7mxDTmkx4he5tOsV7Jahek77SaW5BPaeEBJyO1pUfPUBsZ&#10;JdsH/QjKaBUcujYulDNiIpIVIRZl8UCbm056yFxIavRn0fH/waqPh8+B6abmL1+RJlYaGvnp54/T&#10;rz+n399ZcpJEg8eKMm885cbxnRtpcW79SM7EfGyDSV/ixChOYMezwDBGpsj5tlwuC4ooCi0vy/Iy&#10;o4t/xT5gfA/OsGTUPND8sqzy8AEjNUKptynpLeuudd/nGfb2noMSJw/kJZirE4+p32TFcTvO5Lau&#10;ORK3gRah5vhtLwNwtvdB7zpqI3MVqYSmkJuYNyaN+e6d7Lt/yfo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P3DUx9UAAAAHAQAADwAAAAAAAAABACAAAAAiAAAAZHJzL2Rvd25yZXYueG1sUEsBAhQA&#10;FAAAAAgAh07iQOLRGg28AQAAbQMAAA4AAAAAAAAAAQAgAAAAJAEAAGRycy9lMm9Eb2MueG1sUEsF&#10;BgAAAAAGAAYAWQEAAFIFAAAAAA==&#10;">
                <v:fill on="f" focussize="0,0"/>
                <v:stroke on="f"/>
                <v:imagedata o:title=""/>
                <o:lock v:ext="edit" aspectratio="f"/>
                <v:textbox>
                  <w:txbxContent>
                    <w:p w14:paraId="04E81113">
                      <w:pPr>
                        <w:spacing w:line="240" w:lineRule="exact"/>
                        <w:rPr>
                          <w:rFonts w:ascii="宋体" w:cs="Times New Roman"/>
                        </w:rPr>
                      </w:pPr>
                      <w:r>
                        <w:rPr>
                          <w:rFonts w:hint="eastAsia" w:ascii="楷体_GB2312" w:hAnsi="宋体" w:eastAsia="楷体_GB2312" w:cs="楷体_GB2312"/>
                          <w:b/>
                          <w:bCs/>
                          <w:sz w:val="18"/>
                          <w:szCs w:val="18"/>
                        </w:rPr>
                        <w:t>管理要求</w:t>
                      </w:r>
                    </w:p>
                  </w:txbxContent>
                </v:textbox>
              </v:shape>
            </w:pict>
          </mc:Fallback>
        </mc:AlternateContent>
      </w:r>
      <w:r>
        <w:rPr>
          <w:rFonts w:hint="default" w:ascii="Times New Roman" w:hAnsi="Times New Roman" w:cs="Times New Roman"/>
          <w:color w:val="auto"/>
          <w:sz w:val="22"/>
          <w:szCs w:val="22"/>
          <w:highlight w:val="none"/>
        </w:rPr>
        <w:t>绿色施工安全防护费专款专用，承包人应在财务账目中单独列项备查，不得挪作他用，否则造价工程师有权责令其限期改正；逾期未改正的，可以责令其暂停施工，由此造成的损失和延误的工期由承包人承担。</w:t>
      </w:r>
    </w:p>
    <w:p w14:paraId="4143D916">
      <w:pPr>
        <w:pStyle w:val="15"/>
        <w:adjustRightInd w:val="0"/>
        <w:snapToGrid w:val="0"/>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12544" behindDoc="0" locked="0" layoutInCell="1" allowOverlap="1">
                <wp:simplePos x="0" y="0"/>
                <wp:positionH relativeFrom="column">
                  <wp:posOffset>0</wp:posOffset>
                </wp:positionH>
                <wp:positionV relativeFrom="paragraph">
                  <wp:posOffset>298450</wp:posOffset>
                </wp:positionV>
                <wp:extent cx="914400" cy="609600"/>
                <wp:effectExtent l="0" t="0" r="0" b="0"/>
                <wp:wrapNone/>
                <wp:docPr id="351" name="文本框 351"/>
                <wp:cNvGraphicFramePr/>
                <a:graphic xmlns:a="http://schemas.openxmlformats.org/drawingml/2006/main">
                  <a:graphicData uri="http://schemas.microsoft.com/office/word/2010/wordprocessingShape">
                    <wps:wsp>
                      <wps:cNvSpPr txBox="1"/>
                      <wps:spPr>
                        <a:xfrm>
                          <a:off x="0" y="0"/>
                          <a:ext cx="914400" cy="609600"/>
                        </a:xfrm>
                        <a:prstGeom prst="rect">
                          <a:avLst/>
                        </a:prstGeom>
                        <a:noFill/>
                        <a:ln>
                          <a:noFill/>
                        </a:ln>
                        <a:effectLst/>
                      </wps:spPr>
                      <wps:txbx>
                        <w:txbxContent>
                          <w:p w14:paraId="690F86F5">
                            <w:pPr>
                              <w:pStyle w:val="10"/>
                              <w:spacing w:line="200" w:lineRule="exact"/>
                              <w:rPr>
                                <w:rFonts w:ascii="楷体" w:hAnsi="楷体" w:eastAsia="楷体"/>
                                <w:b/>
                                <w:bCs/>
                                <w:sz w:val="18"/>
                                <w:szCs w:val="18"/>
                              </w:rPr>
                            </w:pPr>
                            <w:r>
                              <w:rPr>
                                <w:rFonts w:hint="eastAsia" w:ascii="楷体" w:hAnsi="楷体" w:eastAsia="楷体" w:cs="楷体"/>
                                <w:b/>
                                <w:bCs/>
                                <w:sz w:val="18"/>
                                <w:szCs w:val="18"/>
                              </w:rPr>
                              <w:t>工程</w:t>
                            </w:r>
                            <w:r>
                              <w:rPr>
                                <w:rFonts w:hint="eastAsia" w:ascii="楷体" w:hAnsi="楷体" w:eastAsia="楷体" w:cs="楷体"/>
                                <w:b/>
                                <w:bCs/>
                                <w:caps/>
                                <w:sz w:val="18"/>
                                <w:szCs w:val="18"/>
                              </w:rPr>
                              <w:t>文明工地增加费</w:t>
                            </w:r>
                            <w:r>
                              <w:rPr>
                                <w:rFonts w:hint="eastAsia" w:ascii="楷体" w:hAnsi="楷体" w:eastAsia="楷体" w:cs="楷体"/>
                                <w:b/>
                                <w:bCs/>
                                <w:sz w:val="18"/>
                                <w:szCs w:val="18"/>
                              </w:rPr>
                              <w:t>计提与支付</w:t>
                            </w:r>
                          </w:p>
                        </w:txbxContent>
                      </wps:txbx>
                      <wps:bodyPr wrap="square" upright="1"/>
                    </wps:wsp>
                  </a:graphicData>
                </a:graphic>
              </wp:anchor>
            </w:drawing>
          </mc:Choice>
          <mc:Fallback>
            <w:pict>
              <v:shape id="_x0000_s1026" o:spid="_x0000_s1026" o:spt="202" type="#_x0000_t202" style="position:absolute;left:0pt;margin-left:0pt;margin-top:23.5pt;height:48pt;width:72pt;z-index:252012544;mso-width-relative:page;mso-height-relative:page;" filled="f" stroked="f" coordsize="21600,21600" o:gfxdata="UEsDBAoAAAAAAIdO4kAAAAAAAAAAAAAAAAAEAAAAZHJzL1BLAwQUAAAACACHTuJAw4YyHtIAAAAH&#10;AQAADwAAAGRycy9kb3ducmV2LnhtbE2PQU/DMAyF70j8h8hI3FgyKAxK0x1AXEEMmMTNa7y2onGq&#10;JlvLv8c9sZOf9azn7xXryXfqSENsA1tYLgwo4iq4lmsLnx8vV/egYkJ22AUmC78UYV2enxWYuzDy&#10;Ox03qVYSwjFHC01Kfa51rBryGBehJxZvHwaPSdah1m7AUcJ9p6+NudMeW5YPDfb01FD1szl4C1+v&#10;++9tZt7qZ3/bj2Eymv2DtvbyYmkeQSWa0v8xzPiCDqUw7cKBXVSdBSmSLGQrmbObZSJ2s7gxoMtC&#10;n/KXf1BLAwQUAAAACACHTuJA+bVjWrwBAABtAwAADgAAAGRycy9lMm9Eb2MueG1srVNLbtswEN0X&#10;yB0I7mPKaWo0guUAgZFsgrZA2gPQ1NAiIH7KoS35Au0Nuuqm+57L5+hQUtw03WSRDTWcz+O8N6Pl&#10;dW9btoeIxruKz2cFZ+CUr43bVvzL59vz95xhkq6WrXdQ8QMgv16dvVl2oYQL3/i2hsgIxGHZhYo3&#10;KYVSCFQNWIkzH8BRUPtoZaJr3Io6yo7QbSsuimIhOh/rEL0CRPKuxyCfEONLAL3WRsHaq50Fl0bU&#10;CK1MRAkbE5Cvhm61BpU+ao2QWFtxYpqGkx4he5NPsVrKchtlaIyaWpAvaeEZJyuNo0dPUGuZJNtF&#10;8x+UNSp69DrNlLdiJDIoQizmxTNtHhoZYOBCUmM4iY6vB6s+7D9FZuqKv30358xJSyM//vh+/Pn7&#10;+Osby06SqAtYUuZDoNzU3/ieFufRj+TMzHsdbf4SJ0ZxEvhwEhj6xBQ5r+aXlwVFFIUWxdWCbEIX&#10;f4tDxHQH3rJsVDzS/AZZ5f4e05j6mJLfcv7WtO0ww9b94yDM0QPDEkzVmcfYb7ZSv+knchtfH4hb&#10;R4tQcfy6kxE424Votg21MXAVuYSmMPQ7bUwe89M72U//ktU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w4YyHtIAAAAHAQAADwAAAAAAAAABACAAAAAiAAAAZHJzL2Rvd25yZXYueG1sUEsBAhQAFAAA&#10;AAgAh07iQPm1Y1q8AQAAbQMAAA4AAAAAAAAAAQAgAAAAIQEAAGRycy9lMm9Eb2MueG1sUEsFBgAA&#10;AAAGAAYAWQEAAE8FAAAAAA==&#10;">
                <v:fill on="f" focussize="0,0"/>
                <v:stroke on="f"/>
                <v:imagedata o:title=""/>
                <o:lock v:ext="edit" aspectratio="f"/>
                <v:textbox>
                  <w:txbxContent>
                    <w:p w14:paraId="690F86F5">
                      <w:pPr>
                        <w:pStyle w:val="10"/>
                        <w:spacing w:line="200" w:lineRule="exact"/>
                        <w:rPr>
                          <w:rFonts w:ascii="楷体" w:hAnsi="楷体" w:eastAsia="楷体"/>
                          <w:b/>
                          <w:bCs/>
                          <w:sz w:val="18"/>
                          <w:szCs w:val="18"/>
                        </w:rPr>
                      </w:pPr>
                      <w:r>
                        <w:rPr>
                          <w:rFonts w:hint="eastAsia" w:ascii="楷体" w:hAnsi="楷体" w:eastAsia="楷体" w:cs="楷体"/>
                          <w:b/>
                          <w:bCs/>
                          <w:sz w:val="18"/>
                          <w:szCs w:val="18"/>
                        </w:rPr>
                        <w:t>工程</w:t>
                      </w:r>
                      <w:r>
                        <w:rPr>
                          <w:rFonts w:hint="eastAsia" w:ascii="楷体" w:hAnsi="楷体" w:eastAsia="楷体" w:cs="楷体"/>
                          <w:b/>
                          <w:bCs/>
                          <w:caps/>
                          <w:sz w:val="18"/>
                          <w:szCs w:val="18"/>
                        </w:rPr>
                        <w:t>文明工地增加费</w:t>
                      </w:r>
                      <w:r>
                        <w:rPr>
                          <w:rFonts w:hint="eastAsia" w:ascii="楷体" w:hAnsi="楷体" w:eastAsia="楷体" w:cs="楷体"/>
                          <w:b/>
                          <w:bCs/>
                          <w:sz w:val="18"/>
                          <w:szCs w:val="18"/>
                        </w:rPr>
                        <w:t>计提与支付</w:t>
                      </w:r>
                    </w:p>
                  </w:txbxContent>
                </v:textbox>
              </v:shape>
            </w:pict>
          </mc:Fallback>
        </mc:AlternateContent>
      </w:r>
      <w:r>
        <w:rPr>
          <w:rFonts w:hint="default" w:ascii="Times New Roman" w:hAnsi="Times New Roman" w:cs="Times New Roman"/>
          <w:b/>
          <w:bCs/>
          <w:color w:val="auto"/>
          <w:sz w:val="22"/>
          <w:szCs w:val="22"/>
          <w:highlight w:val="none"/>
        </w:rPr>
        <w:t xml:space="preserve">80.6  </w:t>
      </w:r>
      <w:r>
        <w:rPr>
          <w:rFonts w:hint="default" w:ascii="Times New Roman" w:hAnsi="Times New Roman" w:cs="Times New Roman"/>
          <w:b/>
          <w:bCs/>
          <w:color w:val="auto"/>
          <w:sz w:val="22"/>
          <w:szCs w:val="22"/>
          <w:highlight w:val="none"/>
          <w:u w:val="dotted"/>
        </w:rPr>
        <w:t xml:space="preserve">                                                                                 </w:t>
      </w:r>
    </w:p>
    <w:p w14:paraId="45B1B4DB">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除专用条款另有约定外，</w:t>
      </w:r>
      <w:r>
        <w:rPr>
          <w:rFonts w:hint="default" w:ascii="Times New Roman" w:hAnsi="Times New Roman" w:cs="Times New Roman"/>
          <w:caps/>
          <w:color w:val="auto"/>
          <w:sz w:val="22"/>
          <w:szCs w:val="22"/>
          <w:highlight w:val="none"/>
        </w:rPr>
        <w:t>获得省、市级或其它级别文明工地的文明工地增加费</w:t>
      </w:r>
      <w:r>
        <w:rPr>
          <w:rFonts w:hint="default" w:ascii="Times New Roman" w:hAnsi="Times New Roman" w:cs="Times New Roman"/>
          <w:color w:val="auto"/>
          <w:sz w:val="22"/>
          <w:szCs w:val="22"/>
          <w:highlight w:val="none"/>
        </w:rPr>
        <w:t>，招标工程的根据中标通知书日期，非招标工程的根据合同签订日期的同时期执行的广东省建设工程计价依据</w:t>
      </w:r>
      <w:r>
        <w:rPr>
          <w:rFonts w:hint="default" w:ascii="Times New Roman" w:hAnsi="Times New Roman" w:cs="Times New Roman"/>
          <w:caps/>
          <w:color w:val="auto"/>
          <w:sz w:val="22"/>
          <w:szCs w:val="22"/>
          <w:highlight w:val="none"/>
        </w:rPr>
        <w:t>文明工地增加费</w:t>
      </w:r>
      <w:r>
        <w:rPr>
          <w:rFonts w:hint="default" w:ascii="Times New Roman" w:hAnsi="Times New Roman" w:cs="Times New Roman"/>
          <w:color w:val="auto"/>
          <w:sz w:val="22"/>
          <w:szCs w:val="22"/>
          <w:highlight w:val="none"/>
        </w:rPr>
        <w:t>、广州市住房和城乡建设局发布的</w:t>
      </w:r>
      <w:r>
        <w:rPr>
          <w:rFonts w:hint="default" w:ascii="Times New Roman" w:hAnsi="Times New Roman" w:cs="Times New Roman"/>
          <w:caps/>
          <w:color w:val="auto"/>
          <w:sz w:val="22"/>
          <w:szCs w:val="22"/>
          <w:highlight w:val="none"/>
        </w:rPr>
        <w:t>文明工地增加费</w:t>
      </w:r>
      <w:r>
        <w:rPr>
          <w:rFonts w:hint="default" w:ascii="Times New Roman" w:hAnsi="Times New Roman" w:cs="Times New Roman"/>
          <w:color w:val="auto"/>
          <w:sz w:val="22"/>
          <w:szCs w:val="22"/>
          <w:highlight w:val="none"/>
        </w:rPr>
        <w:t>、广州市建设工程造价管理站发布的</w:t>
      </w:r>
      <w:r>
        <w:rPr>
          <w:rFonts w:hint="default" w:ascii="Times New Roman" w:hAnsi="Times New Roman" w:cs="Times New Roman"/>
          <w:caps/>
          <w:color w:val="auto"/>
          <w:sz w:val="22"/>
          <w:szCs w:val="22"/>
          <w:highlight w:val="none"/>
        </w:rPr>
        <w:t>文明工地增加费</w:t>
      </w:r>
      <w:r>
        <w:rPr>
          <w:rFonts w:hint="default" w:ascii="Times New Roman" w:hAnsi="Times New Roman" w:cs="Times New Roman"/>
          <w:color w:val="auto"/>
          <w:sz w:val="22"/>
          <w:szCs w:val="22"/>
          <w:highlight w:val="none"/>
        </w:rPr>
        <w:t>计算。当合同工程同时获得上述多个奖项的，</w:t>
      </w:r>
      <w:r>
        <w:rPr>
          <w:rFonts w:hint="default" w:ascii="Times New Roman" w:hAnsi="Times New Roman" w:cs="Times New Roman"/>
          <w:caps/>
          <w:color w:val="auto"/>
          <w:sz w:val="22"/>
          <w:szCs w:val="22"/>
          <w:highlight w:val="none"/>
        </w:rPr>
        <w:t>文明工地增加费</w:t>
      </w:r>
      <w:r>
        <w:rPr>
          <w:rFonts w:hint="default" w:ascii="Times New Roman" w:hAnsi="Times New Roman" w:cs="Times New Roman"/>
          <w:color w:val="auto"/>
          <w:sz w:val="22"/>
          <w:szCs w:val="22"/>
          <w:highlight w:val="none"/>
        </w:rPr>
        <w:t>只按最高奖项的额度计算。</w:t>
      </w:r>
      <w:r>
        <w:rPr>
          <w:rFonts w:hint="default" w:ascii="Times New Roman" w:hAnsi="Times New Roman" w:cs="Times New Roman"/>
          <w:caps/>
          <w:color w:val="auto"/>
          <w:sz w:val="22"/>
          <w:szCs w:val="22"/>
          <w:highlight w:val="none"/>
        </w:rPr>
        <w:t>文明工地增加费</w:t>
      </w:r>
      <w:r>
        <w:rPr>
          <w:rFonts w:hint="default" w:ascii="Times New Roman" w:hAnsi="Times New Roman" w:cs="Times New Roman"/>
          <w:color w:val="auto"/>
          <w:sz w:val="22"/>
          <w:szCs w:val="22"/>
          <w:highlight w:val="none"/>
        </w:rPr>
        <w:t>列入竣工结算文件中，与竣工结算款一并支付。在竣工结算后获得奖项的，发包人应在获得奖项后的28天内支付。</w:t>
      </w:r>
    </w:p>
    <w:p w14:paraId="3651FD92">
      <w:pPr>
        <w:pStyle w:val="15"/>
        <w:tabs>
          <w:tab w:val="left" w:pos="1620"/>
        </w:tabs>
        <w:adjustRightInd w:val="0"/>
        <w:snapToGrid w:val="0"/>
        <w:spacing w:line="420" w:lineRule="exact"/>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372D87F0">
      <w:pPr>
        <w:pStyle w:val="15"/>
        <w:tabs>
          <w:tab w:val="left" w:pos="540"/>
        </w:tabs>
        <w:adjustRightInd w:val="0"/>
        <w:snapToGrid w:val="0"/>
        <w:spacing w:before="240" w:beforeLines="100" w:line="420" w:lineRule="exact"/>
        <w:outlineLvl w:val="2"/>
        <w:rPr>
          <w:rFonts w:hint="default" w:ascii="Times New Roman" w:hAnsi="Times New Roman" w:cs="Times New Roman"/>
          <w:b/>
          <w:bCs/>
          <w:color w:val="auto"/>
          <w:sz w:val="22"/>
          <w:szCs w:val="22"/>
          <w:highlight w:val="none"/>
        </w:rPr>
      </w:pPr>
      <w:bookmarkStart w:id="263" w:name="_Toc469384065"/>
      <w:bookmarkStart w:id="264" w:name="_Toc17221"/>
      <w:r>
        <w:rPr>
          <w:rFonts w:hint="default" w:ascii="Times New Roman" w:hAnsi="Times New Roman" w:cs="Times New Roman"/>
          <w:b/>
          <w:bCs/>
          <w:color w:val="auto"/>
          <w:sz w:val="22"/>
          <w:szCs w:val="22"/>
          <w:highlight w:val="none"/>
        </w:rPr>
        <w:t>★81  进度款</w:t>
      </w:r>
      <w:bookmarkEnd w:id="263"/>
      <w:bookmarkEnd w:id="264"/>
    </w:p>
    <w:p w14:paraId="160BF734">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81.1</w:t>
      </w:r>
    </w:p>
    <w:p w14:paraId="6D356C28">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13568" behindDoc="0" locked="0" layoutInCell="1" allowOverlap="1">
                <wp:simplePos x="0" y="0"/>
                <wp:positionH relativeFrom="column">
                  <wp:posOffset>-114300</wp:posOffset>
                </wp:positionH>
                <wp:positionV relativeFrom="paragraph">
                  <wp:posOffset>8255</wp:posOffset>
                </wp:positionV>
                <wp:extent cx="914400" cy="686435"/>
                <wp:effectExtent l="0" t="0" r="0" b="0"/>
                <wp:wrapNone/>
                <wp:docPr id="352" name="文本框 352"/>
                <wp:cNvGraphicFramePr/>
                <a:graphic xmlns:a="http://schemas.openxmlformats.org/drawingml/2006/main">
                  <a:graphicData uri="http://schemas.microsoft.com/office/word/2010/wordprocessingShape">
                    <wps:wsp>
                      <wps:cNvSpPr txBox="1"/>
                      <wps:spPr>
                        <a:xfrm>
                          <a:off x="0" y="0"/>
                          <a:ext cx="914400" cy="686435"/>
                        </a:xfrm>
                        <a:prstGeom prst="rect">
                          <a:avLst/>
                        </a:prstGeom>
                        <a:noFill/>
                        <a:ln>
                          <a:noFill/>
                        </a:ln>
                        <a:effectLst/>
                      </wps:spPr>
                      <wps:txbx>
                        <w:txbxContent>
                          <w:p w14:paraId="28A841F3">
                            <w:pPr>
                              <w:rPr>
                                <w:rFonts w:ascii="楷体_GB2312" w:hAnsi="宋体" w:eastAsia="楷体_GB2312" w:cs="Times New Roman"/>
                                <w:b/>
                                <w:bCs/>
                                <w:sz w:val="18"/>
                                <w:szCs w:val="18"/>
                              </w:rPr>
                            </w:pPr>
                            <w:r>
                              <w:rPr>
                                <w:rFonts w:hint="eastAsia" w:ascii="楷体_GB2312" w:hAnsi="宋体" w:eastAsia="楷体_GB2312" w:cs="楷体_GB2312"/>
                                <w:b/>
                                <w:bCs/>
                                <w:sz w:val="18"/>
                                <w:szCs w:val="18"/>
                              </w:rPr>
                              <w:t>约定支付期限、比例和提交支付申请</w:t>
                            </w:r>
                          </w:p>
                        </w:txbxContent>
                      </wps:txbx>
                      <wps:bodyPr wrap="square" upright="1"/>
                    </wps:wsp>
                  </a:graphicData>
                </a:graphic>
              </wp:anchor>
            </w:drawing>
          </mc:Choice>
          <mc:Fallback>
            <w:pict>
              <v:shape id="_x0000_s1026" o:spid="_x0000_s1026" o:spt="202" type="#_x0000_t202" style="position:absolute;left:0pt;margin-left:-9pt;margin-top:0.65pt;height:54.05pt;width:72pt;z-index:252013568;mso-width-relative:page;mso-height-relative:page;" filled="f" stroked="f" coordsize="21600,21600" o:gfxdata="UEsDBAoAAAAAAIdO4kAAAAAAAAAAAAAAAAAEAAAAZHJzL1BLAwQUAAAACACHTuJAYlby79UAAAAJ&#10;AQAADwAAAGRycy9kb3ducmV2LnhtbE2PwU7DMBBE70j8g7VI3Np1SqnaEKcHEFcQLSBxc+NtEhGv&#10;o9htwt+zPcFtR280O1NsJ9+pMw2xDWwgm2tQxFVwLdcG3vfPszWomCw72wUmAz8UYVteXxU2d2Hk&#10;NzrvUq0khGNuDTQp9TlirBryNs5DTyzsGAZvk8ihRjfYUcJ9hwutV+hty/KhsT09NlR9707ewMfL&#10;8etzqV/rJ3/fj2HSyH6DxtzeZPoBVKIp/ZnhUl+qQymdDuHELqrOwCxby5Yk4A7UhS9Wog9y6M0S&#10;sCzw/4LyF1BLAwQUAAAACACHTuJAtFPDY70BAABtAwAADgAAAGRycy9lMm9Eb2MueG1srVPNjtMw&#10;EL4j8Q6W79Rpt1stUdOVULVcECAtPIDrjBtL8Q8et0lfAN6AExfuPFefg3GSLcty2QMXZzw/n+f7&#10;ZrK+7W3LjhDReFfx+azgDJzytXH7in/+dPfqhjNM0tWy9Q4qfgLkt5uXL9ZdKGHhG9/WEBmBOCy7&#10;UPEmpVAKgaoBK3HmAzgKah+tTHSNe1FH2RG6bcWiKFai87EO0StAJO92DPIJMT4H0GttFGy9Olhw&#10;aUSN0MpElLAxAflm6FZrUOmD1giJtRUnpmk46RGyd/kUm7Us91GGxqipBfmcFp5wstI4evQCtZVJ&#10;skM0/0BZo6JHr9NMeStGIoMixGJePNHmvpEBBi4kNYaL6Pj/YNX748fITF3xq+sFZ05aGvn5+7fz&#10;j1/nn19ZdpJEXcCSMu8D5ab+je9pcR78SM7MvNfR5i9xYhQngU8XgaFPTJHz9Xy5LCiiKLS6WS2v&#10;rjOK+FMcIqa34C3LRsUjzW+QVR7fYRpTH1LyW87fmbYdZti6vxyEOXpgWIKpOvMY+81W6nf9RG7n&#10;6xNx62gRKo5fDjICZ4cQzb6hNgauIpfQFIZ+p43JY358J/vxX7L5D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GJW8u/VAAAACQEAAA8AAAAAAAAAAQAgAAAAIgAAAGRycy9kb3ducmV2LnhtbFBLAQIU&#10;ABQAAAAIAIdO4kC0U8NjvQEAAG0DAAAOAAAAAAAAAAEAIAAAACQBAABkcnMvZTJvRG9jLnhtbFBL&#10;BQYAAAAABgAGAFkBAABTBQAAAAA=&#10;">
                <v:fill on="f" focussize="0,0"/>
                <v:stroke on="f"/>
                <v:imagedata o:title=""/>
                <o:lock v:ext="edit" aspectratio="f"/>
                <v:textbox>
                  <w:txbxContent>
                    <w:p w14:paraId="28A841F3">
                      <w:pPr>
                        <w:rPr>
                          <w:rFonts w:ascii="楷体_GB2312" w:hAnsi="宋体" w:eastAsia="楷体_GB2312" w:cs="Times New Roman"/>
                          <w:b/>
                          <w:bCs/>
                          <w:sz w:val="18"/>
                          <w:szCs w:val="18"/>
                        </w:rPr>
                      </w:pPr>
                      <w:r>
                        <w:rPr>
                          <w:rFonts w:hint="eastAsia" w:ascii="楷体_GB2312" w:hAnsi="宋体" w:eastAsia="楷体_GB2312" w:cs="楷体_GB2312"/>
                          <w:b/>
                          <w:bCs/>
                          <w:sz w:val="18"/>
                          <w:szCs w:val="18"/>
                        </w:rPr>
                        <w:t>约定支付期限、比例和提交支付申请</w:t>
                      </w:r>
                    </w:p>
                  </w:txbxContent>
                </v:textbox>
              </v:shape>
            </w:pict>
          </mc:Fallback>
        </mc:AlternateContent>
      </w:r>
      <w:r>
        <w:rPr>
          <w:rFonts w:hint="default" w:ascii="Times New Roman" w:hAnsi="Times New Roman" w:cs="Times New Roman"/>
          <w:color w:val="auto"/>
          <w:sz w:val="22"/>
          <w:szCs w:val="22"/>
          <w:highlight w:val="none"/>
        </w:rPr>
        <w:t>合同双方当事人应在专用条款中明确进度款支付期的时限及比例。专用条款没有约定期限的，支付期以月为单位。涉及政府投资资金的工程，支付期、支付方法等需调整的，应在专用条款中约定。</w:t>
      </w:r>
    </w:p>
    <w:p w14:paraId="02F365C1">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14592" behindDoc="0" locked="0" layoutInCell="1" allowOverlap="1">
                <wp:simplePos x="0" y="0"/>
                <wp:positionH relativeFrom="column">
                  <wp:posOffset>-228600</wp:posOffset>
                </wp:positionH>
                <wp:positionV relativeFrom="paragraph">
                  <wp:posOffset>9359900</wp:posOffset>
                </wp:positionV>
                <wp:extent cx="1409700" cy="597535"/>
                <wp:effectExtent l="0" t="0" r="0" b="0"/>
                <wp:wrapNone/>
                <wp:docPr id="353" name="文本框 353"/>
                <wp:cNvGraphicFramePr/>
                <a:graphic xmlns:a="http://schemas.openxmlformats.org/drawingml/2006/main">
                  <a:graphicData uri="http://schemas.microsoft.com/office/word/2010/wordprocessingShape">
                    <wps:wsp>
                      <wps:cNvSpPr txBox="1"/>
                      <wps:spPr>
                        <a:xfrm>
                          <a:off x="0" y="0"/>
                          <a:ext cx="1409700" cy="597535"/>
                        </a:xfrm>
                        <a:prstGeom prst="rect">
                          <a:avLst/>
                        </a:prstGeom>
                        <a:noFill/>
                        <a:ln>
                          <a:noFill/>
                        </a:ln>
                        <a:effectLst/>
                      </wps:spPr>
                      <wps:txbx>
                        <w:txbxContent>
                          <w:p w14:paraId="243B8C75">
                            <w:pPr>
                              <w:spacing w:line="240" w:lineRule="exact"/>
                              <w:rPr>
                                <w:rFonts w:eastAsia="楷体_GB2312" w:cs="Times New Roman"/>
                                <w:b/>
                                <w:bCs/>
                                <w:sz w:val="18"/>
                                <w:szCs w:val="18"/>
                              </w:rPr>
                            </w:pPr>
                            <w:r>
                              <w:rPr>
                                <w:rFonts w:hint="eastAsia" w:eastAsia="楷体_GB2312" w:cs="楷体_GB2312"/>
                                <w:b/>
                                <w:bCs/>
                                <w:sz w:val="18"/>
                                <w:szCs w:val="18"/>
                              </w:rPr>
                              <w:t>安全文明施工费</w:t>
                            </w:r>
                          </w:p>
                          <w:p w14:paraId="658FFFCD">
                            <w:pPr>
                              <w:spacing w:line="240" w:lineRule="exact"/>
                              <w:rPr>
                                <w:rFonts w:eastAsia="楷体_GB2312" w:cs="Times New Roman"/>
                                <w:b/>
                                <w:bCs/>
                                <w:sz w:val="18"/>
                                <w:szCs w:val="18"/>
                              </w:rPr>
                            </w:pPr>
                            <w:r>
                              <w:rPr>
                                <w:rFonts w:hint="eastAsia" w:eastAsia="楷体_GB2312" w:cs="楷体_GB2312"/>
                                <w:b/>
                                <w:bCs/>
                                <w:sz w:val="18"/>
                                <w:szCs w:val="18"/>
                              </w:rPr>
                              <w:t>支付申请的提交、</w:t>
                            </w:r>
                          </w:p>
                          <w:p w14:paraId="498BFBAE">
                            <w:pPr>
                              <w:spacing w:line="240" w:lineRule="exact"/>
                              <w:rPr>
                                <w:rFonts w:eastAsia="楷体_GB2312" w:cs="Times New Roman"/>
                                <w:b/>
                                <w:bCs/>
                                <w:sz w:val="18"/>
                                <w:szCs w:val="18"/>
                              </w:rPr>
                            </w:pPr>
                            <w:r>
                              <w:rPr>
                                <w:rFonts w:hint="eastAsia" w:eastAsia="楷体_GB2312" w:cs="楷体_GB2312"/>
                                <w:b/>
                                <w:bCs/>
                                <w:sz w:val="18"/>
                                <w:szCs w:val="18"/>
                              </w:rPr>
                              <w:t>核实与支付</w:t>
                            </w:r>
                          </w:p>
                          <w:p w14:paraId="07C58FD4">
                            <w:pPr>
                              <w:rPr>
                                <w:rFonts w:eastAsia="楷体_GB2312" w:cs="Times New Roman"/>
                                <w:b/>
                                <w:bCs/>
                                <w:sz w:val="18"/>
                                <w:szCs w:val="18"/>
                              </w:rPr>
                            </w:pPr>
                          </w:p>
                        </w:txbxContent>
                      </wps:txbx>
                      <wps:bodyPr wrap="square" upright="1"/>
                    </wps:wsp>
                  </a:graphicData>
                </a:graphic>
              </wp:anchor>
            </w:drawing>
          </mc:Choice>
          <mc:Fallback>
            <w:pict>
              <v:shape id="_x0000_s1026" o:spid="_x0000_s1026" o:spt="202" type="#_x0000_t202" style="position:absolute;left:0pt;margin-left:-18pt;margin-top:737pt;height:47.05pt;width:111pt;z-index:252014592;mso-width-relative:page;mso-height-relative:page;" filled="f" stroked="f" coordsize="21600,21600" o:gfxdata="UEsDBAoAAAAAAIdO4kAAAAAAAAAAAAAAAAAEAAAAZHJzL1BLAwQUAAAACACHTuJAgmA4tdcAAAAN&#10;AQAADwAAAGRycy9kb3ducmV2LnhtbE1Py07DMBC8I/EP1iJxa+1AGkKI0wOIK4jykLi58TaJiNdR&#10;7Dbh79mc6G1mZzQ7U25n14sTjqHzpCFZKxBItbcdNRo+3p9XOYgQDVnTe0INvxhgW11elKawfqI3&#10;PO1iIziEQmE0tDEOhZShbtGZsPYDEmsHPzoTmY6NtKOZONz18kapTDrTEX9ozYCPLdY/u6PT8Ply&#10;+P5K1Wvz5DbD5Gclyd1Lra+vEvUAIuIc/82w1OfqUHGnvT+SDaLXsLrNeEtkIb1LGS2WfDntGWyy&#10;PAFZlfJ8RfUHUEsDBBQAAAAIAIdO4kBNiIynvQEAAG4DAAAOAAAAZHJzL2Uyb0RvYy54bWytU0tu&#10;2zAQ3RfIHQjuaylx3TSC5QCFkW6CtkDaA9DU0CLAXzi0JV8gvUFX3XTfc/kcHUqKm6abLLqhhvN5&#10;nPdmtLzurWF7iKi9q/n5rOQMnPSNdtuaf/1y8/odZ5iEa4TxDmp+AOTXq7NXyy5UcOFbbxqIjEAc&#10;Vl2oeZtSqIoCZQtW4MwHcBRUPlqR6Bq3RRNFR+jWFBdl+bbofGxC9BIQybseg3xCjC8B9EppCWsv&#10;dxZcGlEjGJGIErY6IF8N3SoFMn1SCiExU3NimoaTHiF7k89itRTVNorQajm1IF7SwjNOVmhHj56g&#10;1iIJtov6HyirZfToVZpJb4uRyKAIsTgvn2lz14oAAxeSGsNJdPx/sPLj/nNkuqn5fDHnzAlLIz9+&#10;/3b88ev484FlJ0nUBawo8y5Qburf+54W59GP5MzMexVt/hInRnES+HASGPrEZC56U15dlhSSFFtc&#10;XS7miwxT/KkOEdMH8JZlo+aRBjjoKva3mMbUx5T8mPM32phhiMb95SDM0QPDFkzVmcjYcLZSv+kn&#10;dhvfHIhcR5tQc7zfiQic7ULU25baGMgWuYTGMPQ7rUye89M72U9/k9Vv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gmA4tdcAAAANAQAADwAAAAAAAAABACAAAAAiAAAAZHJzL2Rvd25yZXYueG1sUEsB&#10;AhQAFAAAAAgAh07iQE2IjKe9AQAAbgMAAA4AAAAAAAAAAQAgAAAAJgEAAGRycy9lMm9Eb2MueG1s&#10;UEsFBgAAAAAGAAYAWQEAAFUFAAAAAA==&#10;">
                <v:fill on="f" focussize="0,0"/>
                <v:stroke on="f"/>
                <v:imagedata o:title=""/>
                <o:lock v:ext="edit" aspectratio="f"/>
                <v:textbox>
                  <w:txbxContent>
                    <w:p w14:paraId="243B8C75">
                      <w:pPr>
                        <w:spacing w:line="240" w:lineRule="exact"/>
                        <w:rPr>
                          <w:rFonts w:eastAsia="楷体_GB2312" w:cs="Times New Roman"/>
                          <w:b/>
                          <w:bCs/>
                          <w:sz w:val="18"/>
                          <w:szCs w:val="18"/>
                        </w:rPr>
                      </w:pPr>
                      <w:r>
                        <w:rPr>
                          <w:rFonts w:hint="eastAsia" w:eastAsia="楷体_GB2312" w:cs="楷体_GB2312"/>
                          <w:b/>
                          <w:bCs/>
                          <w:sz w:val="18"/>
                          <w:szCs w:val="18"/>
                        </w:rPr>
                        <w:t>安全文明施工费</w:t>
                      </w:r>
                    </w:p>
                    <w:p w14:paraId="658FFFCD">
                      <w:pPr>
                        <w:spacing w:line="240" w:lineRule="exact"/>
                        <w:rPr>
                          <w:rFonts w:eastAsia="楷体_GB2312" w:cs="Times New Roman"/>
                          <w:b/>
                          <w:bCs/>
                          <w:sz w:val="18"/>
                          <w:szCs w:val="18"/>
                        </w:rPr>
                      </w:pPr>
                      <w:r>
                        <w:rPr>
                          <w:rFonts w:hint="eastAsia" w:eastAsia="楷体_GB2312" w:cs="楷体_GB2312"/>
                          <w:b/>
                          <w:bCs/>
                          <w:sz w:val="18"/>
                          <w:szCs w:val="18"/>
                        </w:rPr>
                        <w:t>支付申请的提交、</w:t>
                      </w:r>
                    </w:p>
                    <w:p w14:paraId="498BFBAE">
                      <w:pPr>
                        <w:spacing w:line="240" w:lineRule="exact"/>
                        <w:rPr>
                          <w:rFonts w:eastAsia="楷体_GB2312" w:cs="Times New Roman"/>
                          <w:b/>
                          <w:bCs/>
                          <w:sz w:val="18"/>
                          <w:szCs w:val="18"/>
                        </w:rPr>
                      </w:pPr>
                      <w:r>
                        <w:rPr>
                          <w:rFonts w:hint="eastAsia" w:eastAsia="楷体_GB2312" w:cs="楷体_GB2312"/>
                          <w:b/>
                          <w:bCs/>
                          <w:sz w:val="18"/>
                          <w:szCs w:val="18"/>
                        </w:rPr>
                        <w:t>核实与支付</w:t>
                      </w:r>
                    </w:p>
                    <w:p w14:paraId="07C58FD4">
                      <w:pPr>
                        <w:rPr>
                          <w:rFonts w:eastAsia="楷体_GB2312" w:cs="Times New Roman"/>
                          <w:b/>
                          <w:bCs/>
                          <w:sz w:val="18"/>
                          <w:szCs w:val="18"/>
                        </w:rPr>
                      </w:pPr>
                    </w:p>
                  </w:txbxContent>
                </v:textbox>
              </v:shape>
            </w:pict>
          </mc:Fallback>
        </mc:AlternateContent>
      </w:r>
      <w:r>
        <w:rPr>
          <w:rFonts w:hint="default" w:ascii="Times New Roman" w:hAnsi="Times New Roman" w:cs="Times New Roman"/>
          <w:color w:val="auto"/>
          <w:sz w:val="22"/>
          <w:szCs w:val="22"/>
          <w:highlight w:val="none"/>
        </w:rPr>
        <w:t>承包人应在每个支付期结束后的7天内向造价工程师提交由承包人代表签署的支付申请和已完工程款额报告一式四份，详细说明此支付期间自己认为有权得到的款项，包括分包人已完工程款，同时抄送发包人。该支付申请的内容包括：</w:t>
      </w:r>
    </w:p>
    <w:p w14:paraId="3813B4EE">
      <w:pPr>
        <w:pStyle w:val="15"/>
        <w:numPr>
          <w:ilvl w:val="0"/>
          <w:numId w:val="25"/>
        </w:numPr>
        <w:adjustRightInd w:val="0"/>
        <w:snapToGrid w:val="0"/>
        <w:spacing w:line="420" w:lineRule="exact"/>
        <w:ind w:left="1620"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已完工程款；</w:t>
      </w:r>
    </w:p>
    <w:p w14:paraId="6BE6C779">
      <w:pPr>
        <w:pStyle w:val="15"/>
        <w:numPr>
          <w:ilvl w:val="0"/>
          <w:numId w:val="25"/>
        </w:numPr>
        <w:adjustRightInd w:val="0"/>
        <w:snapToGrid w:val="0"/>
        <w:spacing w:line="420" w:lineRule="exact"/>
        <w:ind w:left="1620"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已实际支付的工程款；</w:t>
      </w:r>
    </w:p>
    <w:p w14:paraId="578A9F10">
      <w:pPr>
        <w:pStyle w:val="15"/>
        <w:numPr>
          <w:ilvl w:val="0"/>
          <w:numId w:val="25"/>
        </w:numPr>
        <w:adjustRightInd w:val="0"/>
        <w:snapToGrid w:val="0"/>
        <w:spacing w:line="420" w:lineRule="exact"/>
        <w:ind w:left="1620"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本期间完成的工程款；</w:t>
      </w:r>
    </w:p>
    <w:p w14:paraId="6EAE9FC2">
      <w:pPr>
        <w:pStyle w:val="15"/>
        <w:numPr>
          <w:ilvl w:val="0"/>
          <w:numId w:val="25"/>
        </w:numPr>
        <w:adjustRightInd w:val="0"/>
        <w:snapToGrid w:val="0"/>
        <w:spacing w:line="420" w:lineRule="exact"/>
        <w:ind w:left="1620"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本期间完成的计日工费用；</w:t>
      </w:r>
    </w:p>
    <w:p w14:paraId="0FFA02C8">
      <w:pPr>
        <w:pStyle w:val="15"/>
        <w:numPr>
          <w:ilvl w:val="0"/>
          <w:numId w:val="25"/>
        </w:numPr>
        <w:adjustRightInd w:val="0"/>
        <w:snapToGrid w:val="0"/>
        <w:spacing w:line="420" w:lineRule="exact"/>
        <w:ind w:left="1620"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本期间应支付的暂列金额价款；</w:t>
      </w:r>
    </w:p>
    <w:p w14:paraId="382C7C8D">
      <w:pPr>
        <w:pStyle w:val="15"/>
        <w:numPr>
          <w:ilvl w:val="0"/>
          <w:numId w:val="25"/>
        </w:numPr>
        <w:adjustRightInd w:val="0"/>
        <w:snapToGrid w:val="0"/>
        <w:spacing w:line="420" w:lineRule="exact"/>
        <w:ind w:left="1620"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根据第66条规定本期间应扣除的误期赔偿费；</w:t>
      </w:r>
    </w:p>
    <w:p w14:paraId="05BE2911">
      <w:pPr>
        <w:pStyle w:val="15"/>
        <w:numPr>
          <w:ilvl w:val="0"/>
          <w:numId w:val="25"/>
        </w:numPr>
        <w:adjustRightInd w:val="0"/>
        <w:snapToGrid w:val="0"/>
        <w:spacing w:line="420" w:lineRule="exact"/>
        <w:ind w:left="1620"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根据第68条至第76条规定本期间应支付的调整工程款；</w:t>
      </w:r>
    </w:p>
    <w:p w14:paraId="4C912DD8">
      <w:pPr>
        <w:pStyle w:val="15"/>
        <w:numPr>
          <w:ilvl w:val="0"/>
          <w:numId w:val="25"/>
        </w:numPr>
        <w:adjustRightInd w:val="0"/>
        <w:snapToGrid w:val="0"/>
        <w:spacing w:line="420" w:lineRule="exact"/>
        <w:ind w:left="1620"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根据第79条本期间应扣回的预付款；</w:t>
      </w:r>
    </w:p>
    <w:p w14:paraId="7B273652">
      <w:pPr>
        <w:pStyle w:val="15"/>
        <w:numPr>
          <w:ilvl w:val="0"/>
          <w:numId w:val="25"/>
        </w:numPr>
        <w:tabs>
          <w:tab w:val="left" w:pos="2160"/>
        </w:tabs>
        <w:adjustRightInd w:val="0"/>
        <w:snapToGrid w:val="0"/>
        <w:spacing w:line="420" w:lineRule="exact"/>
        <w:ind w:left="1620"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根据第80条规定本期间应支付或扣回的绿色施工安全防护费；</w:t>
      </w:r>
    </w:p>
    <w:p w14:paraId="0832CE13">
      <w:pPr>
        <w:pStyle w:val="15"/>
        <w:numPr>
          <w:ilvl w:val="0"/>
          <w:numId w:val="25"/>
        </w:numPr>
        <w:tabs>
          <w:tab w:val="left" w:pos="2160"/>
        </w:tabs>
        <w:adjustRightInd w:val="0"/>
        <w:snapToGrid w:val="0"/>
        <w:spacing w:line="420" w:lineRule="exact"/>
        <w:ind w:left="1620"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根据第84条本期间应扣留的质量保证金；</w:t>
      </w:r>
    </w:p>
    <w:p w14:paraId="356BD516">
      <w:pPr>
        <w:pStyle w:val="15"/>
        <w:numPr>
          <w:ilvl w:val="0"/>
          <w:numId w:val="25"/>
        </w:numPr>
        <w:tabs>
          <w:tab w:val="left" w:pos="2160"/>
        </w:tabs>
        <w:adjustRightInd w:val="0"/>
        <w:snapToGrid w:val="0"/>
        <w:spacing w:line="420" w:lineRule="exact"/>
        <w:ind w:left="1620"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根据合同约定，本期间应支付或扣留（回）的其他款项；</w:t>
      </w:r>
    </w:p>
    <w:p w14:paraId="6B3C2793">
      <w:pPr>
        <w:pStyle w:val="15"/>
        <w:numPr>
          <w:ilvl w:val="0"/>
          <w:numId w:val="25"/>
        </w:numPr>
        <w:tabs>
          <w:tab w:val="left" w:pos="2160"/>
        </w:tabs>
        <w:adjustRightInd w:val="0"/>
        <w:snapToGrid w:val="0"/>
        <w:spacing w:line="420" w:lineRule="exact"/>
        <w:ind w:left="1620"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本期间应支付的工程款。</w:t>
      </w:r>
    </w:p>
    <w:p w14:paraId="1A5F3FD0">
      <w:pPr>
        <w:pStyle w:val="15"/>
        <w:tabs>
          <w:tab w:val="left" w:pos="1320"/>
        </w:tabs>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81.2 </w:t>
      </w:r>
      <w:r>
        <w:rPr>
          <w:rFonts w:hint="default" w:ascii="Times New Roman" w:hAnsi="Times New Roman" w:cs="Times New Roman"/>
          <w:b/>
          <w:bCs/>
          <w:color w:val="auto"/>
          <w:sz w:val="22"/>
          <w:szCs w:val="22"/>
          <w:highlight w:val="none"/>
          <w:u w:val="dotted"/>
        </w:rPr>
        <w:t xml:space="preserve">                                                                                                         </w:t>
      </w:r>
    </w:p>
    <w:p w14:paraId="7F1014C5">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15616" behindDoc="0" locked="0" layoutInCell="1" allowOverlap="1">
                <wp:simplePos x="0" y="0"/>
                <wp:positionH relativeFrom="column">
                  <wp:posOffset>-114300</wp:posOffset>
                </wp:positionH>
                <wp:positionV relativeFrom="paragraph">
                  <wp:posOffset>0</wp:posOffset>
                </wp:positionV>
                <wp:extent cx="914400" cy="670560"/>
                <wp:effectExtent l="0" t="0" r="0" b="0"/>
                <wp:wrapNone/>
                <wp:docPr id="354" name="文本框 354"/>
                <wp:cNvGraphicFramePr/>
                <a:graphic xmlns:a="http://schemas.openxmlformats.org/drawingml/2006/main">
                  <a:graphicData uri="http://schemas.microsoft.com/office/word/2010/wordprocessingShape">
                    <wps:wsp>
                      <wps:cNvSpPr txBox="1"/>
                      <wps:spPr>
                        <a:xfrm>
                          <a:off x="0" y="0"/>
                          <a:ext cx="914400" cy="670560"/>
                        </a:xfrm>
                        <a:prstGeom prst="rect">
                          <a:avLst/>
                        </a:prstGeom>
                        <a:noFill/>
                        <a:ln>
                          <a:noFill/>
                        </a:ln>
                        <a:effectLst/>
                      </wps:spPr>
                      <wps:txbx>
                        <w:txbxContent>
                          <w:p w14:paraId="498A6CE4">
                            <w:pPr>
                              <w:rPr>
                                <w:rFonts w:ascii="楷体_GB2312" w:hAnsi="宋体" w:eastAsia="楷体_GB2312" w:cs="Times New Roman"/>
                                <w:b/>
                                <w:bCs/>
                                <w:sz w:val="18"/>
                                <w:szCs w:val="18"/>
                              </w:rPr>
                            </w:pPr>
                            <w:r>
                              <w:rPr>
                                <w:rFonts w:hint="eastAsia" w:ascii="楷体_GB2312" w:hAnsi="宋体" w:eastAsia="楷体_GB2312" w:cs="楷体_GB2312"/>
                                <w:b/>
                                <w:bCs/>
                                <w:sz w:val="18"/>
                                <w:szCs w:val="18"/>
                              </w:rPr>
                              <w:t>签发期中支付证书</w:t>
                            </w:r>
                          </w:p>
                        </w:txbxContent>
                      </wps:txbx>
                      <wps:bodyPr wrap="square" upright="1"/>
                    </wps:wsp>
                  </a:graphicData>
                </a:graphic>
              </wp:anchor>
            </w:drawing>
          </mc:Choice>
          <mc:Fallback>
            <w:pict>
              <v:shape id="_x0000_s1026" o:spid="_x0000_s1026" o:spt="202" type="#_x0000_t202" style="position:absolute;left:0pt;margin-left:-9pt;margin-top:0pt;height:52.8pt;width:72pt;z-index:252015616;mso-width-relative:page;mso-height-relative:page;" filled="f" stroked="f" coordsize="21600,21600" o:gfxdata="UEsDBAoAAAAAAIdO4kAAAAAAAAAAAAAAAAAEAAAAZHJzL1BLAwQUAAAACACHTuJAh2FLCdQAAAAI&#10;AQAADwAAAGRycy9kb3ducmV2LnhtbE2PQU/DMAyF70j8h8hI3DanE6tGaboDiCuIMZC4ZY3XVjRO&#10;1WRr+fd4J7hYz3rW8/fK7ex7daYxdoENZEsNirgOruPGwP79ebEBFZNlZ/vAZOCHImyr66vSFi5M&#10;/EbnXWqUhHAsrIE2paFAjHVL3sZlGIjFO4bR2yTr2KAb7SThvseV1jl627F8aO1Ajy3V37uTN/Dx&#10;cvz6vNOvzZNfD1OYNbK/R2NubzL9ACrRnP6O4YIv6FAJ0yGc2EXVG1hkG+mSDMi82KtcxEGEXueA&#10;VYn/C1S/UEsDBBQAAAAIAIdO4kDD11ehvQEAAG0DAAAOAAAAZHJzL2Uyb0RvYy54bWytU82O0zAQ&#10;viPxDpbvNOnSLRA1XQlVywUB0sIDuM6kseQ/PG6TvgC8AScu3HmuPseOnWz3h8seuDjj+fk83zeT&#10;1dVgNDtAQOVszeezkjOw0jXK7mr+7ev1q7ecYRS2EdpZqPkRkF+tX75Y9b6CC9c53UBgBGKx6n3N&#10;uxh9VRQoOzACZ86DpWDrghGRrmFXNEH0hG50cVGWy6J3ofHBSUAk72YM8gkxPAfQta2SsHFyb8DG&#10;ETWAFpEoYac88nXutm1Bxs9tixCZrjkxjfmkR8jeprNYr0S1C8J3Sk4tiOe08ISTEcrSo2eojYiC&#10;7YP6B8ooGRy6Ns6kM8VIJCtCLOblE21uOuEhcyGp0Z9Fx/8HKz8dvgSmmpq/vlxwZoWhkZ9+/Tz9&#10;/nv684MlJ0nUe6wo88ZTbhzeu4EW586P5EzMhzaY9CVOjOIk8PEsMAyRSXK+my8WJUUkhZZvystl&#10;HkBxX+wDxg/gDEtGzQPNL8sqDh8xUiOUepeS3rLuWmmdZ6jtIwcljh7ISzBVJx5jv8mKw3aYyG1d&#10;cyRuPS1CzfH7XgTgbO+D2nXURuZapBKaQm5i2pg05od3sh/+Jet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h2FLCdQAAAAIAQAADwAAAAAAAAABACAAAAAiAAAAZHJzL2Rvd25yZXYueG1sUEsBAhQA&#10;FAAAAAgAh07iQMPXV6G9AQAAbQMAAA4AAAAAAAAAAQAgAAAAIwEAAGRycy9lMm9Eb2MueG1sUEsF&#10;BgAAAAAGAAYAWQEAAFIFAAAAAA==&#10;">
                <v:fill on="f" focussize="0,0"/>
                <v:stroke on="f"/>
                <v:imagedata o:title=""/>
                <o:lock v:ext="edit" aspectratio="f"/>
                <v:textbox>
                  <w:txbxContent>
                    <w:p w14:paraId="498A6CE4">
                      <w:pPr>
                        <w:rPr>
                          <w:rFonts w:ascii="楷体_GB2312" w:hAnsi="宋体" w:eastAsia="楷体_GB2312" w:cs="Times New Roman"/>
                          <w:b/>
                          <w:bCs/>
                          <w:sz w:val="18"/>
                          <w:szCs w:val="18"/>
                        </w:rPr>
                      </w:pPr>
                      <w:r>
                        <w:rPr>
                          <w:rFonts w:hint="eastAsia" w:ascii="楷体_GB2312" w:hAnsi="宋体" w:eastAsia="楷体_GB2312" w:cs="楷体_GB2312"/>
                          <w:b/>
                          <w:bCs/>
                          <w:sz w:val="18"/>
                          <w:szCs w:val="18"/>
                        </w:rPr>
                        <w:t>签发期中支付证书</w:t>
                      </w:r>
                    </w:p>
                  </w:txbxContent>
                </v:textbox>
              </v:shape>
            </w:pict>
          </mc:Fallback>
        </mc:AlternateContent>
      </w:r>
      <w:r>
        <w:rPr>
          <w:rFonts w:hint="default" w:ascii="Times New Roman" w:hAnsi="Times New Roman" w:cs="Times New Roman"/>
          <w:color w:val="auto"/>
          <w:sz w:val="22"/>
          <w:szCs w:val="22"/>
          <w:highlight w:val="none"/>
        </w:rPr>
        <w:t>造价工程师在收到上述资料后，应按照第62条的规定进行计量，并根据计量结果和合同约定对资料内容予以核实。在收到上述资料后的28天内报发包人确认后向发包人签发期中支付证书，同时抄送承包人。</w:t>
      </w:r>
    </w:p>
    <w:p w14:paraId="02CEC9C1">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如果该支付期间应支付金额少于专用条款约定的期中支付证书的最低限额时，造价工程师不必按照本款开具任何支付证书，但应通知发包人和承包人。上述款额转期结算，直到应支付的款额累计达到专用条款约定的期中支付证书的最低限额为止。</w:t>
      </w:r>
    </w:p>
    <w:p w14:paraId="08A16E4B">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造价工程师签发期中支付证书，不应视为发包人已同意、批准或接受了承包人完成该部分工作。</w:t>
      </w:r>
    </w:p>
    <w:p w14:paraId="634B7719">
      <w:pPr>
        <w:pStyle w:val="15"/>
        <w:tabs>
          <w:tab w:val="left" w:pos="1320"/>
        </w:tabs>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81.3  </w:t>
      </w:r>
      <w:r>
        <w:rPr>
          <w:rFonts w:hint="default" w:ascii="Times New Roman" w:hAnsi="Times New Roman" w:cs="Times New Roman"/>
          <w:b/>
          <w:bCs/>
          <w:color w:val="auto"/>
          <w:sz w:val="22"/>
          <w:szCs w:val="22"/>
          <w:highlight w:val="none"/>
          <w:u w:val="dotted"/>
        </w:rPr>
        <w:t xml:space="preserve">                                                                                                        </w:t>
      </w:r>
    </w:p>
    <w:p w14:paraId="55799B39">
      <w:pPr>
        <w:pStyle w:val="15"/>
        <w:adjustRightInd w:val="0"/>
        <w:snapToGrid w:val="0"/>
        <w:spacing w:line="420" w:lineRule="exact"/>
        <w:ind w:left="1619" w:leftChars="771"/>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16640" behindDoc="0" locked="0" layoutInCell="1" allowOverlap="1">
                <wp:simplePos x="0" y="0"/>
                <wp:positionH relativeFrom="column">
                  <wp:posOffset>-114300</wp:posOffset>
                </wp:positionH>
                <wp:positionV relativeFrom="paragraph">
                  <wp:posOffset>6350</wp:posOffset>
                </wp:positionV>
                <wp:extent cx="1028700" cy="267970"/>
                <wp:effectExtent l="0" t="0" r="0" b="0"/>
                <wp:wrapNone/>
                <wp:docPr id="355" name="文本框 355"/>
                <wp:cNvGraphicFramePr/>
                <a:graphic xmlns:a="http://schemas.openxmlformats.org/drawingml/2006/main">
                  <a:graphicData uri="http://schemas.microsoft.com/office/word/2010/wordprocessingShape">
                    <wps:wsp>
                      <wps:cNvSpPr txBox="1"/>
                      <wps:spPr>
                        <a:xfrm>
                          <a:off x="0" y="0"/>
                          <a:ext cx="1028700" cy="267970"/>
                        </a:xfrm>
                        <a:prstGeom prst="rect">
                          <a:avLst/>
                        </a:prstGeom>
                        <a:noFill/>
                        <a:ln>
                          <a:noFill/>
                        </a:ln>
                        <a:effectLst/>
                      </wps:spPr>
                      <wps:txbx>
                        <w:txbxContent>
                          <w:p w14:paraId="1EBC10DE">
                            <w:pPr>
                              <w:rPr>
                                <w:rFonts w:ascii="楷体_GB2312" w:hAnsi="宋体" w:eastAsia="楷体_GB2312" w:cs="Times New Roman"/>
                                <w:b/>
                                <w:bCs/>
                                <w:sz w:val="18"/>
                                <w:szCs w:val="18"/>
                              </w:rPr>
                            </w:pPr>
                            <w:r>
                              <w:rPr>
                                <w:rFonts w:hint="eastAsia" w:ascii="楷体_GB2312" w:hAnsi="宋体" w:eastAsia="楷体_GB2312" w:cs="楷体_GB2312"/>
                                <w:b/>
                                <w:bCs/>
                                <w:sz w:val="18"/>
                                <w:szCs w:val="18"/>
                              </w:rPr>
                              <w:t>进度款支付</w:t>
                            </w:r>
                          </w:p>
                        </w:txbxContent>
                      </wps:txbx>
                      <wps:bodyPr wrap="square" upright="1"/>
                    </wps:wsp>
                  </a:graphicData>
                </a:graphic>
              </wp:anchor>
            </w:drawing>
          </mc:Choice>
          <mc:Fallback>
            <w:pict>
              <v:shape id="_x0000_s1026" o:spid="_x0000_s1026" o:spt="202" type="#_x0000_t202" style="position:absolute;left:0pt;margin-left:-9pt;margin-top:0.5pt;height:21.1pt;width:81pt;z-index:252016640;mso-width-relative:page;mso-height-relative:page;" filled="f" stroked="f" coordsize="21600,21600" o:gfxdata="UEsDBAoAAAAAAIdO4kAAAAAAAAAAAAAAAAAEAAAAZHJzL1BLAwQUAAAACACHTuJADGrMutQAAAAI&#10;AQAADwAAAGRycy9kb3ducmV2LnhtbE2PQU/DMAyF70j8h8hI3Lako6BRmu4A4gpiAyRuXuO1FY1T&#10;Ndla/j3eCU629Z6ev1duZt+rE42xC2whWxpQxHVwHTcW3nfPizWomJAd9oHJwg9F2FSXFyUWLkz8&#10;RqdtapSEcCzQQpvSUGgd65Y8xmUYiEU7hNFjknNstBtxknDf65Uxd9pjx/KhxYEeW6q/t0dv4ePl&#10;8PWZm9fmyd8OU5iNZn+vrb2+yswDqERz+jPDGV/QoRKmfTiyi6q3sMjW0iWJIOOs57ksewv5zQp0&#10;Ver/BapfUEsDBBQAAAAIAIdO4kC4lxMxvgEAAG4DAAAOAAAAZHJzL2Uyb0RvYy54bWytU0tu2zAQ&#10;3RfIHQjuYykuEieC5QCFkW6KtkCaA9DU0CIgfsqhLfkC7Q266qb7nsvn6JBSnDTdZNENNZzP47w3&#10;o+XtYDq2h4Da2ZpfzErOwErXaLut+cOXu/NrzjAK24jOWaj5AZDfrs7eLHtfwdy1rmsgMAKxWPW+&#10;5m2MvioKlC0YgTPnwVJQuWBEpGvYFk0QPaGbrpiX5VXRu9D44CQgknc9BvmEGF4D6JTSEtZO7gzY&#10;OKIG6EQkSthqj3yVu1UKZPykFEJkXc2JacwnPUL2Jp3FaimqbRC+1XJqQbymhRecjNCWHj1BrUUU&#10;bBf0P1BGy+DQqTiTzhQjkawIsbgoX2hz3woPmQtJjf4kOv4/WPlx/zkw3dT87eUlZ1YYGvnxx/fj&#10;z9/HX99YcpJEvceKMu895cbhnRtocR79SM7EfFDBpC9xYhQngQ8ngWGITKaicn69KCkkKTa/Wtws&#10;8gSKp2ofML4HZ1gyah5ogFlXsf+AkTqh1MeU9Jh1d7rr8hA7+5eDEkcP5C2YqhORseFkxWEzTOw2&#10;rjkQuZ42oeb4dScCcLbzQW9baiOTLVIJjSE3Ma1MmvPzO9nPf5PVH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AxqzLrUAAAACAEAAA8AAAAAAAAAAQAgAAAAIgAAAGRycy9kb3ducmV2LnhtbFBLAQIU&#10;ABQAAAAIAIdO4kC4lxMxvgEAAG4DAAAOAAAAAAAAAAEAIAAAACMBAABkcnMvZTJvRG9jLnhtbFBL&#10;BQYAAAAABgAGAFkBAABTBQAAAAA=&#10;">
                <v:fill on="f" focussize="0,0"/>
                <v:stroke on="f"/>
                <v:imagedata o:title=""/>
                <o:lock v:ext="edit" aspectratio="f"/>
                <v:textbox>
                  <w:txbxContent>
                    <w:p w14:paraId="1EBC10DE">
                      <w:pPr>
                        <w:rPr>
                          <w:rFonts w:ascii="楷体_GB2312" w:hAnsi="宋体" w:eastAsia="楷体_GB2312" w:cs="Times New Roman"/>
                          <w:b/>
                          <w:bCs/>
                          <w:sz w:val="18"/>
                          <w:szCs w:val="18"/>
                        </w:rPr>
                      </w:pPr>
                      <w:r>
                        <w:rPr>
                          <w:rFonts w:hint="eastAsia" w:ascii="楷体_GB2312" w:hAnsi="宋体" w:eastAsia="楷体_GB2312" w:cs="楷体_GB2312"/>
                          <w:b/>
                          <w:bCs/>
                          <w:sz w:val="18"/>
                          <w:szCs w:val="18"/>
                        </w:rPr>
                        <w:t>进度款支付</w:t>
                      </w:r>
                    </w:p>
                  </w:txbxContent>
                </v:textbox>
              </v:shape>
            </w:pict>
          </mc:Fallback>
        </mc:AlternateContent>
      </w:r>
      <w:r>
        <w:rPr>
          <w:rFonts w:hint="default" w:ascii="Times New Roman" w:hAnsi="Times New Roman" w:cs="Times New Roman"/>
          <w:color w:val="auto"/>
          <w:sz w:val="22"/>
          <w:szCs w:val="22"/>
          <w:highlight w:val="none"/>
        </w:rPr>
        <w:t>发包人应在造价工程师签发期中支付证书后的14天内，按照期中支付证书列明的金额向承包人支付进度款，并通知造价工程师。</w:t>
      </w:r>
    </w:p>
    <w:p w14:paraId="0C6AA96E">
      <w:pPr>
        <w:pStyle w:val="15"/>
        <w:tabs>
          <w:tab w:val="left" w:pos="1320"/>
        </w:tabs>
        <w:adjustRightInd w:val="0"/>
        <w:snapToGrid w:val="0"/>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81.4</w:t>
      </w:r>
      <w:r>
        <w:rPr>
          <w:rFonts w:hint="default" w:ascii="Times New Roman" w:hAnsi="Times New Roman" w:cs="Times New Roman"/>
          <w:color w:val="auto"/>
          <w:sz w:val="22"/>
          <w:szCs w:val="22"/>
          <w:highlight w:val="none"/>
        </w:rPr>
        <w:t xml:space="preserve">  </w:t>
      </w:r>
      <w:r>
        <w:rPr>
          <w:rFonts w:hint="default" w:ascii="Times New Roman" w:hAnsi="Times New Roman" w:cs="Times New Roman"/>
          <w:color w:val="auto"/>
          <w:sz w:val="22"/>
          <w:szCs w:val="22"/>
          <w:highlight w:val="none"/>
          <w:u w:val="dotted"/>
        </w:rPr>
        <w:t xml:space="preserve">                                                                                                        </w:t>
      </w:r>
    </w:p>
    <w:p w14:paraId="425DFAC6">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17664" behindDoc="0" locked="0" layoutInCell="1" allowOverlap="1">
                <wp:simplePos x="0" y="0"/>
                <wp:positionH relativeFrom="column">
                  <wp:posOffset>-114300</wp:posOffset>
                </wp:positionH>
                <wp:positionV relativeFrom="paragraph">
                  <wp:posOffset>8255</wp:posOffset>
                </wp:positionV>
                <wp:extent cx="914400" cy="647700"/>
                <wp:effectExtent l="0" t="0" r="0" b="0"/>
                <wp:wrapNone/>
                <wp:docPr id="356" name="文本框 356"/>
                <wp:cNvGraphicFramePr/>
                <a:graphic xmlns:a="http://schemas.openxmlformats.org/drawingml/2006/main">
                  <a:graphicData uri="http://schemas.microsoft.com/office/word/2010/wordprocessingShape">
                    <wps:wsp>
                      <wps:cNvSpPr txBox="1"/>
                      <wps:spPr>
                        <a:xfrm>
                          <a:off x="0" y="0"/>
                          <a:ext cx="914400" cy="647700"/>
                        </a:xfrm>
                        <a:prstGeom prst="rect">
                          <a:avLst/>
                        </a:prstGeom>
                        <a:noFill/>
                        <a:ln>
                          <a:noFill/>
                        </a:ln>
                        <a:effectLst/>
                      </wps:spPr>
                      <wps:txbx>
                        <w:txbxContent>
                          <w:p w14:paraId="6D626F61">
                            <w:pPr>
                              <w:jc w:val="left"/>
                              <w:rPr>
                                <w:rFonts w:ascii="楷体_GB2312" w:hAnsi="宋体" w:eastAsia="楷体_GB2312" w:cs="Times New Roman"/>
                                <w:b/>
                                <w:bCs/>
                                <w:sz w:val="18"/>
                                <w:szCs w:val="18"/>
                              </w:rPr>
                            </w:pPr>
                            <w:r>
                              <w:rPr>
                                <w:rFonts w:hint="eastAsia" w:ascii="楷体_GB2312" w:hAnsi="宋体" w:eastAsia="楷体_GB2312" w:cs="楷体_GB2312"/>
                                <w:b/>
                                <w:bCs/>
                                <w:sz w:val="18"/>
                                <w:szCs w:val="18"/>
                              </w:rPr>
                              <w:t>签发期中支付证书的限制</w:t>
                            </w:r>
                          </w:p>
                        </w:txbxContent>
                      </wps:txbx>
                      <wps:bodyPr wrap="square" upright="1"/>
                    </wps:wsp>
                  </a:graphicData>
                </a:graphic>
              </wp:anchor>
            </w:drawing>
          </mc:Choice>
          <mc:Fallback>
            <w:pict>
              <v:shape id="_x0000_s1026" o:spid="_x0000_s1026" o:spt="202" type="#_x0000_t202" style="position:absolute;left:0pt;margin-left:-9pt;margin-top:0.65pt;height:51pt;width:72pt;z-index:252017664;mso-width-relative:page;mso-height-relative:page;" filled="f" stroked="f" coordsize="21600,21600" o:gfxdata="UEsDBAoAAAAAAIdO4kAAAAAAAAAAAAAAAAAEAAAAZHJzL1BLAwQUAAAACACHTuJAF33Z8tUAAAAJ&#10;AQAADwAAAGRycy9kb3ducmV2LnhtbE2PzU7DMBCE70i8g7VI3Fo7DVQlxOkBxBVE+ZG4beNtEhGv&#10;o9htwtuzPcFtR99odqbczr5XJxpjF9hCtjSgiOvgOm4svL89LTagYkJ22AcmCz8UYVtdXpRYuDDx&#10;K512qVESwrFAC21KQ6F1rFvyGJdhIBZ2CKPHJHJstBtxknDf65Uxa+2xY/nQ4kAPLdXfu6O38PF8&#10;+Pq8MS/No78dpjAbzf5OW3t9lZl7UInm9GeGc32pDpV02ocju6h6C4tsI1uSgBzUma/WovdymDwH&#10;XZX6/4LqF1BLAwQUAAAACACHTuJA+seGCLwBAABtAwAADgAAAGRycy9lMm9Eb2MueG1srVPNjtMw&#10;EL4j8Q6W79TpUroQNV0JVcsFAdLCA7jOuLEU/+Bxm/QF4A04ceHOc/U5dpxkuz9c9sDFGc/P5/m+&#10;mayuetuyA0Q03lV8Pis4A6d8bdyu4t++Xr96yxkm6WrZegcVPwLyq/XLF6sulHDhG9/WEBmBOCy7&#10;UPEmpVAKgaoBK3HmAzgKah+tTHSNO1FH2RG6bcVFUSxF52MdoleASN7NGOQTYnwOoNfaKNh4tbfg&#10;0ogaoZWJKGFjAvL10K3WoNJnrRESaytOTNNw0iNkb/Mp1itZ7qIMjVFTC/I5LTzhZKVx9OgZaiOT&#10;ZPto/oGyRkWPXqeZ8laMRAZFiMW8eKLNTSMDDFxIagxn0fH/wapPhy+Rmbrir98sOXPS0shPv36e&#10;fv89/fnBspMk6gKWlHkTKDf1731Pi3PnR3Jm5r2ONn+JE6M4CXw8Cwx9Yoqc7+aLRUERRaHl4vKS&#10;bEIX98UhYvoA3rJsVDzS/AZZ5eEjpjH1LiW/5fy1adthhq175CDM0QPDEkzVmcfYb7ZSv+0ncltf&#10;H4lbR4tQcfy+lxE424dodg21MXAVuYSmMPQ7bUwe88M72Q//kvUt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F33Z8tUAAAAJAQAADwAAAAAAAAABACAAAAAiAAAAZHJzL2Rvd25yZXYueG1sUEsBAhQA&#10;FAAAAAgAh07iQPrHhgi8AQAAbQMAAA4AAAAAAAAAAQAgAAAAJAEAAGRycy9lMm9Eb2MueG1sUEsF&#10;BgAAAAAGAAYAWQEAAFIFAAAAAA==&#10;">
                <v:fill on="f" focussize="0,0"/>
                <v:stroke on="f"/>
                <v:imagedata o:title=""/>
                <o:lock v:ext="edit" aspectratio="f"/>
                <v:textbox>
                  <w:txbxContent>
                    <w:p w14:paraId="6D626F61">
                      <w:pPr>
                        <w:jc w:val="left"/>
                        <w:rPr>
                          <w:rFonts w:ascii="楷体_GB2312" w:hAnsi="宋体" w:eastAsia="楷体_GB2312" w:cs="Times New Roman"/>
                          <w:b/>
                          <w:bCs/>
                          <w:sz w:val="18"/>
                          <w:szCs w:val="18"/>
                        </w:rPr>
                      </w:pPr>
                      <w:r>
                        <w:rPr>
                          <w:rFonts w:hint="eastAsia" w:ascii="楷体_GB2312" w:hAnsi="宋体" w:eastAsia="楷体_GB2312" w:cs="楷体_GB2312"/>
                          <w:b/>
                          <w:bCs/>
                          <w:sz w:val="18"/>
                          <w:szCs w:val="18"/>
                        </w:rPr>
                        <w:t>签发期中支付证书的限制</w:t>
                      </w:r>
                    </w:p>
                  </w:txbxContent>
                </v:textbox>
              </v:shape>
            </w:pict>
          </mc:Fallback>
        </mc:AlternateContent>
      </w:r>
      <w:r>
        <w:rPr>
          <w:rFonts w:hint="default" w:ascii="Times New Roman" w:hAnsi="Times New Roman" w:cs="Times New Roman"/>
          <w:color w:val="auto"/>
          <w:sz w:val="22"/>
          <w:szCs w:val="22"/>
          <w:highlight w:val="none"/>
        </w:rPr>
        <w:t>如果造价工程师未在第81.2款规定的期限内签发期中支付证书的，则视为承包人提交的支付申请已被认可，承包人应及时向发包人发出要求支付的通知。发包人应在收到通知后的14天内，按照承包人支付申请列明的金额向承包人支付进度款。</w:t>
      </w:r>
    </w:p>
    <w:p w14:paraId="0824453F">
      <w:pPr>
        <w:pStyle w:val="15"/>
        <w:tabs>
          <w:tab w:val="left" w:pos="1320"/>
        </w:tabs>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81.5  </w:t>
      </w:r>
      <w:r>
        <w:rPr>
          <w:rFonts w:hint="default" w:ascii="Times New Roman" w:hAnsi="Times New Roman" w:cs="Times New Roman"/>
          <w:b/>
          <w:bCs/>
          <w:color w:val="auto"/>
          <w:sz w:val="22"/>
          <w:szCs w:val="22"/>
          <w:highlight w:val="none"/>
          <w:u w:val="dotted"/>
        </w:rPr>
        <w:t xml:space="preserve">                                                                                                        </w:t>
      </w:r>
    </w:p>
    <w:p w14:paraId="1A5FCEAF">
      <w:pPr>
        <w:pStyle w:val="7"/>
        <w:adjustRightInd w:val="0"/>
        <w:snapToGrid w:val="0"/>
        <w:spacing w:line="420" w:lineRule="exact"/>
        <w:ind w:left="1619" w:leftChars="771"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18688" behindDoc="0" locked="0" layoutInCell="1" allowOverlap="1">
                <wp:simplePos x="0" y="0"/>
                <wp:positionH relativeFrom="column">
                  <wp:posOffset>-114300</wp:posOffset>
                </wp:positionH>
                <wp:positionV relativeFrom="paragraph">
                  <wp:posOffset>12065</wp:posOffset>
                </wp:positionV>
                <wp:extent cx="914400" cy="647065"/>
                <wp:effectExtent l="0" t="0" r="0" b="0"/>
                <wp:wrapNone/>
                <wp:docPr id="357" name="文本框 357"/>
                <wp:cNvGraphicFramePr/>
                <a:graphic xmlns:a="http://schemas.openxmlformats.org/drawingml/2006/main">
                  <a:graphicData uri="http://schemas.microsoft.com/office/word/2010/wordprocessingShape">
                    <wps:wsp>
                      <wps:cNvSpPr txBox="1"/>
                      <wps:spPr>
                        <a:xfrm>
                          <a:off x="0" y="0"/>
                          <a:ext cx="914400" cy="647065"/>
                        </a:xfrm>
                        <a:prstGeom prst="rect">
                          <a:avLst/>
                        </a:prstGeom>
                        <a:noFill/>
                        <a:ln>
                          <a:noFill/>
                        </a:ln>
                        <a:effectLst/>
                      </wps:spPr>
                      <wps:txbx>
                        <w:txbxContent>
                          <w:p w14:paraId="30C11AB0">
                            <w:pPr>
                              <w:jc w:val="left"/>
                              <w:rPr>
                                <w:rFonts w:ascii="楷体_GB2312" w:hAnsi="宋体" w:eastAsia="楷体_GB2312" w:cs="Times New Roman"/>
                                <w:b/>
                                <w:bCs/>
                                <w:sz w:val="18"/>
                                <w:szCs w:val="18"/>
                              </w:rPr>
                            </w:pPr>
                            <w:r>
                              <w:rPr>
                                <w:rFonts w:hint="eastAsia" w:ascii="楷体_GB2312" w:hAnsi="宋体" w:eastAsia="楷体_GB2312" w:cs="楷体_GB2312"/>
                                <w:b/>
                                <w:bCs/>
                                <w:sz w:val="18"/>
                                <w:szCs w:val="18"/>
                              </w:rPr>
                              <w:t>进度款支付的限制</w:t>
                            </w:r>
                          </w:p>
                        </w:txbxContent>
                      </wps:txbx>
                      <wps:bodyPr wrap="square" upright="1"/>
                    </wps:wsp>
                  </a:graphicData>
                </a:graphic>
              </wp:anchor>
            </w:drawing>
          </mc:Choice>
          <mc:Fallback>
            <w:pict>
              <v:shape id="_x0000_s1026" o:spid="_x0000_s1026" o:spt="202" type="#_x0000_t202" style="position:absolute;left:0pt;margin-left:-9pt;margin-top:0.95pt;height:50.95pt;width:72pt;z-index:252018688;mso-width-relative:page;mso-height-relative:page;" filled="f" stroked="f" coordsize="21600,21600" o:gfxdata="UEsDBAoAAAAAAIdO4kAAAAAAAAAAAAAAAAAEAAAAZHJzL1BLAwQUAAAACACHTuJAOmMZXtUAAAAJ&#10;AQAADwAAAGRycy9kb3ducmV2LnhtbE2PzU7DMBCE70i8g7VI3Fo7Bao0xOkBxBVE+ZG4beNtEhGv&#10;o9htwtuzPcFtR99odqbczr5XJxpjF9hCtjSgiOvgOm4svL89LXJQMSE77AOThR+KsK0uL0osXJj4&#10;lU671CgJ4VighTalodA61i15jMswEAs7hNFjEjk22o04Sbjv9cqYtfbYsXxocaCHlurv3dFb+Hg+&#10;fH3empfm0d8NU5iNZr/R1l5fZeYeVKI5/ZnhXF+qQyWd9uHILqrewiLLZUsSsAF15qu16L0c5iYH&#10;XZX6/4LqF1BLAwQUAAAACACHTuJAkxcS7bwBAABtAwAADgAAAGRycy9lMm9Eb2MueG1srVPNjtMw&#10;EL4j8Q6W7zTp0u1C1HQlVC0XBEgLD+A6k8aS//C4TfoC8AacuHDnufocjJ1s2Z/LHrg44/n5PN83&#10;k9X1YDQ7QEDlbM3ns5IzsNI1yu5q/vXLzas3nGEUthHaWaj5EZBfr1++WPW+ggvXOd1AYARisep9&#10;zbsYfVUUKDswAmfOg6Vg64IRka5hVzRB9IRudHFRlsuid6HxwUlAJO9mDPIJMTwH0LWtkrBxcm/A&#10;xhE1gBaRKGGnPPJ17rZtQcZPbYsQma45MY35pEfI3qazWK9EtQvCd0pOLYjntPCIkxHK0qNnqI2I&#10;gu2DegJllAwOXRtn0pliJJIVIRbz8pE2t53wkLmQ1OjPouP/g5UfD58DU03NX19ecWaFoZGffv44&#10;/fpz+v2dJSdJ1HusKPPWU24c3rmBFufOj+RMzIc2mPQlToziJPDxLDAMkUlyvp0vFiVFJIWWi6ty&#10;eZlQin/FPmB8D86wZNQ80PyyrOLwAeOYepeS3rLuRmmdZ6jtAwdhjh7ISzBVJx5jv8mKw3aYyG1d&#10;cyRuPS1CzfHbXgTgbO+D2nXURuZapBKaQu532pg05vt3su//Jeu/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OmMZXtUAAAAJAQAADwAAAAAAAAABACAAAAAiAAAAZHJzL2Rvd25yZXYueG1sUEsBAhQA&#10;FAAAAAgAh07iQJMXEu28AQAAbQMAAA4AAAAAAAAAAQAgAAAAJAEAAGRycy9lMm9Eb2MueG1sUEsF&#10;BgAAAAAGAAYAWQEAAFIFAAAAAA==&#10;">
                <v:fill on="f" focussize="0,0"/>
                <v:stroke on="f"/>
                <v:imagedata o:title=""/>
                <o:lock v:ext="edit" aspectratio="f"/>
                <v:textbox>
                  <w:txbxContent>
                    <w:p w14:paraId="30C11AB0">
                      <w:pPr>
                        <w:jc w:val="left"/>
                        <w:rPr>
                          <w:rFonts w:ascii="楷体_GB2312" w:hAnsi="宋体" w:eastAsia="楷体_GB2312" w:cs="Times New Roman"/>
                          <w:b/>
                          <w:bCs/>
                          <w:sz w:val="18"/>
                          <w:szCs w:val="18"/>
                        </w:rPr>
                      </w:pPr>
                      <w:r>
                        <w:rPr>
                          <w:rFonts w:hint="eastAsia" w:ascii="楷体_GB2312" w:hAnsi="宋体" w:eastAsia="楷体_GB2312" w:cs="楷体_GB2312"/>
                          <w:b/>
                          <w:bCs/>
                          <w:sz w:val="18"/>
                          <w:szCs w:val="18"/>
                        </w:rPr>
                        <w:t>进度款支付的限制</w:t>
                      </w:r>
                    </w:p>
                  </w:txbxContent>
                </v:textbox>
              </v:shape>
            </w:pict>
          </mc:Fallback>
        </mc:AlternateContent>
      </w:r>
      <w:r>
        <w:rPr>
          <w:rFonts w:hint="default" w:ascii="Times New Roman" w:hAnsi="Times New Roman" w:cs="Times New Roman"/>
          <w:color w:val="auto"/>
          <w:sz w:val="22"/>
          <w:szCs w:val="22"/>
          <w:highlight w:val="none"/>
        </w:rPr>
        <w:t>发包人未按照第81.3款和第81.4款规定支付进度款的，承包人应及时向发包人发出要求支付的通知；发包人收到通知后仍不按要求支付的，可与承包人协商签订延期支付协议，经承包人同意后可延期支付，承包人有权按照第78.2款规定获得延期支付的利息。</w:t>
      </w:r>
    </w:p>
    <w:p w14:paraId="357D8E0E">
      <w:pPr>
        <w:pStyle w:val="7"/>
        <w:adjustRightInd w:val="0"/>
        <w:snapToGrid w:val="0"/>
        <w:spacing w:line="420" w:lineRule="exact"/>
        <w:ind w:left="1640" w:leftChars="781"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发包人未按照合同约定支付进度款，合同双方当事人又未达成延期支付协议，导致无法施工的，承包人可停止施工。发包人应承担由此增加的费用和（或）延误的工期，并向承包人支付合理利润。</w:t>
      </w:r>
    </w:p>
    <w:p w14:paraId="2847F7F6">
      <w:pPr>
        <w:pStyle w:val="15"/>
        <w:tabs>
          <w:tab w:val="left" w:pos="1320"/>
        </w:tabs>
        <w:adjustRightInd w:val="0"/>
        <w:snapToGrid w:val="0"/>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81.6</w:t>
      </w:r>
      <w:r>
        <w:rPr>
          <w:rFonts w:hint="default" w:ascii="Times New Roman" w:hAnsi="Times New Roman" w:cs="Times New Roman"/>
          <w:color w:val="auto"/>
          <w:sz w:val="22"/>
          <w:szCs w:val="22"/>
          <w:highlight w:val="none"/>
        </w:rPr>
        <w:t xml:space="preserve">  </w:t>
      </w:r>
      <w:r>
        <w:rPr>
          <w:rFonts w:hint="default" w:ascii="Times New Roman" w:hAnsi="Times New Roman" w:cs="Times New Roman"/>
          <w:color w:val="auto"/>
          <w:sz w:val="22"/>
          <w:szCs w:val="22"/>
          <w:highlight w:val="none"/>
          <w:u w:val="dotted"/>
        </w:rPr>
        <w:t xml:space="preserve">                                                                                                        </w:t>
      </w:r>
    </w:p>
    <w:p w14:paraId="3DFE9FCE">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19712" behindDoc="0" locked="0" layoutInCell="1" allowOverlap="1">
                <wp:simplePos x="0" y="0"/>
                <wp:positionH relativeFrom="column">
                  <wp:posOffset>-114300</wp:posOffset>
                </wp:positionH>
                <wp:positionV relativeFrom="paragraph">
                  <wp:posOffset>15875</wp:posOffset>
                </wp:positionV>
                <wp:extent cx="1028700" cy="266065"/>
                <wp:effectExtent l="0" t="0" r="0" b="0"/>
                <wp:wrapNone/>
                <wp:docPr id="358" name="文本框 358"/>
                <wp:cNvGraphicFramePr/>
                <a:graphic xmlns:a="http://schemas.openxmlformats.org/drawingml/2006/main">
                  <a:graphicData uri="http://schemas.microsoft.com/office/word/2010/wordprocessingShape">
                    <wps:wsp>
                      <wps:cNvSpPr txBox="1"/>
                      <wps:spPr>
                        <a:xfrm>
                          <a:off x="0" y="0"/>
                          <a:ext cx="1028700" cy="266065"/>
                        </a:xfrm>
                        <a:prstGeom prst="rect">
                          <a:avLst/>
                        </a:prstGeom>
                        <a:noFill/>
                        <a:ln>
                          <a:noFill/>
                        </a:ln>
                        <a:effectLst/>
                      </wps:spPr>
                      <wps:txbx>
                        <w:txbxContent>
                          <w:p w14:paraId="485DAEB0">
                            <w:pPr>
                              <w:rPr>
                                <w:rFonts w:ascii="楷体_GB2312" w:hAnsi="宋体" w:eastAsia="楷体_GB2312" w:cs="Times New Roman"/>
                                <w:b/>
                                <w:bCs/>
                                <w:sz w:val="18"/>
                                <w:szCs w:val="18"/>
                              </w:rPr>
                            </w:pPr>
                            <w:r>
                              <w:rPr>
                                <w:rFonts w:hint="eastAsia" w:ascii="楷体_GB2312" w:hAnsi="宋体" w:eastAsia="楷体_GB2312" w:cs="楷体_GB2312"/>
                                <w:b/>
                                <w:bCs/>
                                <w:sz w:val="18"/>
                                <w:szCs w:val="18"/>
                              </w:rPr>
                              <w:t>修正支付证书</w:t>
                            </w:r>
                          </w:p>
                        </w:txbxContent>
                      </wps:txbx>
                      <wps:bodyPr wrap="square" upright="1"/>
                    </wps:wsp>
                  </a:graphicData>
                </a:graphic>
              </wp:anchor>
            </w:drawing>
          </mc:Choice>
          <mc:Fallback>
            <w:pict>
              <v:shape id="_x0000_s1026" o:spid="_x0000_s1026" o:spt="202" type="#_x0000_t202" style="position:absolute;left:0pt;margin-left:-9pt;margin-top:1.25pt;height:20.95pt;width:81pt;z-index:252019712;mso-width-relative:page;mso-height-relative:page;" filled="f" stroked="f" coordsize="21600,21600" o:gfxdata="UEsDBAoAAAAAAIdO4kAAAAAAAAAAAAAAAAAEAAAAZHJzL1BLAwQUAAAACACHTuJA7nQVMdUAAAAI&#10;AQAADwAAAGRycy9kb3ducmV2LnhtbE2PwU7DMBBE70j8g7VI3Fo7lYtKyKaHVlxBlLYSNzfeJhHx&#10;OordJvw97gmOoxnNvCnWk+vElYbQekbI5goEceVtyzXC/vN1tgIRomFrOs+E8EMB1uX9XWFy60f+&#10;oOsu1iKVcMgNQhNjn0sZqoacCXPfEyfv7AdnYpJDLe1gxlTuOrlQ6kk603JaaExPm4aq793FIRze&#10;zl9Hrd7rrVv2o5+UZPcsER8fMvUCItIU/8Jww0/oUCamk7+wDaJDmGWr9CUiLJYgbr7WSZ8QtNYg&#10;y0L+P1D+AlBLAwQUAAAACACHTuJAcMVtRLwBAABuAwAADgAAAGRycy9lMm9Eb2MueG1srVNLbtsw&#10;EN0X6B0I7msqLuIEguUAgZFuijZA2gPQ1NAiIH7KoS35Au0Nsuqm+5zL5+hQUpw03WSRDTWcz+O8&#10;N6PlVW9btoeIxruKn80KzsApXxu3rfj3bzcfLjnDJF0tW++g4gdAfrV6/27ZhRLmvvFtDZERiMOy&#10;CxVvUgqlEKgasBJnPoCjoPbRykTXuBV1lB2h21bMi2IhOh/rEL0CRPKuxyCfEONrAL3WRsHaq50F&#10;l0bUCK1MRAkbE5Cvhm61BpW+ao2QWFtxYpqGkx4he5NPsVrKchtlaIyaWpCvaeEFJyuNo0dPUGuZ&#10;JNtF8x+UNSp69DrNlLdiJDIoQizOihfa3DUywMCFpMZwEh3fDlZ92d9GZuqKfzynwTtpaeTH+1/H&#10;3w/HPz9ZdpJEXcCSMu8C5ab+2ve0OI9+JGdm3uto85c4MYqTwIeTwNAnpnJRMb+8KCikKDZfLIrF&#10;eYYRT9UhYvoE3rJsVDzSAAdd5f4zpjH1MSU/5vyNadthiK37x0GYoweGLZiqM5Gx4WylftNP7Da+&#10;PhC5jjah4vhjJyNwtgvRbBtqYyArcgmNYeh3Wpk85+d3sp//Jqu/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7nQVMdUAAAAIAQAADwAAAAAAAAABACAAAAAiAAAAZHJzL2Rvd25yZXYueG1sUEsBAhQA&#10;FAAAAAgAh07iQHDFbUS8AQAAbgMAAA4AAAAAAAAAAQAgAAAAJAEAAGRycy9lMm9Eb2MueG1sUEsF&#10;BgAAAAAGAAYAWQEAAFIFAAAAAA==&#10;">
                <v:fill on="f" focussize="0,0"/>
                <v:stroke on="f"/>
                <v:imagedata o:title=""/>
                <o:lock v:ext="edit" aspectratio="f"/>
                <v:textbox>
                  <w:txbxContent>
                    <w:p w14:paraId="485DAEB0">
                      <w:pPr>
                        <w:rPr>
                          <w:rFonts w:ascii="楷体_GB2312" w:hAnsi="宋体" w:eastAsia="楷体_GB2312" w:cs="Times New Roman"/>
                          <w:b/>
                          <w:bCs/>
                          <w:sz w:val="18"/>
                          <w:szCs w:val="18"/>
                        </w:rPr>
                      </w:pPr>
                      <w:r>
                        <w:rPr>
                          <w:rFonts w:hint="eastAsia" w:ascii="楷体_GB2312" w:hAnsi="宋体" w:eastAsia="楷体_GB2312" w:cs="楷体_GB2312"/>
                          <w:b/>
                          <w:bCs/>
                          <w:sz w:val="18"/>
                          <w:szCs w:val="18"/>
                        </w:rPr>
                        <w:t>修正支付证书</w:t>
                      </w:r>
                    </w:p>
                  </w:txbxContent>
                </v:textbox>
              </v:shape>
            </w:pict>
          </mc:Fallback>
        </mc:AlternateContent>
      </w:r>
      <w:r>
        <w:rPr>
          <w:rFonts w:hint="default" w:ascii="Times New Roman" w:hAnsi="Times New Roman" w:cs="Times New Roman"/>
          <w:color w:val="auto"/>
          <w:sz w:val="22"/>
          <w:szCs w:val="22"/>
          <w:highlight w:val="none"/>
        </w:rPr>
        <w:t>发现以前签发的任何支付证书有错、漏或重复的，造价工程师有权在期中支付证书中修正以前签发的任何支付证书，承包人也有权提出修正申请。经合同双方当事人复核同意修正的，应在该支付期的进度款中支付或扣除。如果合同工程或其任何部分没有达到质量要求，造价工程师有权按照合同约定处理，并在任何期中支付证书中扣除相应价款。</w:t>
      </w:r>
    </w:p>
    <w:p w14:paraId="5E2EA5E8">
      <w:pPr>
        <w:pStyle w:val="15"/>
        <w:adjustRightInd w:val="0"/>
        <w:snapToGrid w:val="0"/>
        <w:spacing w:line="420" w:lineRule="exact"/>
        <w:ind w:right="-238"/>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672E94EC">
      <w:pPr>
        <w:pStyle w:val="15"/>
        <w:tabs>
          <w:tab w:val="left" w:pos="540"/>
        </w:tabs>
        <w:adjustRightInd w:val="0"/>
        <w:snapToGrid w:val="0"/>
        <w:spacing w:before="240" w:beforeLines="100" w:line="420" w:lineRule="exact"/>
        <w:outlineLvl w:val="2"/>
        <w:rPr>
          <w:rFonts w:hint="default" w:ascii="Times New Roman" w:hAnsi="Times New Roman" w:cs="Times New Roman"/>
          <w:b/>
          <w:bCs/>
          <w:color w:val="auto"/>
          <w:sz w:val="22"/>
          <w:szCs w:val="22"/>
          <w:highlight w:val="none"/>
        </w:rPr>
      </w:pPr>
      <w:bookmarkStart w:id="265" w:name="_Toc10609"/>
      <w:bookmarkStart w:id="266" w:name="_Toc469384066"/>
      <w:r>
        <w:rPr>
          <w:rFonts w:hint="default" w:ascii="Times New Roman" w:hAnsi="Times New Roman" w:cs="Times New Roman"/>
          <w:b/>
          <w:bCs/>
          <w:color w:val="auto"/>
          <w:sz w:val="22"/>
          <w:szCs w:val="22"/>
          <w:highlight w:val="none"/>
        </w:rPr>
        <w:t>★82  竣工结算</w:t>
      </w:r>
      <w:bookmarkEnd w:id="265"/>
      <w:bookmarkEnd w:id="266"/>
    </w:p>
    <w:p w14:paraId="5BEB5E2B">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82.1      </w:t>
      </w:r>
    </w:p>
    <w:p w14:paraId="6B07842F">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20736" behindDoc="0" locked="0" layoutInCell="1" allowOverlap="1">
                <wp:simplePos x="0" y="0"/>
                <wp:positionH relativeFrom="column">
                  <wp:posOffset>-114300</wp:posOffset>
                </wp:positionH>
                <wp:positionV relativeFrom="paragraph">
                  <wp:posOffset>38735</wp:posOffset>
                </wp:positionV>
                <wp:extent cx="914400" cy="396240"/>
                <wp:effectExtent l="0" t="0" r="0" b="0"/>
                <wp:wrapNone/>
                <wp:docPr id="359" name="文本框 359"/>
                <wp:cNvGraphicFramePr/>
                <a:graphic xmlns:a="http://schemas.openxmlformats.org/drawingml/2006/main">
                  <a:graphicData uri="http://schemas.microsoft.com/office/word/2010/wordprocessingShape">
                    <wps:wsp>
                      <wps:cNvSpPr txBox="1"/>
                      <wps:spPr>
                        <a:xfrm>
                          <a:off x="0" y="0"/>
                          <a:ext cx="914400" cy="396240"/>
                        </a:xfrm>
                        <a:prstGeom prst="rect">
                          <a:avLst/>
                        </a:prstGeom>
                        <a:noFill/>
                        <a:ln>
                          <a:noFill/>
                        </a:ln>
                        <a:effectLst/>
                      </wps:spPr>
                      <wps:txbx>
                        <w:txbxContent>
                          <w:p w14:paraId="29BCAD86">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约定结算程序和期限</w:t>
                            </w:r>
                          </w:p>
                        </w:txbxContent>
                      </wps:txbx>
                      <wps:bodyPr wrap="square" upright="1"/>
                    </wps:wsp>
                  </a:graphicData>
                </a:graphic>
              </wp:anchor>
            </w:drawing>
          </mc:Choice>
          <mc:Fallback>
            <w:pict>
              <v:shape id="_x0000_s1026" o:spid="_x0000_s1026" o:spt="202" type="#_x0000_t202" style="position:absolute;left:0pt;margin-left:-9pt;margin-top:3.05pt;height:31.2pt;width:72pt;z-index:252020736;mso-width-relative:page;mso-height-relative:page;" filled="f" stroked="f" coordsize="21600,21600" o:gfxdata="UEsDBAoAAAAAAIdO4kAAAAAAAAAAAAAAAAAEAAAAZHJzL1BLAwQUAAAACACHTuJAq+wMFdQAAAAI&#10;AQAADwAAAGRycy9kb3ducmV2LnhtbE2PwW7CMBBE75X6D9ZW6g3soBKlIQ4HUK+tSgGpNxMvSUS8&#10;jmJD0r/vcmqPT7OafVOsJ9eJGw6h9aQhmSsQSJW3LdUa9l9vswxEiIas6Tyhhh8MsC4fHwqTWz/S&#10;J952sRZcQiE3GpoY+1zKUDXoTJj7Homzsx+ciYxDLe1gRi53nVwolUpnWuIPjelx02B12V2dhsP7&#10;+fv4oj7qrVv2o5+UJPcqtX5+StQKRMQp/h3DXZ/VoWSnk7+SDaLTMEsy3hI1pAmIe75ImU/M2RJk&#10;Wcj/A8pfUEsDBBQAAAAIAIdO4kBDtutDvgEAAG0DAAAOAAAAZHJzL2Uyb0RvYy54bWytU82O0zAQ&#10;viPxDpbvNGm3rGjUdCVULRcESMs+gOuMG0vxDx63SV8A3oATF+48V5+DsZMty3LZAxdnPD+f5/tm&#10;sr4ZTMeOEFA7W/P5rOQMrHSNtvua33++ffWGM4zCNqJzFmp+AuQ3m5cv1r2vYOFa1zUQGIFYrHpf&#10;8zZGXxUFyhaMwJnzYCmoXDAi0jXsiyaIntBNVyzK8rroXWh8cBIQybsdg3xCDM8BdEppCVsnDwZs&#10;HFEDdCISJWy1R77J3SoFMn5UCiGyrubENOaTHiF7l85isxbVPgjfajm1IJ7TwhNORmhLj16gtiIK&#10;dgj6HyijZXDoVJxJZ4qRSFaEWMzLJ9rctcJD5kJSo7+Ijv8PVn44fgpMNzW/er3izApDIz9//3b+&#10;8ev88ytLTpKo91hR5p2n3Di8dQMtzoMfyZmYDyqY9CVOjOIk8OkiMAyRSXKu5stlSRFJoavV9WKZ&#10;B1D8KfYB4ztwhiWj5oHml2UVx/cYqRFKfUhJb1l3q7suz7CzfzkocfRAXoKpOvEY+01WHHbDRG7n&#10;mhNx62kRao5fDiIAZwcf9L6lNjLXIpXQFHIT08akMT++k/34L9n8B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vsDBXUAAAACAEAAA8AAAAAAAAAAQAgAAAAIgAAAGRycy9kb3ducmV2LnhtbFBLAQIU&#10;ABQAAAAIAIdO4kBDtutDvgEAAG0DAAAOAAAAAAAAAAEAIAAAACMBAABkcnMvZTJvRG9jLnhtbFBL&#10;BQYAAAAABgAGAFkBAABTBQAAAAA=&#10;">
                <v:fill on="f" focussize="0,0"/>
                <v:stroke on="f"/>
                <v:imagedata o:title=""/>
                <o:lock v:ext="edit" aspectratio="f"/>
                <v:textbox>
                  <w:txbxContent>
                    <w:p w14:paraId="29BCAD86">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约定结算程序和期限</w:t>
                      </w:r>
                    </w:p>
                  </w:txbxContent>
                </v:textbox>
              </v:shape>
            </w:pict>
          </mc:Fallback>
        </mc:AlternateContent>
      </w:r>
      <w:r>
        <w:rPr>
          <w:rFonts w:hint="default" w:ascii="Times New Roman" w:hAnsi="Times New Roman" w:cs="Times New Roman"/>
          <w:color w:val="auto"/>
          <w:sz w:val="22"/>
          <w:szCs w:val="22"/>
          <w:highlight w:val="none"/>
        </w:rPr>
        <w:t>合同双方当事人应按照国家标准《建设工程工程量清单计价规范》（GBGB50500-2013）规定在专用条款中明确办理竣工结算的程序和时限。专用条款没有约定的，竣工结算按照第82.2款至第82.5款规定办理。</w:t>
      </w:r>
    </w:p>
    <w:p w14:paraId="70E848EC">
      <w:pPr>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建设工程施工过程结算是指在房屋建筑和市政设施工程发承包合同范围内，发承包双方结合项目实际，依据合同约定的支付周期或工程进度节点，对已完成的分部工程或标志性节点形象工程的价款进行的计算、调整、确认和支付等活动。实施施工过程结算的，应符合广东省建设工程施工过程结算办法等有关规定。发承包双方应在合同中约定施工过程结算的支付周期或完成进度节点（统称“施工过程结算节点”）进行工程价款结算和支付的依据、程序和方法，明确合同履行过程工程价款的计量、计价、支付等事项。施工过程结算节点可根据工程特点、施工工期及分部（工程）验收需要等由发承包双方在合同约定。施工过程结算文件是工程竣工结算文件的重要内容与组成部分。</w:t>
      </w:r>
    </w:p>
    <w:p w14:paraId="56C1C7B8">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在办理竣工结算期间，发包人按照第78条规定应向承包人支付的工程款及其他款项不停止。</w:t>
      </w:r>
    </w:p>
    <w:p w14:paraId="0C7C640C">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82.2  </w:t>
      </w:r>
      <w:r>
        <w:rPr>
          <w:rFonts w:hint="default" w:ascii="Times New Roman" w:hAnsi="Times New Roman" w:cs="Times New Roman"/>
          <w:b/>
          <w:bCs/>
          <w:color w:val="auto"/>
          <w:sz w:val="22"/>
          <w:szCs w:val="22"/>
          <w:highlight w:val="none"/>
          <w:u w:val="dotted"/>
        </w:rPr>
        <w:t xml:space="preserve">                                                                                                       </w:t>
      </w:r>
    </w:p>
    <w:p w14:paraId="5782036D">
      <w:pPr>
        <w:pStyle w:val="15"/>
        <w:tabs>
          <w:tab w:val="left" w:pos="2641"/>
        </w:tabs>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21760" behindDoc="0" locked="0" layoutInCell="1" allowOverlap="1">
                <wp:simplePos x="0" y="0"/>
                <wp:positionH relativeFrom="column">
                  <wp:posOffset>-114300</wp:posOffset>
                </wp:positionH>
                <wp:positionV relativeFrom="paragraph">
                  <wp:posOffset>23495</wp:posOffset>
                </wp:positionV>
                <wp:extent cx="914400" cy="459105"/>
                <wp:effectExtent l="0" t="0" r="0" b="0"/>
                <wp:wrapNone/>
                <wp:docPr id="360" name="文本框 360"/>
                <wp:cNvGraphicFramePr/>
                <a:graphic xmlns:a="http://schemas.openxmlformats.org/drawingml/2006/main">
                  <a:graphicData uri="http://schemas.microsoft.com/office/word/2010/wordprocessingShape">
                    <wps:wsp>
                      <wps:cNvSpPr txBox="1"/>
                      <wps:spPr>
                        <a:xfrm>
                          <a:off x="0" y="0"/>
                          <a:ext cx="914400" cy="459105"/>
                        </a:xfrm>
                        <a:prstGeom prst="rect">
                          <a:avLst/>
                        </a:prstGeom>
                        <a:noFill/>
                        <a:ln>
                          <a:noFill/>
                        </a:ln>
                        <a:effectLst/>
                      </wps:spPr>
                      <wps:txbx>
                        <w:txbxContent>
                          <w:p w14:paraId="1787B5DC">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递交结算文件及其限制</w:t>
                            </w:r>
                          </w:p>
                        </w:txbxContent>
                      </wps:txbx>
                      <wps:bodyPr wrap="square" upright="1"/>
                    </wps:wsp>
                  </a:graphicData>
                </a:graphic>
              </wp:anchor>
            </w:drawing>
          </mc:Choice>
          <mc:Fallback>
            <w:pict>
              <v:shape id="_x0000_s1026" o:spid="_x0000_s1026" o:spt="202" type="#_x0000_t202" style="position:absolute;left:0pt;margin-left:-9pt;margin-top:1.85pt;height:36.15pt;width:72pt;z-index:252021760;mso-width-relative:page;mso-height-relative:page;" filled="f" stroked="f" coordsize="21600,21600" o:gfxdata="UEsDBAoAAAAAAIdO4kAAAAAAAAAAAAAAAAAEAAAAZHJzL1BLAwQUAAAACACHTuJAtB/HitUAAAAI&#10;AQAADwAAAGRycy9kb3ducmV2LnhtbE2PzU7DMBCE70i8g7VI3Fo7BdoSsukBxBVE+ZG4ufE2iYjX&#10;Uew24e3ZnuhpNZrR7DfFZvKdOtIQ28AI2dyAIq6Ca7lG+Hh/nq1BxWTZ2S4wIfxShE15eVHY3IWR&#10;3+i4TbWSEo65RWhS6nOtY9WQt3EeemLx9mHwNokcau0GO0q57/TCmKX2tmX50NieHhuqfrYHj/D5&#10;sv/+ujWv9ZO/68cwGc3+XiNeX2XmAVSiKf2H4YQv6FAK0y4c2EXVIcyytWxJCDcrUCd/sRS9Q1jJ&#10;1WWhzweUf1BLAwQUAAAACACHTuJAj0U5prwBAABtAwAADgAAAGRycy9lMm9Eb2MueG1srVNLbtsw&#10;EN0X6B0I7mPJiRM0guUAhZFuirZAmgPQ1NAiIH7KoS35Au0Nuuqm+57L5+iQUpxPN1l0Qw3n8zjv&#10;zWh5M5iO7SGgdrbm81nJGVjpGm23Nb//env2jjOMwjaicxZqfgDkN6u3b5a9r+Dcta5rIDACsVj1&#10;vuZtjL4qCpQtGIEz58FSULlgRKRr2BZNED2hm644L8uroneh8cFJQCTvegzyCTG8BtAppSWsndwZ&#10;sHFEDdCJSJSw1R75KnerFMj4WSmEyLqaE9OYT3qE7E06i9VSVNsgfKvl1IJ4TQsvOBmhLT16glqL&#10;KNgu6H+gjJbBoVNxJp0pRiJZEWIxL19oc9cKD5kLSY3+JDr+P1j5af8lMN3U/OKKNLHC0MiPP38c&#10;f/05/v7OkpMk6j1WlHnnKTcO791Ai/PgR3Im5oMKJn2JE6M4gR1OAsMQmSTn9XyxKCkiKbS4vJ6X&#10;lwmleCz2AeMHcIYlo+aB5pdlFfuPGMfUh5T0lnW3uuvyDDv7zEGYowfyEkzVicfYb7LisBkmchvX&#10;HIhbT4tQc/y2EwE42/mgty21kbkWqYSmkPudNiaN+emd7Kd/yeo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tB/HitUAAAAIAQAADwAAAAAAAAABACAAAAAiAAAAZHJzL2Rvd25yZXYueG1sUEsBAhQA&#10;FAAAAAgAh07iQI9FOaa8AQAAbQMAAA4AAAAAAAAAAQAgAAAAJAEAAGRycy9lMm9Eb2MueG1sUEsF&#10;BgAAAAAGAAYAWQEAAFIFAAAAAA==&#10;">
                <v:fill on="f" focussize="0,0"/>
                <v:stroke on="f"/>
                <v:imagedata o:title=""/>
                <o:lock v:ext="edit" aspectratio="f"/>
                <v:textbox>
                  <w:txbxContent>
                    <w:p w14:paraId="1787B5DC">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递交结算文件及其限制</w:t>
                      </w:r>
                    </w:p>
                  </w:txbxContent>
                </v:textbox>
              </v:shape>
            </w:pict>
          </mc:Fallback>
        </mc:AlternateContent>
      </w:r>
      <w:r>
        <w:rPr>
          <w:rFonts w:hint="default" w:ascii="Times New Roman" w:hAnsi="Times New Roman" w:cs="Times New Roman"/>
          <w:color w:val="auto"/>
          <w:sz w:val="22"/>
          <w:szCs w:val="22"/>
          <w:highlight w:val="none"/>
        </w:rPr>
        <w:t>承包人应在提交竣工验收申请报告前编制完成竣工结算文件，并在提交竣工验收申请报告的同时向造价工程师递交竣工结算文件。竣工结算文件清单由双方在专用条款中约定。</w:t>
      </w:r>
    </w:p>
    <w:p w14:paraId="38069240">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承包人未在本款规定的时间内递交竣工结算文件，经发包人催促后仍未递交或没有明确答复的，造价工程师可根据自己掌握的资料编制竣工结算文件，在报经发包人批准后，作为办理竣工结算和支付结算款的依据，承包人应予以认可。</w:t>
      </w:r>
    </w:p>
    <w:p w14:paraId="0BDB9878">
      <w:pPr>
        <w:pStyle w:val="15"/>
        <w:adjustRightInd w:val="0"/>
        <w:snapToGrid w:val="0"/>
        <w:spacing w:line="420" w:lineRule="exact"/>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rPr>
        <w:t xml:space="preserve">82.3  </w:t>
      </w:r>
      <w:r>
        <w:rPr>
          <w:rFonts w:hint="default" w:ascii="Times New Roman" w:hAnsi="Times New Roman" w:cs="Times New Roman"/>
          <w:b/>
          <w:bCs/>
          <w:color w:val="auto"/>
          <w:sz w:val="22"/>
          <w:szCs w:val="22"/>
          <w:highlight w:val="none"/>
          <w:u w:val="dotted"/>
        </w:rPr>
        <w:t xml:space="preserve">                                                                                                        </w:t>
      </w:r>
    </w:p>
    <w:p w14:paraId="4880040D">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22784" behindDoc="0" locked="0" layoutInCell="1" allowOverlap="1">
                <wp:simplePos x="0" y="0"/>
                <wp:positionH relativeFrom="column">
                  <wp:posOffset>-114300</wp:posOffset>
                </wp:positionH>
                <wp:positionV relativeFrom="paragraph">
                  <wp:posOffset>38735</wp:posOffset>
                </wp:positionV>
                <wp:extent cx="914400" cy="418465"/>
                <wp:effectExtent l="0" t="0" r="0" b="0"/>
                <wp:wrapNone/>
                <wp:docPr id="361" name="文本框 361"/>
                <wp:cNvGraphicFramePr/>
                <a:graphic xmlns:a="http://schemas.openxmlformats.org/drawingml/2006/main">
                  <a:graphicData uri="http://schemas.microsoft.com/office/word/2010/wordprocessingShape">
                    <wps:wsp>
                      <wps:cNvSpPr txBox="1"/>
                      <wps:spPr>
                        <a:xfrm>
                          <a:off x="0" y="0"/>
                          <a:ext cx="914400" cy="418465"/>
                        </a:xfrm>
                        <a:prstGeom prst="rect">
                          <a:avLst/>
                        </a:prstGeom>
                        <a:noFill/>
                        <a:ln>
                          <a:noFill/>
                        </a:ln>
                        <a:effectLst/>
                      </wps:spPr>
                      <wps:txbx>
                        <w:txbxContent>
                          <w:p w14:paraId="557AE209">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核实结算文件及其限制</w:t>
                            </w:r>
                          </w:p>
                        </w:txbxContent>
                      </wps:txbx>
                      <wps:bodyPr wrap="square" upright="1"/>
                    </wps:wsp>
                  </a:graphicData>
                </a:graphic>
              </wp:anchor>
            </w:drawing>
          </mc:Choice>
          <mc:Fallback>
            <w:pict>
              <v:shape id="_x0000_s1026" o:spid="_x0000_s1026" o:spt="202" type="#_x0000_t202" style="position:absolute;left:0pt;margin-left:-9pt;margin-top:3.05pt;height:32.95pt;width:72pt;z-index:252022784;mso-width-relative:page;mso-height-relative:page;" filled="f" stroked="f" coordsize="21600,21600" o:gfxdata="UEsDBAoAAAAAAIdO4kAAAAAAAAAAAAAAAAAEAAAAZHJzL1BLAwQUAAAACACHTuJAsUJJ49UAAAAI&#10;AQAADwAAAGRycy9kb3ducmV2LnhtbE2PwU7DMBBE70j9B2srcWvtRBDakE0PrbiCaAGpNzfeJhHx&#10;OordJvw97gmOoxnNvCk2k+3ElQbfOkZIlgoEceVMyzXCx+FlsQLhg2ajO8eE8EMeNuXsrtC5cSO/&#10;03UfahFL2OcaoQmhz6X0VUNW+6XriaN3doPVIcqhlmbQYyy3nUyVyqTVLceFRve0baj63l8swufr&#10;+fj1oN7qnX3sRzcpyXYtEe/niXoGEWgKf2G44Ud0KCPTyV3YeNEhLJJV/BIQsgTEzU+zqE8IT6kC&#10;WRby/4HyF1BLAwQUAAAACACHTuJAUFP17LwBAABtAwAADgAAAGRycy9lMm9Eb2MueG1srVPNjtMw&#10;EL4j8Q6W79TJUqolaroSqpYLAqSFB3CdSWPJf3jcJn0BeANOXLjzXH0Oxkm2LMtlD1yc8fx8nu+b&#10;yfpmsIYdIaL2rublouAMnPKNdvuaf/50++KaM0zSNdJ4BzU/AfKbzfNn6z5UcOU7bxqIjEAcVn2o&#10;eZdSqIRA1YGVuPABHAVbH61MdI170UTZE7o14qooVqL3sQnRK0Ak73YK8hkxPgXQt61WsPXqYMGl&#10;CTWCkYkoYacD8s3YbduCSh/aFiExU3NimsaTHiF7l0+xWctqH2XotJpbkE9p4REnK7WjRy9QW5kk&#10;O0T9D5TVKnr0bVoob8VEZFSEWJTFI23uOhlg5EJSY7iIjv8PVr0/foxMNzV/uSo5c9LSyM/fv51/&#10;/Dr//MqykyTqA1aUeRcoNw1v/ECLc+9HcmbmQxtt/hInRnES+HQRGIbEFDlfl8tlQRFFoWV5vVy9&#10;yijiT3GImN6CtywbNY80v1FWeXyHaUq9T8lvOX+rjRlnaNxfDsKcPDAuwVydeUz9ZisNu2Emt/PN&#10;ibj1tAg1xy8HGYGzQ4h631EbI1eRS2gKY7/zxuQxP7yT/fAv2fwG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sUJJ49UAAAAIAQAADwAAAAAAAAABACAAAAAiAAAAZHJzL2Rvd25yZXYueG1sUEsBAhQA&#10;FAAAAAgAh07iQFBT9ey8AQAAbQMAAA4AAAAAAAAAAQAgAAAAJAEAAGRycy9lMm9Eb2MueG1sUEsF&#10;BgAAAAAGAAYAWQEAAFIFAAAAAA==&#10;">
                <v:fill on="f" focussize="0,0"/>
                <v:stroke on="f"/>
                <v:imagedata o:title=""/>
                <o:lock v:ext="edit" aspectratio="f"/>
                <v:textbox>
                  <w:txbxContent>
                    <w:p w14:paraId="557AE209">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核实结算文件及其限制</w:t>
                      </w:r>
                    </w:p>
                  </w:txbxContent>
                </v:textbox>
              </v:shape>
            </w:pict>
          </mc:Fallback>
        </mc:AlternateContent>
      </w:r>
      <w:r>
        <w:rPr>
          <w:rFonts w:hint="default" w:ascii="Times New Roman" w:hAnsi="Times New Roman" w:cs="Times New Roman"/>
          <w:color w:val="auto"/>
          <w:sz w:val="22"/>
          <w:szCs w:val="22"/>
          <w:highlight w:val="none"/>
        </w:rPr>
        <w:t>造价工程师应在收到承包人按照第82.2款规定递交的竣工结算文件后的28天内予以核实，并向承包人提出完整的核实意见（包括进一步补充资料和修改结算文件），同时抄报发包人。承包人在收到核实意见后的28天内按照造价工程师提出的合理要求补充资料，修改竣工结算文件，并再次递交给造价工程师。</w:t>
      </w:r>
    </w:p>
    <w:p w14:paraId="6B320BA9">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造价工程师在收到竣工结算文件后的28天内，不核实竣工结算或未提出核实意见的，视为承包人递交的竣工结算已被认可。</w:t>
      </w:r>
    </w:p>
    <w:p w14:paraId="65A14430">
      <w:pPr>
        <w:pStyle w:val="15"/>
        <w:adjustRightInd w:val="0"/>
        <w:snapToGrid w:val="0"/>
        <w:spacing w:line="420" w:lineRule="exact"/>
        <w:ind w:left="1619" w:leftChars="771"/>
        <w:rPr>
          <w:rFonts w:hint="default" w:ascii="Times New Roman" w:hAnsi="Times New Roman" w:cs="Times New Roman"/>
          <w:color w:val="auto"/>
          <w:sz w:val="22"/>
          <w:szCs w:val="22"/>
          <w:highlight w:val="none"/>
          <w:u w:val="single"/>
        </w:rPr>
      </w:pPr>
      <w:r>
        <w:rPr>
          <w:rFonts w:hint="default" w:ascii="Times New Roman" w:hAnsi="Times New Roman" w:cs="Times New Roman"/>
          <w:color w:val="auto"/>
          <w:sz w:val="22"/>
          <w:szCs w:val="22"/>
          <w:highlight w:val="none"/>
        </w:rPr>
        <w:t>承包人在收到造价工程师提出的核实意见后的28天内，不确认也未提出异议的，视为造价工程师提出的核实意见已被认可，竣工结算办理完毕。</w:t>
      </w:r>
    </w:p>
    <w:p w14:paraId="280D65C5">
      <w:pPr>
        <w:pStyle w:val="15"/>
        <w:adjustRightInd w:val="0"/>
        <w:snapToGrid w:val="0"/>
        <w:spacing w:line="420" w:lineRule="exact"/>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rPr>
        <w:t xml:space="preserve">82.4  </w:t>
      </w:r>
      <w:r>
        <w:rPr>
          <w:rFonts w:hint="default" w:ascii="Times New Roman" w:hAnsi="Times New Roman" w:cs="Times New Roman"/>
          <w:b/>
          <w:bCs/>
          <w:color w:val="auto"/>
          <w:sz w:val="22"/>
          <w:szCs w:val="22"/>
          <w:highlight w:val="none"/>
          <w:u w:val="dotted"/>
        </w:rPr>
        <w:t xml:space="preserve">                                                                                                        </w:t>
      </w:r>
    </w:p>
    <w:p w14:paraId="090D17A1">
      <w:pPr>
        <w:pStyle w:val="15"/>
        <w:adjustRightInd w:val="0"/>
        <w:snapToGrid w:val="0"/>
        <w:spacing w:line="420" w:lineRule="exact"/>
        <w:ind w:left="1619" w:leftChars="771"/>
        <w:rPr>
          <w:rFonts w:hint="default" w:ascii="Times New Roman" w:hAnsi="Times New Roman" w:cs="Times New Roman"/>
          <w:color w:val="auto"/>
          <w:sz w:val="22"/>
          <w:szCs w:val="22"/>
          <w:highlight w:val="none"/>
          <w:u w:val="singl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23808" behindDoc="0" locked="0" layoutInCell="1" allowOverlap="1">
                <wp:simplePos x="0" y="0"/>
                <wp:positionH relativeFrom="column">
                  <wp:posOffset>-114300</wp:posOffset>
                </wp:positionH>
                <wp:positionV relativeFrom="paragraph">
                  <wp:posOffset>15875</wp:posOffset>
                </wp:positionV>
                <wp:extent cx="914400" cy="718185"/>
                <wp:effectExtent l="0" t="0" r="0" b="0"/>
                <wp:wrapNone/>
                <wp:docPr id="362" name="文本框 362"/>
                <wp:cNvGraphicFramePr/>
                <a:graphic xmlns:a="http://schemas.openxmlformats.org/drawingml/2006/main">
                  <a:graphicData uri="http://schemas.microsoft.com/office/word/2010/wordprocessingShape">
                    <wps:wsp>
                      <wps:cNvSpPr txBox="1"/>
                      <wps:spPr>
                        <a:xfrm>
                          <a:off x="0" y="0"/>
                          <a:ext cx="914400" cy="718185"/>
                        </a:xfrm>
                        <a:prstGeom prst="rect">
                          <a:avLst/>
                        </a:prstGeom>
                        <a:noFill/>
                        <a:ln>
                          <a:noFill/>
                        </a:ln>
                        <a:effectLst/>
                      </wps:spPr>
                      <wps:txbx>
                        <w:txbxContent>
                          <w:p w14:paraId="61851153">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复核再次递交结算文件</w:t>
                            </w:r>
                          </w:p>
                        </w:txbxContent>
                      </wps:txbx>
                      <wps:bodyPr wrap="square" upright="1"/>
                    </wps:wsp>
                  </a:graphicData>
                </a:graphic>
              </wp:anchor>
            </w:drawing>
          </mc:Choice>
          <mc:Fallback>
            <w:pict>
              <v:shape id="_x0000_s1026" o:spid="_x0000_s1026" o:spt="202" type="#_x0000_t202" style="position:absolute;left:0pt;margin-left:-9pt;margin-top:1.25pt;height:56.55pt;width:72pt;z-index:252023808;mso-width-relative:page;mso-height-relative:page;" filled="f" stroked="f" coordsize="21600,21600" o:gfxdata="UEsDBAoAAAAAAIdO4kAAAAAAAAAAAAAAAAAEAAAAZHJzL1BLAwQUAAAACACHTuJAQZCALtYAAAAJ&#10;AQAADwAAAGRycy9kb3ducmV2LnhtbE2PwU7DMBBE70j8g7VIvbV2oiYqIU4PrbiCKAWJmxtvk4h4&#10;HcVuE/6e7QluO5rR7JtyO7teXHEMnScNyUqBQKq97ajRcHx/Xm5AhGjImt4TavjBANvq/q40hfUT&#10;veH1EBvBJRQKo6GNcSikDHWLzoSVH5DYO/vRmchybKQdzcTlrpepUrl0piP+0JoBdy3W34eL0/Dx&#10;cv76XKvXZu+yYfKzkuQepdaLh0Q9gYg4x78w3PAZHSpmOvkL2SB6Dctkw1uihjQDcfPTnPWJjyTL&#10;QVal/L+g+gVQSwMEFAAAAAgAh07iQMNJc8S9AQAAbQMAAA4AAABkcnMvZTJvRG9jLnhtbK1TS27b&#10;MBDdF8gdCO5rSW6auoLlAIGRboq2QNoD0NTQIiB+wqEt+QLtDbrqpvuey+fIUFLcfDZZZEMN5/M4&#10;781oedmblu0hoHa24sUs5wysdLW224r/+H79dsEZRmFr0ToLFT8A8svV2Ztl50uYu8a1NQRGIBbL&#10;zle8idGXWYayASNw5jxYCioXjIh0DdusDqIjdNNm8zy/yDoXah+cBETyrscgnxDDSwCdUlrC2smd&#10;ARtH1ACtiEQJG+2Rr4ZulQIZvyqFEFlbcWIah5MeIXuTzmy1FOU2CN9oObUgXtLCE05GaEuPnqDW&#10;Igq2C/oZlNEyOHQqzqQz2UhkUIRYFPkTbW4a4WHgQlKjP4mOrwcrv+y/Babrir+7mHNmhaGRH3//&#10;Ov75d/z7kyUnSdR5LCnzxlNu7K9cT4tz70dyJua9CiZ9iROjOAl8OAkMfWSSnB+L8/OcIpJCH4pF&#10;sXifULL/xT5g/ATOsGRUPND8BlnF/jPGMfU+Jb1l3bVu22GGrX3kIMzRA8MSTNWJx9hvsmK/6Sdy&#10;G1cfiFtHi1BxvN2JAJztfNDbhtoYuGaphKYw9DttTBrzwzvZD/+S1R1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BkIAu1gAAAAkBAAAPAAAAAAAAAAEAIAAAACIAAABkcnMvZG93bnJldi54bWxQSwEC&#10;FAAUAAAACACHTuJAw0lzxL0BAABtAwAADgAAAAAAAAABACAAAAAlAQAAZHJzL2Uyb0RvYy54bWxQ&#10;SwUGAAAAAAYABgBZAQAAVAUAAAAA&#10;">
                <v:fill on="f" focussize="0,0"/>
                <v:stroke on="f"/>
                <v:imagedata o:title=""/>
                <o:lock v:ext="edit" aspectratio="f"/>
                <v:textbox>
                  <w:txbxContent>
                    <w:p w14:paraId="61851153">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复核再次递交结算文件</w:t>
                      </w:r>
                    </w:p>
                  </w:txbxContent>
                </v:textbox>
              </v:shape>
            </w:pict>
          </mc:Fallback>
        </mc:AlternateContent>
      </w:r>
      <w:r>
        <w:rPr>
          <w:rFonts w:hint="default" w:ascii="Times New Roman" w:hAnsi="Times New Roman" w:cs="Times New Roman"/>
          <w:color w:val="auto"/>
          <w:sz w:val="22"/>
          <w:szCs w:val="22"/>
          <w:highlight w:val="none"/>
        </w:rPr>
        <w:t>造价工程师应在收到承包人按照第82.3款规定再次递交的竣工结算文件后的28天内予以复核，并将复核结果通知承包人、抄报发包人。</w:t>
      </w:r>
    </w:p>
    <w:p w14:paraId="3F19155A">
      <w:pPr>
        <w:pStyle w:val="15"/>
        <w:adjustRightInd w:val="0"/>
        <w:snapToGrid w:val="0"/>
        <w:spacing w:line="420" w:lineRule="exact"/>
        <w:ind w:left="1615"/>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（1）经复核无误的，除属于第86条规定的争议外，发包人应在7天内在竣工结算文件上签字确认，竣工结算办理完毕。</w:t>
      </w:r>
    </w:p>
    <w:p w14:paraId="2F359806">
      <w:pPr>
        <w:pStyle w:val="15"/>
        <w:adjustRightInd w:val="0"/>
        <w:snapToGrid w:val="0"/>
        <w:spacing w:line="420" w:lineRule="exact"/>
        <w:ind w:left="1615"/>
        <w:rPr>
          <w:rFonts w:hint="default" w:ascii="Times New Roman" w:hAnsi="Times New Roman" w:cs="Times New Roman"/>
          <w:color w:val="auto"/>
          <w:sz w:val="22"/>
          <w:szCs w:val="22"/>
          <w:highlight w:val="none"/>
          <w:u w:val="single"/>
        </w:rPr>
      </w:pPr>
      <w:r>
        <w:rPr>
          <w:rFonts w:hint="default" w:ascii="Times New Roman" w:hAnsi="Times New Roman" w:cs="Times New Roman"/>
          <w:color w:val="auto"/>
          <w:sz w:val="22"/>
          <w:szCs w:val="22"/>
          <w:highlight w:val="none"/>
        </w:rPr>
        <w:t>（2）经复核认为有误的：无误部分按照本款第</w:t>
      </w:r>
      <w:r>
        <w:rPr>
          <w:rFonts w:hint="default" w:ascii="Times New Roman" w:hAnsi="Times New Roman" w:cs="Times New Roman"/>
          <w:color w:val="auto"/>
          <w:sz w:val="22"/>
          <w:szCs w:val="22"/>
          <w:highlight w:val="none"/>
          <w:lang w:eastAsia="zh-CN"/>
        </w:rPr>
        <w:t>（</w:t>
      </w:r>
      <w:r>
        <w:rPr>
          <w:rFonts w:hint="default" w:ascii="Times New Roman" w:hAnsi="Times New Roman" w:cs="Times New Roman"/>
          <w:color w:val="auto"/>
          <w:sz w:val="22"/>
          <w:szCs w:val="22"/>
          <w:highlight w:val="none"/>
        </w:rPr>
        <w:t>1</w:t>
      </w:r>
      <w:r>
        <w:rPr>
          <w:rFonts w:hint="default" w:ascii="Times New Roman" w:hAnsi="Times New Roman" w:cs="Times New Roman"/>
          <w:color w:val="auto"/>
          <w:sz w:val="22"/>
          <w:szCs w:val="22"/>
          <w:highlight w:val="none"/>
          <w:lang w:eastAsia="zh-CN"/>
        </w:rPr>
        <w:t>）</w:t>
      </w:r>
      <w:r>
        <w:rPr>
          <w:rFonts w:hint="default" w:ascii="Times New Roman" w:hAnsi="Times New Roman" w:cs="Times New Roman"/>
          <w:color w:val="auto"/>
          <w:sz w:val="22"/>
          <w:szCs w:val="22"/>
          <w:highlight w:val="none"/>
        </w:rPr>
        <w:t>点规定办理不完全竣工结算；有误部分由造价工程师与合同双方当事人协商解决，或按照第86条规定处理。</w:t>
      </w:r>
    </w:p>
    <w:p w14:paraId="23794697">
      <w:pPr>
        <w:pStyle w:val="15"/>
        <w:adjustRightInd w:val="0"/>
        <w:snapToGrid w:val="0"/>
        <w:spacing w:line="420" w:lineRule="exact"/>
        <w:rPr>
          <w:rFonts w:hint="default" w:ascii="Times New Roman" w:hAnsi="Times New Roman" w:cs="Times New Roman"/>
          <w:b/>
          <w:bCs/>
          <w:color w:val="auto"/>
          <w:sz w:val="22"/>
          <w:szCs w:val="22"/>
          <w:highlight w:val="none"/>
        </w:rPr>
      </w:pPr>
    </w:p>
    <w:p w14:paraId="33972301">
      <w:pPr>
        <w:pStyle w:val="15"/>
        <w:adjustRightInd w:val="0"/>
        <w:snapToGrid w:val="0"/>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82.5</w:t>
      </w:r>
      <w:r>
        <w:rPr>
          <w:rFonts w:hint="default" w:ascii="Times New Roman" w:hAnsi="Times New Roman" w:cs="Times New Roman"/>
          <w:color w:val="auto"/>
          <w:sz w:val="22"/>
          <w:szCs w:val="22"/>
          <w:highlight w:val="none"/>
        </w:rPr>
        <w:t xml:space="preserve">  </w:t>
      </w:r>
      <w:r>
        <w:rPr>
          <w:rFonts w:hint="default" w:ascii="Times New Roman" w:hAnsi="Times New Roman" w:cs="Times New Roman"/>
          <w:color w:val="auto"/>
          <w:sz w:val="22"/>
          <w:szCs w:val="22"/>
          <w:highlight w:val="none"/>
          <w:u w:val="dotted"/>
        </w:rPr>
        <w:t xml:space="preserve">                                                                                                       </w:t>
      </w:r>
    </w:p>
    <w:p w14:paraId="62C3FBEC">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24832" behindDoc="0" locked="0" layoutInCell="1" allowOverlap="1">
                <wp:simplePos x="0" y="0"/>
                <wp:positionH relativeFrom="column">
                  <wp:posOffset>-114300</wp:posOffset>
                </wp:positionH>
                <wp:positionV relativeFrom="paragraph">
                  <wp:posOffset>5715</wp:posOffset>
                </wp:positionV>
                <wp:extent cx="914400" cy="396240"/>
                <wp:effectExtent l="0" t="0" r="0" b="0"/>
                <wp:wrapNone/>
                <wp:docPr id="363" name="文本框 363"/>
                <wp:cNvGraphicFramePr/>
                <a:graphic xmlns:a="http://schemas.openxmlformats.org/drawingml/2006/main">
                  <a:graphicData uri="http://schemas.microsoft.com/office/word/2010/wordprocessingShape">
                    <wps:wsp>
                      <wps:cNvSpPr txBox="1"/>
                      <wps:spPr>
                        <a:xfrm>
                          <a:off x="0" y="0"/>
                          <a:ext cx="914400" cy="396240"/>
                        </a:xfrm>
                        <a:prstGeom prst="rect">
                          <a:avLst/>
                        </a:prstGeom>
                        <a:noFill/>
                        <a:ln>
                          <a:noFill/>
                        </a:ln>
                        <a:effectLst/>
                      </wps:spPr>
                      <wps:txbx>
                        <w:txbxContent>
                          <w:p w14:paraId="7545C191">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交付工程</w:t>
                            </w:r>
                          </w:p>
                        </w:txbxContent>
                      </wps:txbx>
                      <wps:bodyPr wrap="square" upright="1"/>
                    </wps:wsp>
                  </a:graphicData>
                </a:graphic>
              </wp:anchor>
            </w:drawing>
          </mc:Choice>
          <mc:Fallback>
            <w:pict>
              <v:shape id="_x0000_s1026" o:spid="_x0000_s1026" o:spt="202" type="#_x0000_t202" style="position:absolute;left:0pt;margin-left:-9pt;margin-top:0.45pt;height:31.2pt;width:72pt;z-index:252024832;mso-width-relative:page;mso-height-relative:page;" filled="f" stroked="f" coordsize="21600,21600" o:gfxdata="UEsDBAoAAAAAAIdO4kAAAAAAAAAAAAAAAAAEAAAAZHJzL1BLAwQUAAAACACHTuJAZECmpdUAAAAH&#10;AQAADwAAAGRycy9kb3ducmV2LnhtbE2PzW7CMBCE75X6DtZW6g3sQBtByIYDqNdW5adSbyZekoh4&#10;HcWGpG9fc2qPoxnNfJOvR9uKG/W+cYyQTBUI4tKZhiuEw/5tsgDhg2ajW8eE8EMe1sXjQ64z4wb+&#10;pNsuVCKWsM80Qh1Cl0npy5qs9lPXEUfv7HqrQ5R9JU2vh1huWzlTKpVWNxwXat3RpqbysrtahOP7&#10;+fvrRX1UW/vaDW5Uku1SIj4/JWoFItAY/sJwx4/oUESmk7uy8aJFmCSL+CUgLEHc7Vka5Qkhnc9B&#10;Frn8z1/8AlBLAwQUAAAACACHTuJAI1sdH70BAABtAwAADgAAAGRycy9lMm9Eb2MueG1srVPNjtMw&#10;EL4j8Q6W7zTpjyo2aroSqpYLAqSFB3CdSWPJf3jcJn0BeANOXLjzXH0Oxk62LMtlD1yc8fx8nu+b&#10;yeZ2MJqdIKBytubzWckZWOkaZQ81//zp7tVrzjAK2wjtLNT8DMhvty9fbHpfwcJ1TjcQGIFYrHpf&#10;8y5GXxUFyg6MwJnzYCnYumBEpGs4FE0QPaEbXSzKcl30LjQ+OAmI5N2NQT4hhucAurZVEnZOHg3Y&#10;OKIG0CISJeyUR77N3bYtyPihbREi0zUnpjGf9AjZ+3QW242oDkH4TsmpBfGcFp5wMkJZevQKtRNR&#10;sGNQ/0AZJYND18aZdKYYiWRFiMW8fKLNfSc8ZC4kNfqr6Pj/YOX708fAVFPz5XrJmRWGRn75/u3y&#10;49fl51eWnCRR77GizHtPuXF44wZanAc/kjMxH9pg0pc4MYqTwOerwDBEJsl5M1+tSopICi1v1otV&#10;HkDxp9gHjG/BGZaMmgeaX5ZVnN5hpEYo9SElvWXdndI6z1DbvxyUOHogL8FUnXiM/SYrDvthIrd3&#10;zZm49bQINccvRxGAs6MP6tBRG5lrkUpoCrmJaWPSmB/fyX78l2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GRApqXVAAAABwEAAA8AAAAAAAAAAQAgAAAAIgAAAGRycy9kb3ducmV2LnhtbFBLAQIU&#10;ABQAAAAIAIdO4kAjWx0fvQEAAG0DAAAOAAAAAAAAAAEAIAAAACQBAABkcnMvZTJvRG9jLnhtbFBL&#10;BQYAAAAABgAGAFkBAABTBQAAAAA=&#10;">
                <v:fill on="f" focussize="0,0"/>
                <v:stroke on="f"/>
                <v:imagedata o:title=""/>
                <o:lock v:ext="edit" aspectratio="f"/>
                <v:textbox>
                  <w:txbxContent>
                    <w:p w14:paraId="7545C191">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交付工程</w:t>
                      </w:r>
                    </w:p>
                  </w:txbxContent>
                </v:textbox>
              </v:shape>
            </w:pict>
          </mc:Fallback>
        </mc:AlternateContent>
      </w:r>
      <w:r>
        <w:rPr>
          <w:rFonts w:hint="default" w:ascii="Times New Roman" w:hAnsi="Times New Roman" w:cs="Times New Roman"/>
          <w:color w:val="auto"/>
          <w:sz w:val="22"/>
          <w:szCs w:val="22"/>
          <w:highlight w:val="none"/>
        </w:rPr>
        <w:t>发包人应在已核实无误的竣工结算文件上签名确认，拒不签认的，承包人可不交付竣工工程。</w:t>
      </w:r>
    </w:p>
    <w:p w14:paraId="215219BC">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承包人未及时递交竣工结算文件的，发包人要求交付竣工工程，承包人应当交付；发包人不要求交付竣工工程，承包人承担照管永久工程责任。</w:t>
      </w:r>
    </w:p>
    <w:p w14:paraId="3D8697E8">
      <w:pPr>
        <w:pStyle w:val="15"/>
        <w:adjustRightInd w:val="0"/>
        <w:snapToGrid w:val="0"/>
        <w:spacing w:line="420" w:lineRule="exact"/>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3283AAE7">
      <w:pPr>
        <w:pStyle w:val="15"/>
        <w:tabs>
          <w:tab w:val="left" w:pos="540"/>
        </w:tabs>
        <w:adjustRightInd w:val="0"/>
        <w:snapToGrid w:val="0"/>
        <w:spacing w:before="240" w:beforeLines="100" w:line="420" w:lineRule="exact"/>
        <w:outlineLvl w:val="2"/>
        <w:rPr>
          <w:rFonts w:hint="default" w:ascii="Times New Roman" w:hAnsi="Times New Roman" w:cs="Times New Roman"/>
          <w:b/>
          <w:bCs/>
          <w:color w:val="auto"/>
          <w:sz w:val="22"/>
          <w:szCs w:val="22"/>
          <w:highlight w:val="none"/>
        </w:rPr>
      </w:pPr>
      <w:bookmarkStart w:id="267" w:name="_Toc29968"/>
      <w:bookmarkStart w:id="268" w:name="_Toc469384067"/>
      <w:r>
        <w:rPr>
          <w:rFonts w:hint="default" w:ascii="Times New Roman" w:hAnsi="Times New Roman" w:cs="Times New Roman"/>
          <w:b/>
          <w:bCs/>
          <w:color w:val="auto"/>
          <w:sz w:val="22"/>
          <w:szCs w:val="22"/>
          <w:highlight w:val="none"/>
        </w:rPr>
        <w:t>★83  结算款</w:t>
      </w:r>
      <w:bookmarkEnd w:id="267"/>
      <w:bookmarkEnd w:id="268"/>
    </w:p>
    <w:p w14:paraId="6EF18BF4">
      <w:pPr>
        <w:pStyle w:val="15"/>
        <w:adjustRightInd w:val="0"/>
        <w:snapToGrid w:val="0"/>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 xml:space="preserve">83.1 </w:t>
      </w:r>
      <w:r>
        <w:rPr>
          <w:rFonts w:hint="default" w:ascii="Times New Roman" w:hAnsi="Times New Roman" w:cs="Times New Roman"/>
          <w:color w:val="auto"/>
          <w:sz w:val="22"/>
          <w:szCs w:val="22"/>
          <w:highlight w:val="none"/>
        </w:rPr>
        <w:t xml:space="preserve"> </w:t>
      </w:r>
    </w:p>
    <w:p w14:paraId="026C9B6A">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25856" behindDoc="0" locked="0" layoutInCell="1" allowOverlap="1">
                <wp:simplePos x="0" y="0"/>
                <wp:positionH relativeFrom="column">
                  <wp:posOffset>-114300</wp:posOffset>
                </wp:positionH>
                <wp:positionV relativeFrom="paragraph">
                  <wp:posOffset>36195</wp:posOffset>
                </wp:positionV>
                <wp:extent cx="914400" cy="459105"/>
                <wp:effectExtent l="0" t="0" r="0" b="0"/>
                <wp:wrapNone/>
                <wp:docPr id="364" name="文本框 364"/>
                <wp:cNvGraphicFramePr/>
                <a:graphic xmlns:a="http://schemas.openxmlformats.org/drawingml/2006/main">
                  <a:graphicData uri="http://schemas.microsoft.com/office/word/2010/wordprocessingShape">
                    <wps:wsp>
                      <wps:cNvSpPr txBox="1"/>
                      <wps:spPr>
                        <a:xfrm>
                          <a:off x="0" y="0"/>
                          <a:ext cx="914400" cy="459105"/>
                        </a:xfrm>
                        <a:prstGeom prst="rect">
                          <a:avLst/>
                        </a:prstGeom>
                        <a:noFill/>
                        <a:ln>
                          <a:noFill/>
                        </a:ln>
                        <a:effectLst/>
                      </wps:spPr>
                      <wps:txbx>
                        <w:txbxContent>
                          <w:p w14:paraId="3F1CB16B">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提交竣工支付申请</w:t>
                            </w:r>
                          </w:p>
                        </w:txbxContent>
                      </wps:txbx>
                      <wps:bodyPr wrap="square" upright="1"/>
                    </wps:wsp>
                  </a:graphicData>
                </a:graphic>
              </wp:anchor>
            </w:drawing>
          </mc:Choice>
          <mc:Fallback>
            <w:pict>
              <v:shape id="_x0000_s1026" o:spid="_x0000_s1026" o:spt="202" type="#_x0000_t202" style="position:absolute;left:0pt;margin-left:-9pt;margin-top:2.85pt;height:36.15pt;width:72pt;z-index:252025856;mso-width-relative:page;mso-height-relative:page;" filled="f" stroked="f" coordsize="21600,21600" o:gfxdata="UEsDBAoAAAAAAIdO4kAAAAAAAAAAAAAAAAAEAAAAZHJzL1BLAwQUAAAACACHTuJAEyr9J9UAAAAI&#10;AQAADwAAAGRycy9kb3ducmV2LnhtbE2PzU7DMBCE70i8g7VI3Fo7Ff0hZNMDiCuIFpC4ufE2iYjX&#10;Uew24e3ZnuA4O6PZb4rt5Dt1piG2gRGyuQFFXAXXco3wvn+ebUDFZNnZLjAh/FCEbXl9VdjchZHf&#10;6LxLtZISjrlFaFLqc61j1ZC3cR56YvGOYfA2iRxq7QY7Srnv9MKYlfa2ZfnQ2J4eG6q+dyeP8PFy&#10;/Pq8M6/1k1/2Y5iMZn+vEW9vMvMAKtGU/sJwwRd0KIXpEE7souoQZtlGtiSE5RrUxV+sRB8Q1nLX&#10;ZaH/Dyh/AVBLAwQUAAAACACHTuJAxbbQ470BAABtAwAADgAAAGRycy9lMm9Eb2MueG1srVNLbtsw&#10;EN0X6B0I7mPKiRM0guUAhZFuirZAmgPQ1NAiIH7KoS35Au0Nuuqm+57L5+hQUpxPN1l0Qw3n8zjv&#10;zWh509uW7SGi8a7i81nBGTjla+O2Fb//env2jjNM0tWy9Q4qfgDkN6u3b5ZdKOHcN76tITICcVh2&#10;oeJNSqEUAlUDVuLMB3AU1D5amegat6KOsiN024rzorgSnY91iF4BInnXY5BPiPE1gF5ro2Dt1c6C&#10;SyNqhFYmooSNCchXQ7dag0qftUZIrK04MU3DSY+QvcmnWC1luY0yNEZNLcjXtPCCk5XG0aMnqLVM&#10;ku2i+QfKGhU9ep1mylsxEhkUIRbz4oU2d40MMHAhqTGcRMf/B6s+7b9EZuqKX1wtOHPS0siPP38c&#10;f/05/v7OspMk6gKWlHkXKDf1731Pi/PgR3Jm5r2ONn+JE6M4CXw4CQx9Yoqc1/PFoqCIotDi8npe&#10;XGYU8VgcIqYP4C3LRsUjzW+QVe4/YhpTH1LyW87fmrYdZti6Zw7CHD0wLMFUnXmM/WYr9Zt+Irfx&#10;9YG4dbQIFcdvOxmBs12IZttQGwNXkUtoCkO/08bkMT+9k/30L1n9B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BMq/SfVAAAACAEAAA8AAAAAAAAAAQAgAAAAIgAAAGRycy9kb3ducmV2LnhtbFBLAQIU&#10;ABQAAAAIAIdO4kDFttDjvQEAAG0DAAAOAAAAAAAAAAEAIAAAACQBAABkcnMvZTJvRG9jLnhtbFBL&#10;BQYAAAAABgAGAFkBAABTBQAAAAA=&#10;">
                <v:fill on="f" focussize="0,0"/>
                <v:stroke on="f"/>
                <v:imagedata o:title=""/>
                <o:lock v:ext="edit" aspectratio="f"/>
                <v:textbox>
                  <w:txbxContent>
                    <w:p w14:paraId="3F1CB16B">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提交竣工支付申请</w:t>
                      </w:r>
                    </w:p>
                  </w:txbxContent>
                </v:textbox>
              </v:shape>
            </w:pict>
          </mc:Fallback>
        </mc:AlternateContent>
      </w:r>
      <w:r>
        <w:rPr>
          <w:rFonts w:hint="default" w:ascii="Times New Roman" w:hAnsi="Times New Roman" w:cs="Times New Roman"/>
          <w:color w:val="auto"/>
          <w:sz w:val="22"/>
          <w:szCs w:val="22"/>
          <w:highlight w:val="none"/>
        </w:rPr>
        <w:t>合同双方当事人应在专用条款中明确结算款的支付时限。专用条款没有约定的，结算款支付按照第83.2款至第83.5款规定办理。涉及政府投资资金的工程</w:t>
      </w:r>
      <w:r>
        <w:rPr>
          <w:rFonts w:hint="default" w:ascii="Times New Roman" w:hAnsi="Times New Roman" w:cs="Times New Roman"/>
          <w:color w:val="auto"/>
          <w:sz w:val="22"/>
          <w:szCs w:val="22"/>
          <w:highlight w:val="none"/>
          <w:lang w:eastAsia="zh-CN"/>
        </w:rPr>
        <w:t>，</w:t>
      </w:r>
      <w:r>
        <w:rPr>
          <w:rFonts w:hint="default" w:ascii="Times New Roman" w:hAnsi="Times New Roman" w:cs="Times New Roman"/>
          <w:color w:val="auto"/>
          <w:sz w:val="22"/>
          <w:szCs w:val="22"/>
          <w:highlight w:val="none"/>
        </w:rPr>
        <w:t>支付期、支付方法等需调整的，应在专用条款中约定。</w:t>
      </w:r>
    </w:p>
    <w:p w14:paraId="68982166">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承包人应按照第82.2款规定在向造价工程师递交竣工结算文件时，根据国家、省规定的格式向造价工程师递交由承包人代表签认的竣工结算支付申请和竣工结算款额报告一式四份，并附上完整的结算资料，详细列出下列内容，同时抄送发包人、监理工程师各一份。</w:t>
      </w:r>
    </w:p>
    <w:p w14:paraId="00AFFDB6">
      <w:pPr>
        <w:pStyle w:val="15"/>
        <w:tabs>
          <w:tab w:val="left" w:pos="2641"/>
        </w:tabs>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（1）根据合同完成全部或所有工程的总造价；</w:t>
      </w:r>
    </w:p>
    <w:p w14:paraId="1BA986FA">
      <w:pPr>
        <w:pStyle w:val="15"/>
        <w:tabs>
          <w:tab w:val="left" w:pos="2641"/>
        </w:tabs>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（2）根据合同约定发包人应付的所有款项。</w:t>
      </w:r>
    </w:p>
    <w:p w14:paraId="32067B99">
      <w:pPr>
        <w:pStyle w:val="15"/>
        <w:tabs>
          <w:tab w:val="left" w:pos="2641"/>
        </w:tabs>
        <w:adjustRightInd w:val="0"/>
        <w:snapToGrid w:val="0"/>
        <w:spacing w:line="420" w:lineRule="exact"/>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rPr>
        <w:t xml:space="preserve">83.2  </w:t>
      </w:r>
      <w:r>
        <w:rPr>
          <w:rFonts w:hint="default" w:ascii="Times New Roman" w:hAnsi="Times New Roman" w:cs="Times New Roman"/>
          <w:b/>
          <w:bCs/>
          <w:color w:val="auto"/>
          <w:sz w:val="22"/>
          <w:szCs w:val="22"/>
          <w:highlight w:val="none"/>
          <w:u w:val="dotted"/>
        </w:rPr>
        <w:t xml:space="preserve">                                                                                                        </w:t>
      </w:r>
    </w:p>
    <w:p w14:paraId="50C07D8C">
      <w:pPr>
        <w:pStyle w:val="15"/>
        <w:adjustRightInd w:val="0"/>
        <w:snapToGrid w:val="0"/>
        <w:spacing w:line="420" w:lineRule="exact"/>
        <w:ind w:left="1619" w:leftChars="771"/>
        <w:rPr>
          <w:rFonts w:hint="default" w:ascii="Times New Roman" w:hAnsi="Times New Roman" w:cs="Times New Roman"/>
          <w:color w:val="auto"/>
          <w:sz w:val="22"/>
          <w:szCs w:val="22"/>
          <w:highlight w:val="none"/>
          <w:u w:val="singl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26880" behindDoc="0" locked="0" layoutInCell="1" allowOverlap="1">
                <wp:simplePos x="0" y="0"/>
                <wp:positionH relativeFrom="column">
                  <wp:posOffset>-114300</wp:posOffset>
                </wp:positionH>
                <wp:positionV relativeFrom="paragraph">
                  <wp:posOffset>15875</wp:posOffset>
                </wp:positionV>
                <wp:extent cx="914400" cy="718185"/>
                <wp:effectExtent l="0" t="0" r="0" b="0"/>
                <wp:wrapNone/>
                <wp:docPr id="365" name="文本框 365"/>
                <wp:cNvGraphicFramePr/>
                <a:graphic xmlns:a="http://schemas.openxmlformats.org/drawingml/2006/main">
                  <a:graphicData uri="http://schemas.microsoft.com/office/word/2010/wordprocessingShape">
                    <wps:wsp>
                      <wps:cNvSpPr txBox="1"/>
                      <wps:spPr>
                        <a:xfrm>
                          <a:off x="0" y="0"/>
                          <a:ext cx="914400" cy="718185"/>
                        </a:xfrm>
                        <a:prstGeom prst="rect">
                          <a:avLst/>
                        </a:prstGeom>
                        <a:noFill/>
                        <a:ln>
                          <a:noFill/>
                        </a:ln>
                        <a:effectLst/>
                      </wps:spPr>
                      <wps:txbx>
                        <w:txbxContent>
                          <w:p w14:paraId="56208E43">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签发竣工结算支付证书</w:t>
                            </w:r>
                          </w:p>
                        </w:txbxContent>
                      </wps:txbx>
                      <wps:bodyPr wrap="square" upright="1"/>
                    </wps:wsp>
                  </a:graphicData>
                </a:graphic>
              </wp:anchor>
            </w:drawing>
          </mc:Choice>
          <mc:Fallback>
            <w:pict>
              <v:shape id="_x0000_s1026" o:spid="_x0000_s1026" o:spt="202" type="#_x0000_t202" style="position:absolute;left:0pt;margin-left:-9pt;margin-top:1.25pt;height:56.55pt;width:72pt;z-index:252026880;mso-width-relative:page;mso-height-relative:page;" filled="f" stroked="f" coordsize="21600,21600" o:gfxdata="UEsDBAoAAAAAAIdO4kAAAAAAAAAAAAAAAAAEAAAAZHJzL1BLAwQUAAAACACHTuJAQZCALtYAAAAJ&#10;AQAADwAAAGRycy9kb3ducmV2LnhtbE2PwU7DMBBE70j8g7VIvbV2oiYqIU4PrbiCKAWJmxtvk4h4&#10;HcVuE/6e7QluO5rR7JtyO7teXHEMnScNyUqBQKq97ajRcHx/Xm5AhGjImt4TavjBANvq/q40hfUT&#10;veH1EBvBJRQKo6GNcSikDHWLzoSVH5DYO/vRmchybKQdzcTlrpepUrl0piP+0JoBdy3W34eL0/Dx&#10;cv76XKvXZu+yYfKzkuQepdaLh0Q9gYg4x78w3PAZHSpmOvkL2SB6Dctkw1uihjQDcfPTnPWJjyTL&#10;QVal/L+g+gVQSwMEFAAAAAgAh07iQN68rF+9AQAAbQMAAA4AAABkcnMvZTJvRG9jLnhtbK1TzY7T&#10;MBC+I/EOlu80ybIsJWq6EqqWCwKkhQdwnUljyX943CZ9AXgDTly481x9jh072bIslz1wccbz83m+&#10;byar69FodoCAytmGV4uSM7DStcruGv7l882LJWcYhW2FdhYafgTk1+vnz1aDr+HC9U63EBiBWKwH&#10;3/A+Rl8XBcoejMCF82Ap2LlgRKRr2BVtEAOhG11clOVVMbjQ+uAkIJJ3MwX5jBieAui6TknYOLk3&#10;YOOEGkCLSJSwVx75OnfbdSDjx65DiEw3nJjGfNIjZG/TWaxXot4F4Xsl5xbEU1p4xMkIZenRM9RG&#10;RMH2Qf0DZZQMDl0XF9KZYiKSFSEWVflIm9teeMhcSGr0Z9Hx/8HKD4dPgam24S+vXnFmhaGRn358&#10;P/38ffr1jSUnSTR4rCnz1lNuHN+6kRbn3o/kTMzHLpj0JU6M4iTw8SwwjJFJcr6pLi9LikgKva6W&#10;1TKjF3+KfcD4DpxhyWh4oPllWcXhPUZqhFLvU9Jb1t0orfMMtf3LQYmTB/ISzNWJx9RvsuK4HWdy&#10;W9ceidtAi9Bw/LoXATjb+6B2PbWRuRaphKaQm5g3Jo354Z3sh3/J+g5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BkIAu1gAAAAkBAAAPAAAAAAAAAAEAIAAAACIAAABkcnMvZG93bnJldi54bWxQSwEC&#10;FAAUAAAACACHTuJA3rysX70BAABtAwAADgAAAAAAAAABACAAAAAlAQAAZHJzL2Uyb0RvYy54bWxQ&#10;SwUGAAAAAAYABgBZAQAAVAUAAAAA&#10;">
                <v:fill on="f" focussize="0,0"/>
                <v:stroke on="f"/>
                <v:imagedata o:title=""/>
                <o:lock v:ext="edit" aspectratio="f"/>
                <v:textbox>
                  <w:txbxContent>
                    <w:p w14:paraId="56208E43">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签发竣工结算支付证书</w:t>
                      </w:r>
                    </w:p>
                  </w:txbxContent>
                </v:textbox>
              </v:shape>
            </w:pict>
          </mc:Fallback>
        </mc:AlternateContent>
      </w:r>
      <w:r>
        <w:rPr>
          <w:rFonts w:hint="default" w:ascii="Times New Roman" w:hAnsi="Times New Roman" w:cs="Times New Roman"/>
          <w:color w:val="auto"/>
          <w:sz w:val="22"/>
          <w:szCs w:val="22"/>
          <w:highlight w:val="none"/>
        </w:rPr>
        <w:t>造价工程师在收到上述资料后，应按照第82.3款、第82.4款规定核实竣工结算文件，并在发包人签字确认竣工结算文件后的7天内，向发包人签发竣工结算支付证书，同时抄送承包人。</w:t>
      </w:r>
    </w:p>
    <w:p w14:paraId="2E2643F7">
      <w:pPr>
        <w:pStyle w:val="15"/>
        <w:adjustRightInd w:val="0"/>
        <w:snapToGrid w:val="0"/>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83.3</w:t>
      </w:r>
      <w:r>
        <w:rPr>
          <w:rFonts w:hint="default" w:ascii="Times New Roman" w:hAnsi="Times New Roman" w:cs="Times New Roman"/>
          <w:color w:val="auto"/>
          <w:sz w:val="22"/>
          <w:szCs w:val="22"/>
          <w:highlight w:val="none"/>
        </w:rPr>
        <w:t xml:space="preserve">  </w:t>
      </w:r>
      <w:r>
        <w:rPr>
          <w:rFonts w:hint="default" w:ascii="Times New Roman" w:hAnsi="Times New Roman" w:cs="Times New Roman"/>
          <w:color w:val="auto"/>
          <w:sz w:val="22"/>
          <w:szCs w:val="22"/>
          <w:highlight w:val="none"/>
          <w:u w:val="dotted"/>
        </w:rPr>
        <w:t xml:space="preserve">                                                                                                       </w:t>
      </w:r>
    </w:p>
    <w:p w14:paraId="3F2D0310">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27904" behindDoc="0" locked="0" layoutInCell="1" allowOverlap="1">
                <wp:simplePos x="0" y="0"/>
                <wp:positionH relativeFrom="column">
                  <wp:posOffset>-114300</wp:posOffset>
                </wp:positionH>
                <wp:positionV relativeFrom="paragraph">
                  <wp:posOffset>5715</wp:posOffset>
                </wp:positionV>
                <wp:extent cx="914400" cy="396240"/>
                <wp:effectExtent l="0" t="0" r="0" b="0"/>
                <wp:wrapNone/>
                <wp:docPr id="366" name="文本框 366"/>
                <wp:cNvGraphicFramePr/>
                <a:graphic xmlns:a="http://schemas.openxmlformats.org/drawingml/2006/main">
                  <a:graphicData uri="http://schemas.microsoft.com/office/word/2010/wordprocessingShape">
                    <wps:wsp>
                      <wps:cNvSpPr txBox="1"/>
                      <wps:spPr>
                        <a:xfrm>
                          <a:off x="0" y="0"/>
                          <a:ext cx="914400" cy="396240"/>
                        </a:xfrm>
                        <a:prstGeom prst="rect">
                          <a:avLst/>
                        </a:prstGeom>
                        <a:noFill/>
                        <a:ln>
                          <a:noFill/>
                        </a:ln>
                        <a:effectLst/>
                      </wps:spPr>
                      <wps:txbx>
                        <w:txbxContent>
                          <w:p w14:paraId="43F86DC6">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竣工结算款支付</w:t>
                            </w:r>
                          </w:p>
                        </w:txbxContent>
                      </wps:txbx>
                      <wps:bodyPr wrap="square" upright="1"/>
                    </wps:wsp>
                  </a:graphicData>
                </a:graphic>
              </wp:anchor>
            </w:drawing>
          </mc:Choice>
          <mc:Fallback>
            <w:pict>
              <v:shape id="_x0000_s1026" o:spid="_x0000_s1026" o:spt="202" type="#_x0000_t202" style="position:absolute;left:0pt;margin-left:-9pt;margin-top:0.45pt;height:31.2pt;width:72pt;z-index:252027904;mso-width-relative:page;mso-height-relative:page;" filled="f" stroked="f" coordsize="21600,21600" o:gfxdata="UEsDBAoAAAAAAIdO4kAAAAAAAAAAAAAAAAAEAAAAZHJzL1BLAwQUAAAACACHTuJAZECmpdUAAAAH&#10;AQAADwAAAGRycy9kb3ducmV2LnhtbE2PzW7CMBCE75X6DtZW6g3sQBtByIYDqNdW5adSbyZekoh4&#10;HcWGpG9fc2qPoxnNfJOvR9uKG/W+cYyQTBUI4tKZhiuEw/5tsgDhg2ajW8eE8EMe1sXjQ64z4wb+&#10;pNsuVCKWsM80Qh1Cl0npy5qs9lPXEUfv7HqrQ5R9JU2vh1huWzlTKpVWNxwXat3RpqbysrtahOP7&#10;+fvrRX1UW/vaDW5Uku1SIj4/JWoFItAY/sJwx4/oUESmk7uy8aJFmCSL+CUgLEHc7Vka5Qkhnc9B&#10;Frn8z1/8AlBLAwQUAAAACACHTuJAm1c2pr4BAABtAwAADgAAAGRycy9lMm9Eb2MueG1srVNLbtsw&#10;EN0X6B0I7mvJjmE0guUAgZFuirZA2gPQ1NAiIH7CoS35Au0Nuuqm+57L5+iQUtw03WTRDTWcz+O8&#10;N6P1zWA6doSA2tmaz2clZ2Cla7Td1/zL57s3bznDKGwjOmeh5idAfrN5/Wrd+woWrnVdA4ERiMWq&#10;9zVvY/RVUaBswQicOQ+WgsoFIyJdw75ogugJ3XTFoixXRe9C44OTgEje7RjkE2J4CaBTSkvYOnkw&#10;YOOIGqATkShhqz3yTe5WKZDxo1IIkXU1J6Yxn/QI2bt0Fpu1qPZB+FbLqQXxkhaecTJCW3r0ArUV&#10;UbBD0P9AGS2DQ6fiTDpTjESyIsRiXj7T5r4VHjIXkhr9RXT8f7Dyw/FTYLqp+dVqxZkVhkZ+/v7t&#10;/OPX+edXlpwkUe+xosx7T7lxuHUDLc6jH8mZmA8qmPQlToziJPDpIjAMkUlyXs+Xy5IikkJX16vF&#10;Mg+g+FPsA8Z34AxLRs0DzS/LKo7vMVIjlPqYkt6y7k53XZ5hZ/9yUOLogbwEU3XiMfabrDjshonc&#10;zjUn4tbTItQcHw4iAGcHH/S+pTYy1yKV0BRyE9PGpDE/vZP99C/Z/A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kQKal1QAAAAcBAAAPAAAAAAAAAAEAIAAAACIAAABkcnMvZG93bnJldi54bWxQSwEC&#10;FAAUAAAACACHTuJAm1c2pr4BAABtAwAADgAAAAAAAAABACAAAAAkAQAAZHJzL2Uyb0RvYy54bWxQ&#10;SwUGAAAAAAYABgBZAQAAVAUAAAAA&#10;">
                <v:fill on="f" focussize="0,0"/>
                <v:stroke on="f"/>
                <v:imagedata o:title=""/>
                <o:lock v:ext="edit" aspectratio="f"/>
                <v:textbox>
                  <w:txbxContent>
                    <w:p w14:paraId="43F86DC6">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竣工结算款支付</w:t>
                      </w:r>
                    </w:p>
                  </w:txbxContent>
                </v:textbox>
              </v:shape>
            </w:pict>
          </mc:Fallback>
        </mc:AlternateContent>
      </w:r>
      <w:r>
        <w:rPr>
          <w:rFonts w:hint="default" w:ascii="Times New Roman" w:hAnsi="Times New Roman" w:cs="Times New Roman"/>
          <w:color w:val="auto"/>
          <w:sz w:val="22"/>
          <w:szCs w:val="22"/>
          <w:highlight w:val="none"/>
        </w:rPr>
        <w:t>发包人应在造价工程师签发竣工结算支付证书后的28天内，按照竣工结算支付证书列明的金额向承包人支付结算款，并通知造价工程师。</w:t>
      </w:r>
    </w:p>
    <w:p w14:paraId="7C9202F5">
      <w:pPr>
        <w:pStyle w:val="15"/>
        <w:tabs>
          <w:tab w:val="left" w:pos="1320"/>
        </w:tabs>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83.4  </w:t>
      </w:r>
      <w:r>
        <w:rPr>
          <w:rFonts w:hint="default" w:ascii="Times New Roman" w:hAnsi="Times New Roman" w:cs="Times New Roman"/>
          <w:b/>
          <w:bCs/>
          <w:color w:val="auto"/>
          <w:sz w:val="22"/>
          <w:szCs w:val="22"/>
          <w:highlight w:val="none"/>
          <w:u w:val="dotted"/>
        </w:rPr>
        <w:t xml:space="preserve">                                                                                                        </w:t>
      </w:r>
    </w:p>
    <w:p w14:paraId="5A9C0B48">
      <w:pPr>
        <w:pStyle w:val="15"/>
        <w:adjustRightInd w:val="0"/>
        <w:snapToGrid w:val="0"/>
        <w:spacing w:line="420" w:lineRule="exact"/>
        <w:ind w:left="1678" w:leftChars="799" w:firstLine="2"/>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28928" behindDoc="0" locked="0" layoutInCell="1" allowOverlap="1">
                <wp:simplePos x="0" y="0"/>
                <wp:positionH relativeFrom="column">
                  <wp:posOffset>-66675</wp:posOffset>
                </wp:positionH>
                <wp:positionV relativeFrom="paragraph">
                  <wp:posOffset>12065</wp:posOffset>
                </wp:positionV>
                <wp:extent cx="1047750" cy="829310"/>
                <wp:effectExtent l="0" t="0" r="0" b="0"/>
                <wp:wrapNone/>
                <wp:docPr id="367" name="文本框 367"/>
                <wp:cNvGraphicFramePr/>
                <a:graphic xmlns:a="http://schemas.openxmlformats.org/drawingml/2006/main">
                  <a:graphicData uri="http://schemas.microsoft.com/office/word/2010/wordprocessingShape">
                    <wps:wsp>
                      <wps:cNvSpPr txBox="1"/>
                      <wps:spPr>
                        <a:xfrm>
                          <a:off x="0" y="0"/>
                          <a:ext cx="1047750" cy="829310"/>
                        </a:xfrm>
                        <a:prstGeom prst="rect">
                          <a:avLst/>
                        </a:prstGeom>
                        <a:noFill/>
                        <a:ln>
                          <a:noFill/>
                        </a:ln>
                        <a:effectLst/>
                      </wps:spPr>
                      <wps:txbx>
                        <w:txbxContent>
                          <w:p w14:paraId="2C493CFB">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签发竣工结算</w:t>
                            </w:r>
                          </w:p>
                          <w:p w14:paraId="26B85F10">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支付证书的限</w:t>
                            </w:r>
                          </w:p>
                          <w:p w14:paraId="32225726">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制</w:t>
                            </w:r>
                          </w:p>
                        </w:txbxContent>
                      </wps:txbx>
                      <wps:bodyPr wrap="square" upright="1"/>
                    </wps:wsp>
                  </a:graphicData>
                </a:graphic>
              </wp:anchor>
            </w:drawing>
          </mc:Choice>
          <mc:Fallback>
            <w:pict>
              <v:shape id="_x0000_s1026" o:spid="_x0000_s1026" o:spt="202" type="#_x0000_t202" style="position:absolute;left:0pt;margin-left:-5.25pt;margin-top:0.95pt;height:65.3pt;width:82.5pt;z-index:252028928;mso-width-relative:page;mso-height-relative:page;" filled="f" stroked="f" coordsize="21600,21600" o:gfxdata="UEsDBAoAAAAAAIdO4kAAAAAAAAAAAAAAAAAEAAAAZHJzL1BLAwQUAAAACACHTuJA9NBqndUAAAAJ&#10;AQAADwAAAGRycy9kb3ducmV2LnhtbE2PzU7DMBCE70i8g7VI3Np1SoNoiNMDiCuI8iNxc+NtEhGv&#10;o9htwtuzPcFtR99odqbczr5XJxpjF9hAttSgiOvgOm4MvL89Le5AxWTZ2T4wGfihCNvq8qK0hQsT&#10;v9JplxolIRwLa6BNaSgQY92St3EZBmJhhzB6m0SODbrRThLue1xpfYvediwfWjvQQ0v19+7oDXw8&#10;H74+1/qlefT5MIVZI/sNGnN9lel7UInm9GeGc32pDpV02ocju6h6A4tM52IVsAF15vla9F6Om1UO&#10;WJX4f0H1C1BLAwQUAAAACACHTuJA/l5TTL4BAABuAwAADgAAAGRycy9lMm9Eb2MueG1srVPNjtMw&#10;EL4j8Q6W7zRpF7ZL1HQlVC0XBEgLD+A6k8aS//C4TfoC8AacuHDnufocjJ1sWXYve9iLM56fz/N9&#10;M1ldD0azAwRUztZ8Pis5Aytdo+yu5l+/3Ly64gyjsI3QzkLNj4D8ev3yxar3FSxc53QDgRGIxar3&#10;Ne9i9FVRoOzACJw5D5aCrQtGRLqGXdEE0RO60cWiLC+L3oXGBycBkbybMcgnxPAUQNe2SsLGyb0B&#10;G0fUAFpEooSd8sjXudu2BRk/tS1CZLrmxDTmkx4he5vOYr0S1S4I3yk5tSCe0sIDTkYoS4+eoTYi&#10;CrYP6hGUUTI4dG2cSWeKkUhWhFjMywfa3HbCQ+ZCUqM/i47PBys/Hj4HppqaX1wuObPC0MhPP3+c&#10;fv05/f7OkpMk6j1WlHnrKTcO79xAi3PnR3Im5kMbTPoSJ0ZxEvh4FhiGyGQqKl8vl28oJCl2tXh7&#10;Mc8TKP5V+4DxPTjDklHzQAPMuorDB4zUCaXepaTHrLtRWuchavufgxJHD+QtmKoTkbHhZMVhO0zs&#10;tq45ErmeNqHm+G0vAnC290HtOmojky1SCY0hNzGtTJrz/TvZ93+T9V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00Gqd1QAAAAkBAAAPAAAAAAAAAAEAIAAAACIAAABkcnMvZG93bnJldi54bWxQSwEC&#10;FAAUAAAACACHTuJA/l5TTL4BAABuAwAADgAAAAAAAAABACAAAAAkAQAAZHJzL2Uyb0RvYy54bWxQ&#10;SwUGAAAAAAYABgBZAQAAVAUAAAAA&#10;">
                <v:fill on="f" focussize="0,0"/>
                <v:stroke on="f"/>
                <v:imagedata o:title=""/>
                <o:lock v:ext="edit" aspectratio="f"/>
                <v:textbox>
                  <w:txbxContent>
                    <w:p w14:paraId="2C493CFB">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签发竣工结算</w:t>
                      </w:r>
                    </w:p>
                    <w:p w14:paraId="26B85F10">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支付证书的限</w:t>
                      </w:r>
                    </w:p>
                    <w:p w14:paraId="32225726">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制</w:t>
                      </w:r>
                    </w:p>
                  </w:txbxContent>
                </v:textbox>
              </v:shape>
            </w:pict>
          </mc:Fallback>
        </mc:AlternateContent>
      </w:r>
      <w:r>
        <w:rPr>
          <w:rFonts w:hint="default" w:ascii="Times New Roman" w:hAnsi="Times New Roman" w:cs="Times New Roman"/>
          <w:color w:val="auto"/>
          <w:sz w:val="22"/>
          <w:szCs w:val="22"/>
          <w:highlight w:val="none"/>
        </w:rPr>
        <w:t>如果造价工程师未在第83.2款规定的期限内签发竣工结算支付证书的，则视为承包人提交的竣工支付申请已被认可，承包人应及时向发包人发出要求支付竣工结算款的通知。发包人应在收到通知后的28天内，按照承包人支付申请列明的金额向承包人支付竣工结算款。</w:t>
      </w:r>
    </w:p>
    <w:p w14:paraId="40F63FA7">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83.5  </w:t>
      </w:r>
      <w:r>
        <w:rPr>
          <w:rFonts w:hint="default" w:ascii="Times New Roman" w:hAnsi="Times New Roman" w:cs="Times New Roman"/>
          <w:b/>
          <w:bCs/>
          <w:color w:val="auto"/>
          <w:sz w:val="22"/>
          <w:szCs w:val="22"/>
          <w:highlight w:val="none"/>
          <w:u w:val="dotted"/>
        </w:rPr>
        <w:t xml:space="preserve">                                                                                                        </w:t>
      </w:r>
    </w:p>
    <w:p w14:paraId="36DFFBE4">
      <w:pPr>
        <w:pStyle w:val="15"/>
        <w:adjustRightInd w:val="0"/>
        <w:snapToGrid w:val="0"/>
        <w:spacing w:line="420" w:lineRule="exact"/>
        <w:ind w:left="1680" w:leftChars="8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29952" behindDoc="0" locked="0" layoutInCell="1" allowOverlap="1">
                <wp:simplePos x="0" y="0"/>
                <wp:positionH relativeFrom="column">
                  <wp:posOffset>-114300</wp:posOffset>
                </wp:positionH>
                <wp:positionV relativeFrom="paragraph">
                  <wp:posOffset>58420</wp:posOffset>
                </wp:positionV>
                <wp:extent cx="914400" cy="407670"/>
                <wp:effectExtent l="0" t="0" r="0" b="0"/>
                <wp:wrapNone/>
                <wp:docPr id="368" name="文本框 368"/>
                <wp:cNvGraphicFramePr/>
                <a:graphic xmlns:a="http://schemas.openxmlformats.org/drawingml/2006/main">
                  <a:graphicData uri="http://schemas.microsoft.com/office/word/2010/wordprocessingShape">
                    <wps:wsp>
                      <wps:cNvSpPr txBox="1"/>
                      <wps:spPr>
                        <a:xfrm>
                          <a:off x="0" y="0"/>
                          <a:ext cx="914400" cy="407670"/>
                        </a:xfrm>
                        <a:prstGeom prst="rect">
                          <a:avLst/>
                        </a:prstGeom>
                        <a:noFill/>
                        <a:ln>
                          <a:noFill/>
                        </a:ln>
                        <a:effectLst/>
                      </wps:spPr>
                      <wps:txbx>
                        <w:txbxContent>
                          <w:p w14:paraId="572750CF">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竣工结算款支付的限制</w:t>
                            </w:r>
                          </w:p>
                        </w:txbxContent>
                      </wps:txbx>
                      <wps:bodyPr wrap="square" upright="1"/>
                    </wps:wsp>
                  </a:graphicData>
                </a:graphic>
              </wp:anchor>
            </w:drawing>
          </mc:Choice>
          <mc:Fallback>
            <w:pict>
              <v:shape id="_x0000_s1026" o:spid="_x0000_s1026" o:spt="202" type="#_x0000_t202" style="position:absolute;left:0pt;margin-left:-9pt;margin-top:4.6pt;height:32.1pt;width:72pt;z-index:252029952;mso-width-relative:page;mso-height-relative:page;" filled="f" stroked="f" coordsize="21600,21600" o:gfxdata="UEsDBAoAAAAAAIdO4kAAAAAAAAAAAAAAAAAEAAAAZHJzL1BLAwQUAAAACACHTuJASssy49YAAAAI&#10;AQAADwAAAGRycy9kb3ducmV2LnhtbE2PzU7DMBCE70i8g7WVuLV2QulPyKYHEFcQpa3EzY23SdR4&#10;HcVuE94e9wTH0Yxmvsk3o23FlXrfOEZIZgoEcelMwxXC7uttugLhg2ajW8eE8EMeNsX9Xa4z4wb+&#10;pOs2VCKWsM80Qh1Cl0npy5qs9jPXEUfv5HqrQ5R9JU2vh1huW5kqtZBWNxwXat3RS03leXuxCPv3&#10;0/dhrj6qV/vUDW5Uku1aIj5MEvUMItAY/sJww4/oUESmo7uw8aJFmCar+CUgrFMQNz9dRH1EWD7O&#10;QRa5/H+g+AVQSwMEFAAAAAgAh07iQJbFM069AQAAbQMAAA4AAABkcnMvZTJvRG9jLnhtbK1TS27b&#10;MBDdF8gdCO5ryanhtILlAIWRbIq2QNoD0NTIIsBfObQlXyC5QVfddN9z+RwdUoqbppssuqGG83mc&#10;92a0uh6MZgcIqJyt+XxWcgZWukbZXc2/frl5/ZYzjMI2QjsLNT8C8uv1xatV7yu4dJ3TDQRGIBar&#10;3te8i9FXRYGyAyNw5jxYCrYuGBHpGnZFE0RP6EYXl2W5LHoXGh+cBETybsYgnxDDSwBd2yoJGyf3&#10;BmwcUQNoEYkSdsojX+du2xZk/NS2CJHpmhPTmE96hOxtOov1SlS7IHyn5NSCeEkLzzgZoSw9eoba&#10;iCjYPqh/oIySwaFr40w6U4xEsiLEYl4+0+auEx4yF5Ia/Vl0/H+w8uPhc2CqqfmbJQ3eCkMjP31/&#10;OP34dfp5z5KTJOo9VpR55yk3Du/dQIvz6EdyJuZDG0z6EidGcRL4eBYYhsgkOd/NF4uSIpJCi/Jq&#10;eZUHUPwp9gHjLTjDklHzQPPLsorDB4zUCKU+pqS3rLtRWucZavuXgxJHD+QlmKoTj7HfZMVhO0zk&#10;tq45EreeFqHm+G0vAnC290HtOmojcy1SCU0hNzFtTBrz0zvZT/+S9W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KyzLj1gAAAAgBAAAPAAAAAAAAAAEAIAAAACIAAABkcnMvZG93bnJldi54bWxQSwEC&#10;FAAUAAAACACHTuJAlsUzTr0BAABtAwAADgAAAAAAAAABACAAAAAlAQAAZHJzL2Uyb0RvYy54bWxQ&#10;SwUGAAAAAAYABgBZAQAAVAUAAAAA&#10;">
                <v:fill on="f" focussize="0,0"/>
                <v:stroke on="f"/>
                <v:imagedata o:title=""/>
                <o:lock v:ext="edit" aspectratio="f"/>
                <v:textbox>
                  <w:txbxContent>
                    <w:p w14:paraId="572750CF">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竣工结算款支付的限制</w:t>
                      </w:r>
                    </w:p>
                  </w:txbxContent>
                </v:textbox>
              </v:shape>
            </w:pict>
          </mc:Fallback>
        </mc:AlternateContent>
      </w:r>
      <w:r>
        <w:rPr>
          <w:rFonts w:hint="default" w:ascii="Times New Roman" w:hAnsi="Times New Roman" w:cs="Times New Roman"/>
          <w:color w:val="auto"/>
          <w:sz w:val="22"/>
          <w:szCs w:val="22"/>
          <w:highlight w:val="none"/>
        </w:rPr>
        <w:t>发包人未按照第83.3款和第83.4款规定支付竣工结算款的，承包人可催告发包人支付竣工结算款，如双方达成延期支付协议，承包人有权按照第78.2款规定获得延期支付的利息。</w:t>
      </w:r>
    </w:p>
    <w:p w14:paraId="1128CBE1">
      <w:pPr>
        <w:pStyle w:val="15"/>
        <w:adjustRightInd w:val="0"/>
        <w:snapToGrid w:val="0"/>
        <w:spacing w:line="420" w:lineRule="exact"/>
        <w:ind w:left="1680" w:leftChars="8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发包人在收到竣工结算支付证书后的56天内仍未支付竣工结算款，合同双方当事人又未达成延期支付协议的，除法律另有规定外，承包人可与发包人协商将该永久工程折价，也可直接向人民法院申请将该永久工程依法拍卖。承包人就该永久工程折价或拍卖的价款优先受偿。</w:t>
      </w:r>
    </w:p>
    <w:p w14:paraId="178A2B49">
      <w:pPr>
        <w:pStyle w:val="15"/>
        <w:adjustRightInd w:val="0"/>
        <w:snapToGrid w:val="0"/>
        <w:spacing w:line="420" w:lineRule="exact"/>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7A19569D">
      <w:pPr>
        <w:pStyle w:val="15"/>
        <w:tabs>
          <w:tab w:val="left" w:pos="540"/>
        </w:tabs>
        <w:adjustRightInd w:val="0"/>
        <w:snapToGrid w:val="0"/>
        <w:spacing w:before="240" w:beforeLines="100" w:line="420" w:lineRule="exact"/>
        <w:outlineLvl w:val="2"/>
        <w:rPr>
          <w:rFonts w:hint="default" w:ascii="Times New Roman" w:hAnsi="Times New Roman" w:cs="Times New Roman"/>
          <w:b/>
          <w:bCs/>
          <w:color w:val="auto"/>
          <w:sz w:val="22"/>
          <w:szCs w:val="22"/>
          <w:highlight w:val="none"/>
        </w:rPr>
      </w:pPr>
      <w:bookmarkStart w:id="269" w:name="_Toc20860"/>
      <w:bookmarkStart w:id="270" w:name="_Toc469384068"/>
      <w:r>
        <w:rPr>
          <w:rFonts w:hint="default" w:ascii="Times New Roman" w:hAnsi="Times New Roman" w:cs="Times New Roman"/>
          <w:b/>
          <w:bCs/>
          <w:color w:val="auto"/>
          <w:sz w:val="22"/>
          <w:szCs w:val="22"/>
          <w:highlight w:val="none"/>
        </w:rPr>
        <w:t>★84  质量保证金</w:t>
      </w:r>
      <w:bookmarkEnd w:id="269"/>
      <w:bookmarkEnd w:id="270"/>
    </w:p>
    <w:p w14:paraId="2DDF8C6F">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84.1     </w:t>
      </w:r>
    </w:p>
    <w:p w14:paraId="2655DF9E">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30976" behindDoc="0" locked="0" layoutInCell="1" allowOverlap="1">
                <wp:simplePos x="0" y="0"/>
                <wp:positionH relativeFrom="column">
                  <wp:posOffset>-114300</wp:posOffset>
                </wp:positionH>
                <wp:positionV relativeFrom="paragraph">
                  <wp:posOffset>8255</wp:posOffset>
                </wp:positionV>
                <wp:extent cx="914400" cy="396240"/>
                <wp:effectExtent l="0" t="0" r="0" b="0"/>
                <wp:wrapNone/>
                <wp:docPr id="369" name="文本框 369"/>
                <wp:cNvGraphicFramePr/>
                <a:graphic xmlns:a="http://schemas.openxmlformats.org/drawingml/2006/main">
                  <a:graphicData uri="http://schemas.microsoft.com/office/word/2010/wordprocessingShape">
                    <wps:wsp>
                      <wps:cNvSpPr txBox="1"/>
                      <wps:spPr>
                        <a:xfrm>
                          <a:off x="0" y="0"/>
                          <a:ext cx="914400" cy="396240"/>
                        </a:xfrm>
                        <a:prstGeom prst="rect">
                          <a:avLst/>
                        </a:prstGeom>
                        <a:noFill/>
                        <a:ln>
                          <a:noFill/>
                        </a:ln>
                        <a:effectLst/>
                      </wps:spPr>
                      <wps:txbx>
                        <w:txbxContent>
                          <w:p w14:paraId="6045170F">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质量保证金的用途和限制</w:t>
                            </w:r>
                          </w:p>
                        </w:txbxContent>
                      </wps:txbx>
                      <wps:bodyPr wrap="square" upright="1"/>
                    </wps:wsp>
                  </a:graphicData>
                </a:graphic>
              </wp:anchor>
            </w:drawing>
          </mc:Choice>
          <mc:Fallback>
            <w:pict>
              <v:shape id="_x0000_s1026" o:spid="_x0000_s1026" o:spt="202" type="#_x0000_t202" style="position:absolute;left:0pt;margin-left:-9pt;margin-top:0.65pt;height:31.2pt;width:72pt;z-index:252030976;mso-width-relative:page;mso-height-relative:page;" filled="f" stroked="f" coordsize="21600,21600" o:gfxdata="UEsDBAoAAAAAAIdO4kAAAAAAAAAAAAAAAAAEAAAAZHJzL1BLAwQUAAAACACHTuJAlrdoltUAAAAI&#10;AQAADwAAAGRycy9kb3ducmV2LnhtbE2PQU/CQBCF7yb+h82QeIPdglas3XLQeJWISsJt6Q5tQ3e2&#10;6S60/nuGkxxfvsmb7+Wr0bXijH1oPGlIZgoEUultQ5WGn++P6RJEiIasaT2hhj8MsCru73KTWT/Q&#10;F543sRJcQiEzGuoYu0zKUNboTJj5DonZwffORI59JW1vBi53rZwrlUpnGuIPtenwrcbyuDk5Db+f&#10;h932Ua2rd/fUDX5UktyL1PphkqhXEBHH+H8MV31Wh4Kd9v5ENohWwzRZ8pbIYAHiyucp572GdPEM&#10;ssjl7YDiAlBLAwQUAAAACACHTuJAEkQ6tr0BAABtAwAADgAAAGRycy9lMm9Eb2MueG1srVPNjtMw&#10;EL4j8Q6W79Rpt6po1HQlVC0XBEgLD+A6k8ZS/IPHbdIXgDfgxIU7z9XnYOxky7Jc9sDFGc/P5/m+&#10;mWxuB9OxEwTUzlZ8Pis4A6tcre2h4p8/3b16zRlGaWvZOQsVPwPy2+3LF5vel7BwretqCIxALJa9&#10;r3gboy+FQNWCkThzHiwFGxeMjHQNB1EH2RO66cSiKFaid6H2wSlAJO9uDPIJMTwH0DWNVrBz6mjA&#10;xhE1QCcjUcJWe+Tb3G3TgIofmgYhsq7ixDTmkx4he59Osd3I8hCkb7WaWpDPaeEJJyO1pUevUDsZ&#10;JTsG/Q+U0So4dE2cKWfESCQrQizmxRNt7lvpIXMhqdFfRcf/B6venz4GpuuK36zWnFlpaOSX798u&#10;P35dfn5lyUkS9R5Lyrz3lBuHN26gxXnwIzkT86EJJn2JE6M4CXy+CgxDZIqc6/lyWVBEUehmvVos&#10;8wDEn2IfML4FZ1gyKh5ofllWeXqHkRqh1IeU9JZ1d7rr8gw7+5eDEkcP5CWYqhOPsd9kxWE/TOT2&#10;rj4Tt54WoeL45SgDcHb0QR9aaiNzFamEppCbmDYmjfnxnezHf8n2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a3aJbVAAAACAEAAA8AAAAAAAAAAQAgAAAAIgAAAGRycy9kb3ducmV2LnhtbFBLAQIU&#10;ABQAAAAIAIdO4kASRDq2vQEAAG0DAAAOAAAAAAAAAAEAIAAAACQBAABkcnMvZTJvRG9jLnhtbFBL&#10;BQYAAAAABgAGAFkBAABTBQAAAAA=&#10;">
                <v:fill on="f" focussize="0,0"/>
                <v:stroke on="f"/>
                <v:imagedata o:title=""/>
                <o:lock v:ext="edit" aspectratio="f"/>
                <v:textbox>
                  <w:txbxContent>
                    <w:p w14:paraId="6045170F">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质量保证金的用途和限制</w:t>
                      </w:r>
                    </w:p>
                  </w:txbxContent>
                </v:textbox>
              </v:shape>
            </w:pict>
          </mc:Fallback>
        </mc:AlternateContent>
      </w:r>
      <w:r>
        <w:rPr>
          <w:rFonts w:hint="default" w:ascii="Times New Roman" w:hAnsi="Times New Roman" w:cs="Times New Roman"/>
          <w:color w:val="auto"/>
          <w:sz w:val="22"/>
          <w:szCs w:val="22"/>
          <w:highlight w:val="none"/>
        </w:rPr>
        <w:t>质量保证金用于承包人对合同工程质量的担保。承包人未按照法律有关规定和合同约定履行质量保修义务的，发包人有权从质量保证金中扣留用于质量保修的各项支出。</w:t>
      </w:r>
    </w:p>
    <w:p w14:paraId="518CEE99">
      <w:pPr>
        <w:pStyle w:val="15"/>
        <w:tabs>
          <w:tab w:val="left" w:pos="900"/>
        </w:tabs>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84.2  </w:t>
      </w:r>
      <w:r>
        <w:rPr>
          <w:rFonts w:hint="default" w:ascii="Times New Roman" w:hAnsi="Times New Roman" w:cs="Times New Roman"/>
          <w:b/>
          <w:bCs/>
          <w:color w:val="auto"/>
          <w:sz w:val="22"/>
          <w:szCs w:val="22"/>
          <w:highlight w:val="none"/>
          <w:u w:val="dotted"/>
        </w:rPr>
        <w:t xml:space="preserve">                                                                                                       </w:t>
      </w:r>
    </w:p>
    <w:p w14:paraId="2D405893">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合同双方当事人应在专用条款中约定质量保证金金额</w:t>
      </w: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32000" behindDoc="0" locked="0" layoutInCell="1" allowOverlap="1">
                <wp:simplePos x="0" y="0"/>
                <wp:positionH relativeFrom="column">
                  <wp:posOffset>-114300</wp:posOffset>
                </wp:positionH>
                <wp:positionV relativeFrom="paragraph">
                  <wp:posOffset>20320</wp:posOffset>
                </wp:positionV>
                <wp:extent cx="914400" cy="519430"/>
                <wp:effectExtent l="0" t="0" r="0" b="0"/>
                <wp:wrapNone/>
                <wp:docPr id="370" name="文本框 370"/>
                <wp:cNvGraphicFramePr/>
                <a:graphic xmlns:a="http://schemas.openxmlformats.org/drawingml/2006/main">
                  <a:graphicData uri="http://schemas.microsoft.com/office/word/2010/wordprocessingShape">
                    <wps:wsp>
                      <wps:cNvSpPr txBox="1"/>
                      <wps:spPr>
                        <a:xfrm>
                          <a:off x="0" y="0"/>
                          <a:ext cx="914400" cy="519430"/>
                        </a:xfrm>
                        <a:prstGeom prst="rect">
                          <a:avLst/>
                        </a:prstGeom>
                        <a:noFill/>
                        <a:ln>
                          <a:noFill/>
                        </a:ln>
                        <a:effectLst/>
                      </wps:spPr>
                      <wps:txbx>
                        <w:txbxContent>
                          <w:p w14:paraId="2DE93B4F">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质量保证金的约定与扣留</w:t>
                            </w:r>
                          </w:p>
                        </w:txbxContent>
                      </wps:txbx>
                      <wps:bodyPr wrap="square" upright="1"/>
                    </wps:wsp>
                  </a:graphicData>
                </a:graphic>
              </wp:anchor>
            </w:drawing>
          </mc:Choice>
          <mc:Fallback>
            <w:pict>
              <v:shape id="_x0000_s1026" o:spid="_x0000_s1026" o:spt="202" type="#_x0000_t202" style="position:absolute;left:0pt;margin-left:-9pt;margin-top:1.6pt;height:40.9pt;width:72pt;z-index:252032000;mso-width-relative:page;mso-height-relative:page;" filled="f" stroked="f" coordsize="21600,21600" o:gfxdata="UEsDBAoAAAAAAIdO4kAAAAAAAAAAAAAAAAAEAAAAZHJzL1BLAwQUAAAACACHTuJAUlFbxNUAAAAI&#10;AQAADwAAAGRycy9kb3ducmV2LnhtbE2PzW7CMBCE75V4B2uRegM7aUFpmg0HUK9FpT9SbyZekqjx&#10;OooNCW9fc2qPoxnNfFNsJtuJCw2+dYyQLBUI4sqZlmuEj/eXRQbCB81Gd44J4UoeNuXsrtC5cSO/&#10;0eUQahFL2OcaoQmhz6X0VUNW+6XriaN3coPVIcqhlmbQYyy3nUyVWkurW44Lje5p21D1czhbhM/X&#10;0/fXo9rXO7vqRzcpyfZJIt7PE/UMItAU/sJww4/oUEamozuz8aJDWCRZ/BIQHlIQNz9dR31EyFYK&#10;ZFnI/wfKX1BLAwQUAAAACACHTuJAfrHuhr0BAABtAwAADgAAAGRycy9lMm9Eb2MueG1srVNLbtsw&#10;EN0X6B0I7mvJifuJYDlAYSSboi2Q5AA0NbII8BcObckXaG/QVTfd91w+R4aU4qbpJotuqOF8Hue9&#10;GS0vB6PZHgIqZ2s+n5WcgZWuUXZb87vbqzcfOMMobCO0s1DzAyC/XL1+tex9BWeuc7qBwAjEYtX7&#10;mncx+qooUHZgBM6cB0vB1gUjIl3DtmiC6And6OKsLN8VvQuND04CInnXY5BPiOElgK5tlYS1kzsD&#10;No6oAbSIRAk75ZGvcrdtCzJ+aVuEyHTNiWnMJz1C9iadxWopqm0QvlNyakG8pIVnnIxQlh49Qa1F&#10;FGwX1D9QRsng0LVxJp0pRiJZEWIxL59pc9MJD5kLSY3+JDr+P1j5ef81MNXU/Pw9aWKFoZEff3w/&#10;/vx9/PWNJSdJ1HusKPPGU24cPrqBFufRj+RMzIc2mPQlToziBHY4CQxDZJKcF/PFoqSIpNDb+cXi&#10;PKMXf4p9wHgNzrBk1DzQ/LKsYv8JIzVCqY8p6S3rrpTWeYba/uWgxNEDeQmm6sRj7DdZcdgME7mN&#10;aw7EradFqDne70QAznY+qG1HbWSuRSqhKeQmpo1JY356J/vpX7J6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FJRW8TVAAAACAEAAA8AAAAAAAAAAQAgAAAAIgAAAGRycy9kb3ducmV2LnhtbFBLAQIU&#10;ABQAAAAIAIdO4kB+se6GvQEAAG0DAAAOAAAAAAAAAAEAIAAAACQBAABkcnMvZTJvRG9jLnhtbFBL&#10;BQYAAAAABgAGAFkBAABTBQAAAAA=&#10;">
                <v:fill on="f" focussize="0,0"/>
                <v:stroke on="f"/>
                <v:imagedata o:title=""/>
                <o:lock v:ext="edit" aspectratio="f"/>
                <v:textbox>
                  <w:txbxContent>
                    <w:p w14:paraId="2DE93B4F">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质量保证金的约定与扣留</w:t>
                      </w:r>
                    </w:p>
                  </w:txbxContent>
                </v:textbox>
              </v:shape>
            </w:pict>
          </mc:Fallback>
        </mc:AlternateContent>
      </w:r>
      <w:r>
        <w:rPr>
          <w:rFonts w:hint="default" w:ascii="Times New Roman" w:hAnsi="Times New Roman" w:cs="Times New Roman"/>
          <w:color w:val="auto"/>
          <w:sz w:val="22"/>
          <w:szCs w:val="22"/>
          <w:highlight w:val="none"/>
        </w:rPr>
        <w:t>。除专用条款另有约定外，质量保证金为合同价款的3％（采取银行保函）。发包人应按照该比例从每支付期应支付给承包人的进度款或结算款中扣留，直到扣留的质量保证金总额达到专用条款约定的金额为止。</w:t>
      </w:r>
    </w:p>
    <w:p w14:paraId="13ED5DAE">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84.3  </w:t>
      </w:r>
      <w:r>
        <w:rPr>
          <w:rFonts w:hint="default" w:ascii="Times New Roman" w:hAnsi="Times New Roman" w:cs="Times New Roman"/>
          <w:b/>
          <w:bCs/>
          <w:color w:val="auto"/>
          <w:sz w:val="22"/>
          <w:szCs w:val="22"/>
          <w:highlight w:val="none"/>
          <w:u w:val="dotted"/>
        </w:rPr>
        <w:t xml:space="preserve">                                                                                                       </w:t>
      </w:r>
    </w:p>
    <w:p w14:paraId="36C518C1">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33024" behindDoc="0" locked="0" layoutInCell="1" allowOverlap="1">
                <wp:simplePos x="0" y="0"/>
                <wp:positionH relativeFrom="column">
                  <wp:posOffset>-114300</wp:posOffset>
                </wp:positionH>
                <wp:positionV relativeFrom="paragraph">
                  <wp:posOffset>45720</wp:posOffset>
                </wp:positionV>
                <wp:extent cx="914400" cy="462915"/>
                <wp:effectExtent l="0" t="0" r="0" b="0"/>
                <wp:wrapNone/>
                <wp:docPr id="371" name="文本框 371"/>
                <wp:cNvGraphicFramePr/>
                <a:graphic xmlns:a="http://schemas.openxmlformats.org/drawingml/2006/main">
                  <a:graphicData uri="http://schemas.microsoft.com/office/word/2010/wordprocessingShape">
                    <wps:wsp>
                      <wps:cNvSpPr txBox="1"/>
                      <wps:spPr>
                        <a:xfrm>
                          <a:off x="0" y="0"/>
                          <a:ext cx="914400" cy="462915"/>
                        </a:xfrm>
                        <a:prstGeom prst="rect">
                          <a:avLst/>
                        </a:prstGeom>
                        <a:noFill/>
                        <a:ln>
                          <a:noFill/>
                        </a:ln>
                        <a:effectLst/>
                      </wps:spPr>
                      <wps:txbx>
                        <w:txbxContent>
                          <w:p w14:paraId="733FAD4C">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质量保证金返还</w:t>
                            </w:r>
                          </w:p>
                        </w:txbxContent>
                      </wps:txbx>
                      <wps:bodyPr wrap="square" upright="1"/>
                    </wps:wsp>
                  </a:graphicData>
                </a:graphic>
              </wp:anchor>
            </w:drawing>
          </mc:Choice>
          <mc:Fallback>
            <w:pict>
              <v:shape id="_x0000_s1026" o:spid="_x0000_s1026" o:spt="202" type="#_x0000_t202" style="position:absolute;left:0pt;margin-left:-9pt;margin-top:3.6pt;height:36.45pt;width:72pt;z-index:252033024;mso-width-relative:page;mso-height-relative:page;" filled="f" stroked="f" coordsize="21600,21600" o:gfxdata="UEsDBAoAAAAAAIdO4kAAAAAAAAAAAAAAAAAEAAAAZHJzL1BLAwQUAAAACACHTuJAqldgVtUAAAAI&#10;AQAADwAAAGRycy9kb3ducmV2LnhtbE2PwU7DMBBE70j9B2srcWvtRFDSkE0PrbiCaAGpNzfeJhHx&#10;OordJvw97gmOoxnNvCk2k+3ElQbfOkZIlgoEceVMyzXCx+FlkYHwQbPRnWNC+CEPm3J2V+jcuJHf&#10;6boPtYgl7HON0ITQ51L6qiGr/dL1xNE7u8HqEOVQSzPoMZbbTqZKraTVLceFRve0baj63l8swufr&#10;+fj1oN7qnX3sRzcpyXYtEe/niXoGEWgKf2G44Ud0KCPTyV3YeNEhLJIsfgkITymIm5+uoj4hZCoB&#10;WRby/4HyF1BLAwQUAAAACACHTuJAMj/sGb0BAABtAwAADgAAAGRycy9lMm9Eb2MueG1srVNLbtsw&#10;EN0XyB0I7mtJrps2guUAgZFuirZA2gPQ1NAiIH7CoS35Au0Nuuqm+57L58hQUtx8NllkQw3n8zjv&#10;zWh52ZuW7SGgdrbixSznDKx0tbbbiv/4fv32I2cYha1F6yxU/ADIL1dnb5adL2HuGtfWEBiBWCw7&#10;X/EmRl9mGcoGjMCZ82ApqFwwItI1bLM6iI7QTZvN8/w861yofXASEMm7HoN8QgwvAXRKaQlrJ3cG&#10;bBxRA7QiEiVstEe+GrpVCmT8qhRCZG3FiWkcTnqE7E06s9VSlNsgfKPl1IJ4SQtPOBmhLT16glqL&#10;KNgu6GdQRsvg0Kk4k85kI5FBEWJR5E+0uWmEh4ELSY3+JDq+Hqz8sv8WmK4r/u5DwZkVhkZ+/P3r&#10;+Off8e9PlpwkUeexpMwbT7mxv3I9Lc69H8mZmPcqmPQlToziJPDhJDD0kUlyXhSLRU4RSaHF+fyi&#10;eJ9Qsv/FPmD8BM6wZFQ80PwGWcX+M8Yx9T4lvWXdtW7bYYatfeQgzNEDwxJM1YnH2G+yYr/pJ3Ib&#10;Vx+IW0eLUHG83YkAnO180NuG2hi4ZqmEpjD0O21MGvPDO9kP/5LVH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pXYFbVAAAACAEAAA8AAAAAAAAAAQAgAAAAIgAAAGRycy9kb3ducmV2LnhtbFBLAQIU&#10;ABQAAAAIAIdO4kAyP+wZvQEAAG0DAAAOAAAAAAAAAAEAIAAAACQBAABkcnMvZTJvRG9jLnhtbFBL&#10;BQYAAAAABgAGAFkBAABTBQAAAAA=&#10;">
                <v:fill on="f" focussize="0,0"/>
                <v:stroke on="f"/>
                <v:imagedata o:title=""/>
                <o:lock v:ext="edit" aspectratio="f"/>
                <v:textbox>
                  <w:txbxContent>
                    <w:p w14:paraId="733FAD4C">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质量保证金返还</w:t>
                      </w:r>
                    </w:p>
                  </w:txbxContent>
                </v:textbox>
              </v:shape>
            </w:pict>
          </mc:Fallback>
        </mc:AlternateContent>
      </w:r>
      <w:r>
        <w:rPr>
          <w:rFonts w:hint="default" w:ascii="Times New Roman" w:hAnsi="Times New Roman" w:cs="Times New Roman"/>
          <w:color w:val="auto"/>
          <w:sz w:val="22"/>
          <w:szCs w:val="22"/>
          <w:highlight w:val="none"/>
        </w:rPr>
        <w:t>缺陷责任期（包括第59.2款延长的期限）满时，承包人应向发包人申请到期应返还的剩余质量保证金金额。发包人如无异议，应在缺陷责任期满后的14天内将剩余的质量保证金返还给承包人。剩余质量保证金的返还，并不能免除承包人按照合同约定应承担的质量保修责任和应履行的质量保修义务。发包人在退还质量保证金的同时按照中国人民银行发布的同期同类贷款基准利率支付利息。</w:t>
      </w:r>
    </w:p>
    <w:p w14:paraId="382B0DE7">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84.4  </w:t>
      </w:r>
      <w:r>
        <w:rPr>
          <w:rFonts w:hint="default" w:ascii="Times New Roman" w:hAnsi="Times New Roman" w:cs="Times New Roman"/>
          <w:b/>
          <w:bCs/>
          <w:color w:val="auto"/>
          <w:sz w:val="22"/>
          <w:szCs w:val="22"/>
          <w:highlight w:val="none"/>
          <w:u w:val="dotted"/>
        </w:rPr>
        <w:t xml:space="preserve">                                                                                                       </w:t>
      </w:r>
    </w:p>
    <w:p w14:paraId="620FE664">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34048" behindDoc="0" locked="0" layoutInCell="1" allowOverlap="1">
                <wp:simplePos x="0" y="0"/>
                <wp:positionH relativeFrom="column">
                  <wp:posOffset>-114300</wp:posOffset>
                </wp:positionH>
                <wp:positionV relativeFrom="paragraph">
                  <wp:posOffset>45720</wp:posOffset>
                </wp:positionV>
                <wp:extent cx="914400" cy="462915"/>
                <wp:effectExtent l="0" t="0" r="0" b="0"/>
                <wp:wrapNone/>
                <wp:docPr id="372" name="文本框 372"/>
                <wp:cNvGraphicFramePr/>
                <a:graphic xmlns:a="http://schemas.openxmlformats.org/drawingml/2006/main">
                  <a:graphicData uri="http://schemas.microsoft.com/office/word/2010/wordprocessingShape">
                    <wps:wsp>
                      <wps:cNvSpPr txBox="1"/>
                      <wps:spPr>
                        <a:xfrm>
                          <a:off x="0" y="0"/>
                          <a:ext cx="914400" cy="462915"/>
                        </a:xfrm>
                        <a:prstGeom prst="rect">
                          <a:avLst/>
                        </a:prstGeom>
                        <a:noFill/>
                        <a:ln>
                          <a:noFill/>
                        </a:ln>
                        <a:effectLst/>
                      </wps:spPr>
                      <wps:txbx>
                        <w:txbxContent>
                          <w:p w14:paraId="054C5DC2">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质量保证金扣留</w:t>
                            </w:r>
                          </w:p>
                        </w:txbxContent>
                      </wps:txbx>
                      <wps:bodyPr wrap="square" upright="1"/>
                    </wps:wsp>
                  </a:graphicData>
                </a:graphic>
              </wp:anchor>
            </w:drawing>
          </mc:Choice>
          <mc:Fallback>
            <w:pict>
              <v:shape id="_x0000_s1026" o:spid="_x0000_s1026" o:spt="202" type="#_x0000_t202" style="position:absolute;left:0pt;margin-left:-9pt;margin-top:3.6pt;height:36.45pt;width:72pt;z-index:252034048;mso-width-relative:page;mso-height-relative:page;" filled="f" stroked="f" coordsize="21600,21600" o:gfxdata="UEsDBAoAAAAAAIdO4kAAAAAAAAAAAAAAAAAEAAAAZHJzL1BLAwQUAAAACACHTuJAqldgVtUAAAAI&#10;AQAADwAAAGRycy9kb3ducmV2LnhtbE2PwU7DMBBE70j9B2srcWvtRFDSkE0PrbiCaAGpNzfeJhHx&#10;OordJvw97gmOoxnNvCk2k+3ElQbfOkZIlgoEceVMyzXCx+FlkYHwQbPRnWNC+CEPm3J2V+jcuJHf&#10;6boPtYgl7HON0ITQ51L6qiGr/dL1xNE7u8HqEOVQSzPoMZbbTqZKraTVLceFRve0baj63l8swufr&#10;+fj1oN7qnX3sRzcpyXYtEe/niXoGEWgKf2G44Ud0KCPTyV3YeNEhLJIsfgkITymIm5+uoj4hZCoB&#10;WRby/4HyF1BLAwQUAAAACACHTuJAZTnax70BAABtAwAADgAAAGRycy9lMm9Eb2MueG1srVPNjtMw&#10;EL4j8Q6W79RpKQsbNV0JVcsFAdLCA7jOpLEU/+Bxm/QF4A04ceHOc/U5duxky/5c9sDFGc/P5/m+&#10;mayuBtOxAwTUzlZ8Pis4A6tcre2u4t++Xr96xxlGaWvZOQsVPwLyq/XLF6vel7BwretqCIxALJa9&#10;r3gboy+FQNWCkThzHiwFGxeMjHQNO1EH2RO66cSiKC5E70Ltg1OASN7NGOQTYngOoGsarWDj1N6A&#10;jSNqgE5GooSt9sjXudumARU/Nw1CZF3FiWnMJz1C9jadYr2S5S5I32o1tSCf08IjTkZqS4+eoTYy&#10;SrYP+gmU0So4dE2cKWfESCQrQizmxSNtblrpIXMhqdGfRcf/B6s+Hb4EpuuKv3674MxKQyM//fp5&#10;+v339OcHS06SqPdYUuaNp9w4vHcDLc6dH8mZmA9NMOlLnBjFSeDjWWAYIlPkvJwvlwVFFIWWF4vL&#10;+ZuEIv4V+4DxAzjDklHxQPPLssrDR4xj6l1Kesu6a911eYadfeAgzNEDeQmm6sRj7DdZcdgOE7mt&#10;q4/EradFqDh+38sAnO190LuW2shcRSqhKeR+p41JY75/J/v+X7K+B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pXYFbVAAAACAEAAA8AAAAAAAAAAQAgAAAAIgAAAGRycy9kb3ducmV2LnhtbFBLAQIU&#10;ABQAAAAIAIdO4kBlOdrHvQEAAG0DAAAOAAAAAAAAAAEAIAAAACQBAABkcnMvZTJvRG9jLnhtbFBL&#10;BQYAAAAABgAGAFkBAABTBQAAAAA=&#10;">
                <v:fill on="f" focussize="0,0"/>
                <v:stroke on="f"/>
                <v:imagedata o:title=""/>
                <o:lock v:ext="edit" aspectratio="f"/>
                <v:textbox>
                  <w:txbxContent>
                    <w:p w14:paraId="054C5DC2">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质量保证金扣留</w:t>
                      </w:r>
                    </w:p>
                  </w:txbxContent>
                </v:textbox>
              </v:shape>
            </w:pict>
          </mc:Fallback>
        </mc:AlternateContent>
      </w:r>
      <w:r>
        <w:rPr>
          <w:rFonts w:hint="default" w:ascii="Times New Roman" w:hAnsi="Times New Roman" w:cs="Times New Roman"/>
          <w:color w:val="auto"/>
          <w:sz w:val="22"/>
          <w:szCs w:val="22"/>
          <w:highlight w:val="none"/>
        </w:rPr>
        <w:t>缺陷责任期（包括第59.2款延长的期限）满时，承包人没有完成缺陷责任的，发包人有权扣留承包人未完成缺陷责任剩余工作所需的部分质量保证金余额，并有权根据第59.2款约定要求延长缺陷责任期，直到完成剩余工作为止。</w:t>
      </w:r>
    </w:p>
    <w:p w14:paraId="7C953E39">
      <w:pPr>
        <w:pStyle w:val="15"/>
        <w:adjustRightInd w:val="0"/>
        <w:snapToGrid w:val="0"/>
        <w:spacing w:line="420" w:lineRule="exact"/>
        <w:ind w:right="-238"/>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27F5872E">
      <w:pPr>
        <w:pStyle w:val="15"/>
        <w:tabs>
          <w:tab w:val="left" w:pos="540"/>
        </w:tabs>
        <w:adjustRightInd w:val="0"/>
        <w:snapToGrid w:val="0"/>
        <w:spacing w:before="240" w:beforeLines="100" w:line="420" w:lineRule="exact"/>
        <w:outlineLvl w:val="2"/>
        <w:rPr>
          <w:rFonts w:hint="default" w:ascii="Times New Roman" w:hAnsi="Times New Roman" w:cs="Times New Roman"/>
          <w:b/>
          <w:bCs/>
          <w:color w:val="auto"/>
          <w:sz w:val="22"/>
          <w:szCs w:val="22"/>
          <w:highlight w:val="none"/>
        </w:rPr>
      </w:pPr>
      <w:bookmarkStart w:id="271" w:name="_Toc4433"/>
      <w:r>
        <w:rPr>
          <w:rFonts w:hint="default" w:ascii="Times New Roman" w:hAnsi="Times New Roman" w:cs="Times New Roman"/>
          <w:b/>
          <w:bCs/>
          <w:color w:val="auto"/>
          <w:sz w:val="22"/>
          <w:szCs w:val="22"/>
          <w:highlight w:val="none"/>
        </w:rPr>
        <w:t>85  最终清算款</w:t>
      </w:r>
      <w:bookmarkEnd w:id="271"/>
    </w:p>
    <w:p w14:paraId="199C6CE7">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85.1     </w:t>
      </w:r>
    </w:p>
    <w:p w14:paraId="50897549">
      <w:pPr>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35072" behindDoc="0" locked="0" layoutInCell="1" allowOverlap="1">
                <wp:simplePos x="0" y="0"/>
                <wp:positionH relativeFrom="column">
                  <wp:posOffset>-114300</wp:posOffset>
                </wp:positionH>
                <wp:positionV relativeFrom="paragraph">
                  <wp:posOffset>74295</wp:posOffset>
                </wp:positionV>
                <wp:extent cx="914400" cy="396240"/>
                <wp:effectExtent l="0" t="0" r="0" b="0"/>
                <wp:wrapNone/>
                <wp:docPr id="373" name="文本框 373"/>
                <wp:cNvGraphicFramePr/>
                <a:graphic xmlns:a="http://schemas.openxmlformats.org/drawingml/2006/main">
                  <a:graphicData uri="http://schemas.microsoft.com/office/word/2010/wordprocessingShape">
                    <wps:wsp>
                      <wps:cNvSpPr txBox="1"/>
                      <wps:spPr>
                        <a:xfrm>
                          <a:off x="0" y="0"/>
                          <a:ext cx="914400" cy="396240"/>
                        </a:xfrm>
                        <a:prstGeom prst="rect">
                          <a:avLst/>
                        </a:prstGeom>
                        <a:noFill/>
                        <a:ln>
                          <a:noFill/>
                        </a:ln>
                        <a:effectLst/>
                      </wps:spPr>
                      <wps:txbx>
                        <w:txbxContent>
                          <w:p w14:paraId="662FA1C7">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提交最终清算支付申请</w:t>
                            </w:r>
                          </w:p>
                        </w:txbxContent>
                      </wps:txbx>
                      <wps:bodyPr wrap="square" upright="1"/>
                    </wps:wsp>
                  </a:graphicData>
                </a:graphic>
              </wp:anchor>
            </w:drawing>
          </mc:Choice>
          <mc:Fallback>
            <w:pict>
              <v:shape id="_x0000_s1026" o:spid="_x0000_s1026" o:spt="202" type="#_x0000_t202" style="position:absolute;left:0pt;margin-left:-9pt;margin-top:5.85pt;height:31.2pt;width:72pt;z-index:252035072;mso-width-relative:page;mso-height-relative:page;" filled="f" stroked="f" coordsize="21600,21600" o:gfxdata="UEsDBAoAAAAAAIdO4kAAAAAAAAAAAAAAAAAEAAAAZHJzL1BLAwQUAAAACACHTuJAgPIgVtYAAAAJ&#10;AQAADwAAAGRycy9kb3ducmV2LnhtbE2PzU7DMBCE70h9B2uRuLW2q9KWEKeHIq4g+oPEzY23SUS8&#10;jmK3CW/P9gTHnRnNfpNvRt+KK/axCWRAzxQIpDK4hioDh/3rdA0iJkvOtoHQwA9G2BSTu9xmLgz0&#10;gdddqgSXUMysgTqlLpMyljV6G2ehQ2LvHHpvE599JV1vBy73rZwrtZTeNsQfatvhtsbye3fxBo5v&#10;56/PhXqvXvxjN4RRSfJP0piHe62eQSQc018YbviMDgUzncKFXBStgale85bEhl6BuAXmSxZOBlYL&#10;DbLI5f8FxS9QSwMEFAAAAAgAh07iQOwKUky9AQAAbQMAAA4AAABkcnMvZTJvRG9jLnhtbK1TS47U&#10;MBDdI3EHy3s66Y8GJur0SKg1bBAgDXMAt1PpWPIPl7uTvgDcgBUb9pyrz0HZyTTDsJkFG6dcn+d6&#10;ryrrm8FodoSAytmaz2clZ2Cla5Td1/z+8+2rN5xhFLYR2lmo+QmQ32xevlj3voKF65xuIDACsVj1&#10;vuZdjL4qCpQdGIEz58FSsHXBiEjXsC+aIHpCN7pYlOVV0bvQ+OAkIJJ3Owb5hBieA+jaVknYOnkw&#10;YOOIGkCLSJSwUx75JnfbtiDjx7ZFiEzXnJjGfNIjZO/SWWzWotoH4TslpxbEc1p4wskIZenRC9RW&#10;RMEOQf0DZZQMDl0bZ9KZYiSSFSEW8/KJNned8JC5kNToL6Lj/4OVH46fAlNNzZevl5xZYWjk5+/f&#10;zj9+nX9+ZclJEvUeK8q885Qbh7duoMV58CM5E/OhDSZ9iROjOAl8uggMQ2SSnNfz1aqkiKTQ8vpq&#10;scoDKP4U+4DxHTjDklHzQPPLsorje4zUCKU+pKS3rLtVWucZavuXgxJHD+QlmKoTj7HfZMVhN0zk&#10;dq45EbeeFqHm+OUgAnB28EHtO2ojcy1SCU0hNzFtTBrz4zvZj/+SzW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A8iBW1gAAAAkBAAAPAAAAAAAAAAEAIAAAACIAAABkcnMvZG93bnJldi54bWxQSwEC&#10;FAAUAAAACACHTuJA7ApSTL0BAABtAwAADgAAAAAAAAABACAAAAAlAQAAZHJzL2Uyb0RvYy54bWxQ&#10;SwUGAAAAAAYABgBZAQAAVAUAAAAA&#10;">
                <v:fill on="f" focussize="0,0"/>
                <v:stroke on="f"/>
                <v:imagedata o:title=""/>
                <o:lock v:ext="edit" aspectratio="f"/>
                <v:textbox>
                  <w:txbxContent>
                    <w:p w14:paraId="662FA1C7">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提交最终清算支付申请</w:t>
                      </w:r>
                    </w:p>
                  </w:txbxContent>
                </v:textbox>
              </v:shape>
            </w:pict>
          </mc:Fallback>
        </mc:AlternateContent>
      </w:r>
      <w:r>
        <w:rPr>
          <w:rFonts w:hint="default" w:ascii="Times New Roman" w:hAnsi="Times New Roman" w:cs="Times New Roman"/>
          <w:color w:val="auto"/>
          <w:sz w:val="22"/>
          <w:szCs w:val="22"/>
          <w:highlight w:val="none"/>
        </w:rPr>
        <w:t>合同双方当事人应在专用条款中明确最终清算款的支付时限。专用条款没有约定的</w:t>
      </w:r>
      <w:r>
        <w:rPr>
          <w:rFonts w:hint="default" w:ascii="Times New Roman" w:hAnsi="Times New Roman" w:cs="Times New Roman"/>
          <w:color w:val="auto"/>
          <w:sz w:val="22"/>
          <w:szCs w:val="22"/>
          <w:highlight w:val="none"/>
          <w:lang w:eastAsia="zh-CN"/>
        </w:rPr>
        <w:t>，</w:t>
      </w:r>
      <w:r>
        <w:rPr>
          <w:rFonts w:hint="default" w:ascii="Times New Roman" w:hAnsi="Times New Roman" w:cs="Times New Roman"/>
          <w:color w:val="auto"/>
          <w:sz w:val="22"/>
          <w:szCs w:val="22"/>
          <w:highlight w:val="none"/>
        </w:rPr>
        <w:t>最终清算款按照第85.2款至第85.5款规定办理。涉及政府投资资金的工程，支付期、支付方法等需调整的，应在专用条款中约定。</w:t>
      </w:r>
    </w:p>
    <w:p w14:paraId="2E515C09">
      <w:pPr>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缺陷责任期终止证书签发后，承包人应按照专用条款约定的份数和期限向造价工程师提交最终清算支付申请，并提供相关证明材料。发包人对最终清算支付申请有异议的，有权要求承包人进一步修正和提供补充资料。承包人修正后，应再次向造价工程师提交修正后的最终清算支付申请。</w:t>
      </w:r>
    </w:p>
    <w:p w14:paraId="16249FB4">
      <w:pPr>
        <w:pStyle w:val="15"/>
        <w:tabs>
          <w:tab w:val="left" w:pos="900"/>
        </w:tabs>
        <w:adjustRightInd w:val="0"/>
        <w:snapToGrid w:val="0"/>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85.2</w:t>
      </w:r>
      <w:r>
        <w:rPr>
          <w:rFonts w:hint="default" w:ascii="Times New Roman" w:hAnsi="Times New Roman" w:cs="Times New Roman"/>
          <w:color w:val="auto"/>
          <w:sz w:val="22"/>
          <w:szCs w:val="22"/>
          <w:highlight w:val="none"/>
        </w:rPr>
        <w:t xml:space="preserve">  </w:t>
      </w:r>
      <w:r>
        <w:rPr>
          <w:rFonts w:hint="default" w:ascii="Times New Roman" w:hAnsi="Times New Roman" w:cs="Times New Roman"/>
          <w:color w:val="auto"/>
          <w:sz w:val="22"/>
          <w:szCs w:val="22"/>
          <w:highlight w:val="none"/>
          <w:u w:val="dotted"/>
        </w:rPr>
        <w:t xml:space="preserve">                                                                                                       </w:t>
      </w:r>
    </w:p>
    <w:p w14:paraId="277A694A">
      <w:pPr>
        <w:pStyle w:val="15"/>
        <w:adjustRightInd w:val="0"/>
        <w:snapToGrid w:val="0"/>
        <w:spacing w:line="420" w:lineRule="exact"/>
        <w:ind w:left="1619" w:leftChars="771"/>
        <w:rPr>
          <w:rFonts w:hint="default" w:ascii="Times New Roman" w:hAnsi="Times New Roman" w:cs="Times New Roman"/>
          <w:color w:val="auto"/>
          <w:sz w:val="22"/>
          <w:szCs w:val="22"/>
          <w:highlight w:val="none"/>
          <w:u w:val="singl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36096" behindDoc="0" locked="0" layoutInCell="1" allowOverlap="1">
                <wp:simplePos x="0" y="0"/>
                <wp:positionH relativeFrom="column">
                  <wp:posOffset>-114300</wp:posOffset>
                </wp:positionH>
                <wp:positionV relativeFrom="paragraph">
                  <wp:posOffset>8890</wp:posOffset>
                </wp:positionV>
                <wp:extent cx="1028700" cy="462915"/>
                <wp:effectExtent l="0" t="0" r="0" b="0"/>
                <wp:wrapNone/>
                <wp:docPr id="374" name="文本框 374"/>
                <wp:cNvGraphicFramePr/>
                <a:graphic xmlns:a="http://schemas.openxmlformats.org/drawingml/2006/main">
                  <a:graphicData uri="http://schemas.microsoft.com/office/word/2010/wordprocessingShape">
                    <wps:wsp>
                      <wps:cNvSpPr txBox="1"/>
                      <wps:spPr>
                        <a:xfrm>
                          <a:off x="0" y="0"/>
                          <a:ext cx="1028700" cy="462915"/>
                        </a:xfrm>
                        <a:prstGeom prst="rect">
                          <a:avLst/>
                        </a:prstGeom>
                        <a:noFill/>
                        <a:ln>
                          <a:noFill/>
                        </a:ln>
                        <a:effectLst/>
                      </wps:spPr>
                      <wps:txbx>
                        <w:txbxContent>
                          <w:p w14:paraId="55A3C9EC">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签发最终清算</w:t>
                            </w:r>
                          </w:p>
                          <w:p w14:paraId="18156497">
                            <w:pPr>
                              <w:spacing w:line="240" w:lineRule="exact"/>
                              <w:rPr>
                                <w:rFonts w:ascii="宋体" w:cs="Times New Roman"/>
                                <w:b/>
                                <w:bCs/>
                                <w:sz w:val="18"/>
                                <w:szCs w:val="18"/>
                              </w:rPr>
                            </w:pPr>
                            <w:r>
                              <w:rPr>
                                <w:rFonts w:hint="eastAsia" w:ascii="楷体_GB2312" w:hAnsi="宋体" w:eastAsia="楷体_GB2312" w:cs="楷体_GB2312"/>
                                <w:b/>
                                <w:bCs/>
                                <w:sz w:val="18"/>
                                <w:szCs w:val="18"/>
                              </w:rPr>
                              <w:t>支付证书</w:t>
                            </w:r>
                          </w:p>
                        </w:txbxContent>
                      </wps:txbx>
                      <wps:bodyPr wrap="square" upright="1"/>
                    </wps:wsp>
                  </a:graphicData>
                </a:graphic>
              </wp:anchor>
            </w:drawing>
          </mc:Choice>
          <mc:Fallback>
            <w:pict>
              <v:shape id="_x0000_s1026" o:spid="_x0000_s1026" o:spt="202" type="#_x0000_t202" style="position:absolute;left:0pt;margin-left:-9pt;margin-top:0.7pt;height:36.45pt;width:81pt;z-index:252036096;mso-width-relative:page;mso-height-relative:page;" filled="f" stroked="f" coordsize="21600,21600" o:gfxdata="UEsDBAoAAAAAAIdO4kAAAAAAAAAAAAAAAAAEAAAAZHJzL1BLAwQUAAAACACHTuJAs5Ykz9UAAAAI&#10;AQAADwAAAGRycy9kb3ducmV2LnhtbE2Py07DMBBF90j8gzVI7Fo7YKCkcboAsQW1PCR2bjxNosbj&#10;KHab8PdMV+3y6ozunFusJt+JIw6xDWQgmysQSFVwLdUGvj7fZgsQMVlytguEBv4wwqq8vips7sJI&#10;azxuUi24hGJuDTQp9bmUsWrQ2zgPPRKzXRi8TRyHWrrBjlzuO3mn1KP0tiX+0NgeXxqs9puDN/D9&#10;vvv90eqjfvUP/RgmJck/S2NubzK1BJFwSudjOOmzOpTstA0HclF0BmbZgrckBhrEiWvNeWvgSd+D&#10;LAt5OaD8B1BLAwQUAAAACACHTuJA8td5Fb0BAABuAwAADgAAAGRycy9lMm9Eb2MueG1srVNLbtsw&#10;EN0XyB0I7mPJbpqkguUAhZFsirZA2gPQ1NAiwF84tCVfoL1BV91033P5HB1Kipummyy6oYbzeZz3&#10;ZrS86a1he4iovav5fFZyBk76Rrttzb98vj2/5gyTcI0w3kHND4D8ZnX2atmFCha+9aaByAjEYdWF&#10;mrcphaooULZgBc58AEdB5aMVia5xWzRRdIRuTbEoy8ui87EJ0UtAJO96DPIJMb4E0CulJay93Flw&#10;aUSNYEQiStjqgHw1dKsUyPRRKYTETM2JaRpOeoTsTT6L1VJU2yhCq+XUgnhJC884WaEdPXqCWosk&#10;2C7qf6CsltGjV2kmvS1GIoMixGJePtPmvhUBBi4kNYaT6Pj/YOWH/afIdFPz11cXnDlhaeTH79+O&#10;P34df35l2UkSdQEryrwPlJv6d76nxXn0Izkz815Fm7/EiVGcBD6cBIY+MZmLysX1VUkhSbGLy8Xb&#10;+ZsMU/ypDhHTHXjLslHzSAMcdBX795jG1MeU/Jjzt9qYYYjG/eUgzNEDwxZM1ZnI2HC2Ur/pJ3Yb&#10;3xyIXEebUHN82IkInO1C1NuW2hjIFrmExjD0O61MnvPTO9lPf5PV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LOWJM/VAAAACAEAAA8AAAAAAAAAAQAgAAAAIgAAAGRycy9kb3ducmV2LnhtbFBLAQIU&#10;ABQAAAAIAIdO4kDy13kVvQEAAG4DAAAOAAAAAAAAAAEAIAAAACQBAABkcnMvZTJvRG9jLnhtbFBL&#10;BQYAAAAABgAGAFkBAABTBQAAAAA=&#10;">
                <v:fill on="f" focussize="0,0"/>
                <v:stroke on="f"/>
                <v:imagedata o:title=""/>
                <o:lock v:ext="edit" aspectratio="f"/>
                <v:textbox>
                  <w:txbxContent>
                    <w:p w14:paraId="55A3C9EC">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签发最终清算</w:t>
                      </w:r>
                    </w:p>
                    <w:p w14:paraId="18156497">
                      <w:pPr>
                        <w:spacing w:line="240" w:lineRule="exact"/>
                        <w:rPr>
                          <w:rFonts w:ascii="宋体" w:cs="Times New Roman"/>
                          <w:b/>
                          <w:bCs/>
                          <w:sz w:val="18"/>
                          <w:szCs w:val="18"/>
                        </w:rPr>
                      </w:pPr>
                      <w:r>
                        <w:rPr>
                          <w:rFonts w:hint="eastAsia" w:ascii="楷体_GB2312" w:hAnsi="宋体" w:eastAsia="楷体_GB2312" w:cs="楷体_GB2312"/>
                          <w:b/>
                          <w:bCs/>
                          <w:sz w:val="18"/>
                          <w:szCs w:val="18"/>
                        </w:rPr>
                        <w:t>支付证书</w:t>
                      </w:r>
                    </w:p>
                  </w:txbxContent>
                </v:textbox>
              </v:shape>
            </w:pict>
          </mc:Fallback>
        </mc:AlternateContent>
      </w:r>
      <w:r>
        <w:rPr>
          <w:rFonts w:hint="default" w:ascii="Times New Roman" w:hAnsi="Times New Roman" w:cs="Times New Roman"/>
          <w:color w:val="auto"/>
          <w:sz w:val="22"/>
          <w:szCs w:val="22"/>
          <w:highlight w:val="none"/>
        </w:rPr>
        <w:t>造价工程师应在收到最终清算支付申请后的14天内予以计量、核实，并将核实结果通知承包人、抄报发包人。发包人应在收到核实结果后的7天内在最终清算文件上签字确认。造价工程师应在发包人签字确认最终清算文件后的7天内，向发包人签发最终清算支付证书，同时抄送承包人。</w:t>
      </w:r>
    </w:p>
    <w:p w14:paraId="5E4A6047">
      <w:pPr>
        <w:pStyle w:val="15"/>
        <w:adjustRightInd w:val="0"/>
        <w:snapToGrid w:val="0"/>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37120" behindDoc="0" locked="0" layoutInCell="1" allowOverlap="1">
                <wp:simplePos x="0" y="0"/>
                <wp:positionH relativeFrom="column">
                  <wp:posOffset>-114300</wp:posOffset>
                </wp:positionH>
                <wp:positionV relativeFrom="paragraph">
                  <wp:posOffset>230505</wp:posOffset>
                </wp:positionV>
                <wp:extent cx="914400" cy="462915"/>
                <wp:effectExtent l="0" t="0" r="0" b="0"/>
                <wp:wrapNone/>
                <wp:docPr id="375" name="文本框 375"/>
                <wp:cNvGraphicFramePr/>
                <a:graphic xmlns:a="http://schemas.openxmlformats.org/drawingml/2006/main">
                  <a:graphicData uri="http://schemas.microsoft.com/office/word/2010/wordprocessingShape">
                    <wps:wsp>
                      <wps:cNvSpPr txBox="1"/>
                      <wps:spPr>
                        <a:xfrm>
                          <a:off x="0" y="0"/>
                          <a:ext cx="914400" cy="462915"/>
                        </a:xfrm>
                        <a:prstGeom prst="rect">
                          <a:avLst/>
                        </a:prstGeom>
                        <a:noFill/>
                        <a:ln>
                          <a:noFill/>
                        </a:ln>
                        <a:effectLst/>
                      </wps:spPr>
                      <wps:txbx>
                        <w:txbxContent>
                          <w:p w14:paraId="1EA46A76">
                            <w:pPr>
                              <w:spacing w:line="240" w:lineRule="exact"/>
                              <w:rPr>
                                <w:rFonts w:ascii="宋体" w:cs="Times New Roman"/>
                                <w:b/>
                                <w:bCs/>
                                <w:sz w:val="18"/>
                                <w:szCs w:val="18"/>
                              </w:rPr>
                            </w:pPr>
                            <w:r>
                              <w:rPr>
                                <w:rFonts w:hint="eastAsia" w:ascii="楷体_GB2312" w:hAnsi="宋体" w:eastAsia="楷体_GB2312" w:cs="楷体_GB2312"/>
                                <w:b/>
                                <w:bCs/>
                                <w:sz w:val="18"/>
                                <w:szCs w:val="18"/>
                              </w:rPr>
                              <w:t>最终清算款支付</w:t>
                            </w:r>
                            <w:r>
                              <w:rPr>
                                <w:rFonts w:ascii="楷体_GB2312" w:hAnsi="宋体" w:eastAsia="楷体_GB2312" w:cs="楷体_GB2312"/>
                                <w:b/>
                                <w:bCs/>
                                <w:sz w:val="18"/>
                                <w:szCs w:val="18"/>
                              </w:rPr>
                              <w:t xml:space="preserve"> </w:t>
                            </w:r>
                          </w:p>
                        </w:txbxContent>
                      </wps:txbx>
                      <wps:bodyPr wrap="square" upright="1"/>
                    </wps:wsp>
                  </a:graphicData>
                </a:graphic>
              </wp:anchor>
            </w:drawing>
          </mc:Choice>
          <mc:Fallback>
            <w:pict>
              <v:shape id="_x0000_s1026" o:spid="_x0000_s1026" o:spt="202" type="#_x0000_t202" style="position:absolute;left:0pt;margin-left:-9pt;margin-top:18.15pt;height:36.45pt;width:72pt;z-index:252037120;mso-width-relative:page;mso-height-relative:page;" filled="f" stroked="f" coordsize="21600,21600" o:gfxdata="UEsDBAoAAAAAAIdO4kAAAAAAAAAAAAAAAAAEAAAAZHJzL1BLAwQUAAAACACHTuJA6WPPmdgAAAAK&#10;AQAADwAAAGRycy9kb3ducmV2LnhtbE2PzU7DMBCE70i8g7VIvbV2UojaEKcHUK8g+oPEzY23SUS8&#10;jmK3CW/P9gS33Z3R7DfFZnKduOIQWk8akoUCgVR521Kt4bDfzlcgQjRkTecJNfxggE15f1eY3PqR&#10;PvC6i7XgEAq50dDE2OdShqpBZ8LC90isnf3gTOR1qKUdzMjhrpOpUpl0piX+0JgeXxqsvncXp+H4&#10;dv76fFTv9at76kc/KUluLbWePSTqGUTEKf6Z4YbP6FAy08lfyAbRaZgnK+4SNSyzJYibIc34cOJB&#10;rVOQZSH/Vyh/AVBLAwQUAAAACACHTuJAeMwFXL0BAABtAwAADgAAAGRycy9lMm9Eb2MueG1srVPN&#10;jtMwEL4j8Q6W7zRpKQsbNV0JVcsFAdLCA7jOuLEU/+Bxm/QF4A04ceHOc/U5duxky/5c9sDFGc/P&#10;5/m+mayuBtOxAwTUztZ8Pis5Aytdo+2u5t++Xr96xxlGYRvROQs1PwLyq/XLF6veV7BwresaCIxA&#10;LFa9r3kbo6+KAmULRuDMebAUVC4YEekadkUTRE/opisWZXlR9C40PjgJiOTdjEE+IYbnADqltISN&#10;k3sDNo6oAToRiRK22iNf526VAhk/K4UQWVdzYhrzSY+QvU1nsV6JaheEb7WcWhDPaeERJyO0pUfP&#10;UBsRBdsH/QTKaBkcOhVn0pliJJIVIRbz8pE2N63wkLmQ1OjPouP/g5WfDl8C003NX799w5kVhkZ+&#10;+vXz9Pvv6c8PlpwkUe+xoswbT7lxeO8GWpw7P5IzMR9UMOlLnBjFSeDjWWAYIpPkvJwvlyVFJIWW&#10;F4vLeUYv/hX7gPEDOMOSUfNA88uyisNHjNQIpd6lpLesu9Zdl2fY2QcOShw9kJdgqk48xn6TFYft&#10;MJHbuuZI3HpahJrj970IwNneB71rqY3MtUglNIXcxLQxacz372Tf/0vWt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Oljz5nYAAAACgEAAA8AAAAAAAAAAQAgAAAAIgAAAGRycy9kb3ducmV2LnhtbFBL&#10;AQIUABQAAAAIAIdO4kB4zAVcvQEAAG0DAAAOAAAAAAAAAAEAIAAAACcBAABkcnMvZTJvRG9jLnht&#10;bFBLBQYAAAAABgAGAFkBAABWBQAAAAA=&#10;">
                <v:fill on="f" focussize="0,0"/>
                <v:stroke on="f"/>
                <v:imagedata o:title=""/>
                <o:lock v:ext="edit" aspectratio="f"/>
                <v:textbox>
                  <w:txbxContent>
                    <w:p w14:paraId="1EA46A76">
                      <w:pPr>
                        <w:spacing w:line="240" w:lineRule="exact"/>
                        <w:rPr>
                          <w:rFonts w:ascii="宋体" w:cs="Times New Roman"/>
                          <w:b/>
                          <w:bCs/>
                          <w:sz w:val="18"/>
                          <w:szCs w:val="18"/>
                        </w:rPr>
                      </w:pPr>
                      <w:r>
                        <w:rPr>
                          <w:rFonts w:hint="eastAsia" w:ascii="楷体_GB2312" w:hAnsi="宋体" w:eastAsia="楷体_GB2312" w:cs="楷体_GB2312"/>
                          <w:b/>
                          <w:bCs/>
                          <w:sz w:val="18"/>
                          <w:szCs w:val="18"/>
                        </w:rPr>
                        <w:t>最终清算款支付</w:t>
                      </w:r>
                      <w:r>
                        <w:rPr>
                          <w:rFonts w:ascii="楷体_GB2312" w:hAnsi="宋体" w:eastAsia="楷体_GB2312" w:cs="楷体_GB2312"/>
                          <w:b/>
                          <w:bCs/>
                          <w:sz w:val="18"/>
                          <w:szCs w:val="18"/>
                        </w:rPr>
                        <w:t xml:space="preserve"> </w:t>
                      </w:r>
                    </w:p>
                  </w:txbxContent>
                </v:textbox>
              </v:shape>
            </w:pict>
          </mc:Fallback>
        </mc:AlternateContent>
      </w:r>
      <w:r>
        <w:rPr>
          <w:rFonts w:hint="default" w:ascii="Times New Roman" w:hAnsi="Times New Roman" w:cs="Times New Roman"/>
          <w:b/>
          <w:bCs/>
          <w:color w:val="auto"/>
          <w:sz w:val="22"/>
          <w:szCs w:val="22"/>
          <w:highlight w:val="none"/>
        </w:rPr>
        <w:t>85.3</w:t>
      </w:r>
      <w:r>
        <w:rPr>
          <w:rFonts w:hint="default" w:ascii="Times New Roman" w:hAnsi="Times New Roman" w:cs="Times New Roman"/>
          <w:color w:val="auto"/>
          <w:sz w:val="22"/>
          <w:szCs w:val="22"/>
          <w:highlight w:val="none"/>
        </w:rPr>
        <w:t xml:space="preserve">  </w:t>
      </w:r>
      <w:r>
        <w:rPr>
          <w:rFonts w:hint="default" w:ascii="Times New Roman" w:hAnsi="Times New Roman" w:cs="Times New Roman"/>
          <w:color w:val="auto"/>
          <w:sz w:val="22"/>
          <w:szCs w:val="22"/>
          <w:highlight w:val="none"/>
          <w:u w:val="dotted"/>
        </w:rPr>
        <w:t xml:space="preserve">                                                                                                       </w:t>
      </w:r>
    </w:p>
    <w:p w14:paraId="18309DB9">
      <w:pPr>
        <w:pStyle w:val="15"/>
        <w:adjustRightInd w:val="0"/>
        <w:snapToGrid w:val="0"/>
        <w:spacing w:line="420" w:lineRule="exact"/>
        <w:ind w:left="1619" w:leftChars="771" w:firstLine="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发包人应在造价工程师签发最终清算支付证书后的14 天内，按照最终清算支付证书列明的金额向承包人支付最终清算款，并通知造价工程师。</w:t>
      </w:r>
    </w:p>
    <w:p w14:paraId="29714A2B">
      <w:pPr>
        <w:pStyle w:val="15"/>
        <w:adjustRightInd w:val="0"/>
        <w:snapToGrid w:val="0"/>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38144" behindDoc="0" locked="0" layoutInCell="1" allowOverlap="1">
                <wp:simplePos x="0" y="0"/>
                <wp:positionH relativeFrom="column">
                  <wp:posOffset>-114300</wp:posOffset>
                </wp:positionH>
                <wp:positionV relativeFrom="paragraph">
                  <wp:posOffset>234315</wp:posOffset>
                </wp:positionV>
                <wp:extent cx="914400" cy="462915"/>
                <wp:effectExtent l="0" t="0" r="0" b="0"/>
                <wp:wrapNone/>
                <wp:docPr id="376" name="文本框 376"/>
                <wp:cNvGraphicFramePr/>
                <a:graphic xmlns:a="http://schemas.openxmlformats.org/drawingml/2006/main">
                  <a:graphicData uri="http://schemas.microsoft.com/office/word/2010/wordprocessingShape">
                    <wps:wsp>
                      <wps:cNvSpPr txBox="1"/>
                      <wps:spPr>
                        <a:xfrm>
                          <a:off x="0" y="0"/>
                          <a:ext cx="914400" cy="462915"/>
                        </a:xfrm>
                        <a:prstGeom prst="rect">
                          <a:avLst/>
                        </a:prstGeom>
                        <a:noFill/>
                        <a:ln>
                          <a:noFill/>
                        </a:ln>
                        <a:effectLst/>
                      </wps:spPr>
                      <wps:txbx>
                        <w:txbxContent>
                          <w:p w14:paraId="121B7E3B">
                            <w:pPr>
                              <w:spacing w:line="240" w:lineRule="exact"/>
                              <w:rPr>
                                <w:rFonts w:ascii="宋体" w:cs="Times New Roman"/>
                                <w:b/>
                                <w:bCs/>
                                <w:sz w:val="18"/>
                                <w:szCs w:val="18"/>
                              </w:rPr>
                            </w:pPr>
                            <w:r>
                              <w:rPr>
                                <w:rFonts w:hint="eastAsia" w:ascii="楷体_GB2312" w:hAnsi="宋体" w:eastAsia="楷体_GB2312" w:cs="楷体_GB2312"/>
                                <w:b/>
                                <w:bCs/>
                                <w:sz w:val="18"/>
                                <w:szCs w:val="18"/>
                              </w:rPr>
                              <w:t>签发最终清算支付证书限制</w:t>
                            </w:r>
                          </w:p>
                        </w:txbxContent>
                      </wps:txbx>
                      <wps:bodyPr wrap="square" upright="1"/>
                    </wps:wsp>
                  </a:graphicData>
                </a:graphic>
              </wp:anchor>
            </w:drawing>
          </mc:Choice>
          <mc:Fallback>
            <w:pict>
              <v:shape id="_x0000_s1026" o:spid="_x0000_s1026" o:spt="202" type="#_x0000_t202" style="position:absolute;left:0pt;margin-left:-9pt;margin-top:18.45pt;height:36.45pt;width:72pt;z-index:252038144;mso-width-relative:page;mso-height-relative:page;" filled="f" stroked="f" coordsize="21600,21600" o:gfxdata="UEsDBAoAAAAAAIdO4kAAAAAAAAAAAAAAAAAEAAAAZHJzL1BLAwQUAAAACACHTuJAnP3t4tgAAAAK&#10;AQAADwAAAGRycy9kb3ducmV2LnhtbE2PzU7DMBCE70i8g7VIvbV2WoiSEKcHEFdQy4/EzY23SUS8&#10;jmK3CW/f7Qluuzuj2W/K7ex6ccYxdJ40JCsFAqn2tqNGw8f7yzIDEaIha3pPqOEXA2yr25vSFNZP&#10;tMPzPjaCQygURkMb41BIGeoWnQkrPyCxdvSjM5HXsZF2NBOHu16ulUqlMx3xh9YM+NRi/bM/OQ2f&#10;r8fvr3v11jy7h2Hys5Lkcqn14i5RjyAizvHPDFd8RoeKmQ7+RDaIXsMyybhL1LBJcxBXwzrlw4EH&#10;lWcgq1L+r1BdAFBLAwQUAAAACACHTuJAL8ozgr0BAABtAwAADgAAAGRycy9lMm9Eb2MueG1srVPN&#10;jtMwEL4j8Q6W7zRpKYWNmq6EquWCAGnhAVxn3FiKf/C4TfoC8AacuHDnufocO3ayZVkue+DijOfn&#10;83zfTNbXg+nYEQJqZ2s+n5WcgZWu0XZf8y+fb1684QyjsI3onIWanwD59eb5s3XvK1i41nUNBEYg&#10;Fqve17yN0VdFgbIFI3DmPFgKKheMiHQN+6IJoid00xWLslwVvQuND04CInm3Y5BPiOEpgE4pLWHr&#10;5MGAjSNqgE5EooSt9sg3uVulQMaPSiFE1tWcmMZ80iNk79JZbNai2gfhWy2nFsRTWnjEyQht6dEL&#10;1FZEwQ5B/wNltAwOnYoz6UwxEsmKEIt5+Uib21Z4yFxIavQX0fH/wcoPx0+B6abmL1+vOLPC0MjP&#10;P76ff/4+//rGkpMk6j1WlHnrKTcOb91Ai3PvR3Im5oMKJn2JE6M4CXy6CAxDZJKcV/PlsqSIpNBy&#10;tbiav0ooxZ9iHzC+A2dYMmoeaH5ZVnF8j3FMvU9Jb1l3o7suz7CzfzkIc/RAXoKpOvEY+01WHHbD&#10;RG7nmhNx62kRao5fDyIAZwcf9L6lNjLXIpXQFHK/08akMT+8k/3wL9nc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Jz97eLYAAAACgEAAA8AAAAAAAAAAQAgAAAAIgAAAGRycy9kb3ducmV2LnhtbFBL&#10;AQIUABQAAAAIAIdO4kAvyjOCvQEAAG0DAAAOAAAAAAAAAAEAIAAAACcBAABkcnMvZTJvRG9jLnht&#10;bFBLBQYAAAAABgAGAFkBAABWBQAAAAA=&#10;">
                <v:fill on="f" focussize="0,0"/>
                <v:stroke on="f"/>
                <v:imagedata o:title=""/>
                <o:lock v:ext="edit" aspectratio="f"/>
                <v:textbox>
                  <w:txbxContent>
                    <w:p w14:paraId="121B7E3B">
                      <w:pPr>
                        <w:spacing w:line="240" w:lineRule="exact"/>
                        <w:rPr>
                          <w:rFonts w:ascii="宋体" w:cs="Times New Roman"/>
                          <w:b/>
                          <w:bCs/>
                          <w:sz w:val="18"/>
                          <w:szCs w:val="18"/>
                        </w:rPr>
                      </w:pPr>
                      <w:r>
                        <w:rPr>
                          <w:rFonts w:hint="eastAsia" w:ascii="楷体_GB2312" w:hAnsi="宋体" w:eastAsia="楷体_GB2312" w:cs="楷体_GB2312"/>
                          <w:b/>
                          <w:bCs/>
                          <w:sz w:val="18"/>
                          <w:szCs w:val="18"/>
                        </w:rPr>
                        <w:t>签发最终清算支付证书限制</w:t>
                      </w:r>
                    </w:p>
                  </w:txbxContent>
                </v:textbox>
              </v:shape>
            </w:pict>
          </mc:Fallback>
        </mc:AlternateContent>
      </w:r>
      <w:r>
        <w:rPr>
          <w:rFonts w:hint="default" w:ascii="Times New Roman" w:hAnsi="Times New Roman" w:cs="Times New Roman"/>
          <w:b/>
          <w:bCs/>
          <w:color w:val="auto"/>
          <w:sz w:val="22"/>
          <w:szCs w:val="22"/>
          <w:highlight w:val="none"/>
        </w:rPr>
        <w:t xml:space="preserve">85.4 </w:t>
      </w:r>
      <w:r>
        <w:rPr>
          <w:rFonts w:hint="default" w:ascii="Times New Roman" w:hAnsi="Times New Roman" w:cs="Times New Roman"/>
          <w:color w:val="auto"/>
          <w:sz w:val="22"/>
          <w:szCs w:val="22"/>
          <w:highlight w:val="none"/>
        </w:rPr>
        <w:t xml:space="preserve"> </w:t>
      </w:r>
      <w:r>
        <w:rPr>
          <w:rFonts w:hint="default" w:ascii="Times New Roman" w:hAnsi="Times New Roman" w:cs="Times New Roman"/>
          <w:color w:val="auto"/>
          <w:sz w:val="22"/>
          <w:szCs w:val="22"/>
          <w:highlight w:val="none"/>
          <w:u w:val="dotted"/>
        </w:rPr>
        <w:t xml:space="preserve">                                                                                                       </w:t>
      </w:r>
    </w:p>
    <w:p w14:paraId="78613CB4">
      <w:pPr>
        <w:pStyle w:val="15"/>
        <w:adjustRightInd w:val="0"/>
        <w:snapToGrid w:val="0"/>
        <w:spacing w:line="420" w:lineRule="exact"/>
        <w:ind w:left="1576" w:leftChars="750" w:hanging="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如果造价工程师未在第85.2款规定的期限内签发最终清算支付证书的，则视为承包人提交的最终清算支付申请已被认可，承包人应及时向发包人发出要求支付最终清算款的通知。发包人应在收到通知后的14天内，按照承包人提交最终清算支付申请列明的金额向承包人支付最终清算款。</w:t>
      </w:r>
    </w:p>
    <w:p w14:paraId="4EF80AA0">
      <w:pPr>
        <w:pStyle w:val="15"/>
        <w:adjustRightInd w:val="0"/>
        <w:snapToGrid w:val="0"/>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 xml:space="preserve">85.5 </w:t>
      </w:r>
      <w:r>
        <w:rPr>
          <w:rFonts w:hint="default" w:ascii="Times New Roman" w:hAnsi="Times New Roman" w:cs="Times New Roman"/>
          <w:color w:val="auto"/>
          <w:sz w:val="22"/>
          <w:szCs w:val="22"/>
          <w:highlight w:val="none"/>
        </w:rPr>
        <w:t xml:space="preserve"> </w:t>
      </w:r>
      <w:r>
        <w:rPr>
          <w:rFonts w:hint="default" w:ascii="Times New Roman" w:hAnsi="Times New Roman" w:cs="Times New Roman"/>
          <w:color w:val="auto"/>
          <w:sz w:val="22"/>
          <w:szCs w:val="22"/>
          <w:highlight w:val="none"/>
          <w:u w:val="dotted"/>
        </w:rPr>
        <w:t xml:space="preserve">                                                                                                        </w:t>
      </w:r>
    </w:p>
    <w:p w14:paraId="1CFC0AC6">
      <w:pPr>
        <w:spacing w:line="420" w:lineRule="exact"/>
        <w:ind w:left="1576" w:leftChars="750" w:hanging="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39168" behindDoc="0" locked="0" layoutInCell="1" allowOverlap="1">
                <wp:simplePos x="0" y="0"/>
                <wp:positionH relativeFrom="column">
                  <wp:posOffset>-114300</wp:posOffset>
                </wp:positionH>
                <wp:positionV relativeFrom="paragraph">
                  <wp:posOffset>8255</wp:posOffset>
                </wp:positionV>
                <wp:extent cx="1028700" cy="407670"/>
                <wp:effectExtent l="0" t="0" r="0" b="0"/>
                <wp:wrapNone/>
                <wp:docPr id="377" name="文本框 377"/>
                <wp:cNvGraphicFramePr/>
                <a:graphic xmlns:a="http://schemas.openxmlformats.org/drawingml/2006/main">
                  <a:graphicData uri="http://schemas.microsoft.com/office/word/2010/wordprocessingShape">
                    <wps:wsp>
                      <wps:cNvSpPr txBox="1"/>
                      <wps:spPr>
                        <a:xfrm>
                          <a:off x="0" y="0"/>
                          <a:ext cx="1028700" cy="407670"/>
                        </a:xfrm>
                        <a:prstGeom prst="rect">
                          <a:avLst/>
                        </a:prstGeom>
                        <a:noFill/>
                        <a:ln>
                          <a:noFill/>
                        </a:ln>
                        <a:effectLst/>
                      </wps:spPr>
                      <wps:txbx>
                        <w:txbxContent>
                          <w:p w14:paraId="44C6E0E6">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最终清算款支</w:t>
                            </w:r>
                          </w:p>
                          <w:p w14:paraId="6E748418">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付的限制</w:t>
                            </w:r>
                          </w:p>
                        </w:txbxContent>
                      </wps:txbx>
                      <wps:bodyPr wrap="square" upright="1"/>
                    </wps:wsp>
                  </a:graphicData>
                </a:graphic>
              </wp:anchor>
            </w:drawing>
          </mc:Choice>
          <mc:Fallback>
            <w:pict>
              <v:shape id="_x0000_s1026" o:spid="_x0000_s1026" o:spt="202" type="#_x0000_t202" style="position:absolute;left:0pt;margin-left:-9pt;margin-top:0.65pt;height:32.1pt;width:81pt;z-index:252039168;mso-width-relative:page;mso-height-relative:page;" filled="f" stroked="f" coordsize="21600,21600" o:gfxdata="UEsDBAoAAAAAAIdO4kAAAAAAAAAAAAAAAAAEAAAAZHJzL1BLAwQUAAAACACHTuJAEQb19NUAAAAI&#10;AQAADwAAAGRycy9kb3ducmV2LnhtbE2PwU7DMBBE70j9B2srcWvtQFK1IU4PIK4gCq3Umxtvk4h4&#10;HcVuE/6e7QmOo7eafVNsJ9eJKw6h9aQhWSoQSJW3LdUavj5fF2sQIRqypvOEGn4wwLac3RUmt36k&#10;D7zuYi24hEJuNDQx9rmUoWrQmbD0PRKzsx+ciRyHWtrBjFzuOvmg1Eo60xJ/aEyPzw1W37uL07B/&#10;Ox8PqXqvX1zWj35SktxGan0/T9QTiIhT/DuGmz6rQ8lOJ38hG0SnYZGseUtk8AjixtOU80nDKstA&#10;loX8P6D8BVBLAwQUAAAACACHTuJArpcpk70BAABuAwAADgAAAGRycy9lMm9Eb2MueG1srVNLbtsw&#10;EN0X6B0I7mspbhEFguUAgZFuirZA2gPQ1MgiwF85tCVfoL1BV91033P5HB1SipOmmyyyoYbzeZz3&#10;ZrS6Ho1mBwionG34xaLkDKx0rbK7hn/9cvvmijOMwrZCOwsNPwLy6/XrV6vB17B0vdMtBEYgFuvB&#10;N7yP0ddFgbIHI3DhPFgKdi4YEekadkUbxEDoRhfLsrwsBhdaH5wERPJupiCfEcNzAF3XKQkbJ/cG&#10;bJxQA2gRiRL2yiNf5267DmT81HUIkemGE9OYT3qE7G06i/VK1LsgfK/k3IJ4TgtPOBmhLD16htqI&#10;KNg+qP+gjJLBoeviQjpTTESyIsTionyizV0vPGQuJDX6s+j4crDy4+FzYKpt+Nuq4swKQyM//fxx&#10;+vXn9Ps7S06SaPBYU+adp9w43riRFufej+RMzMcumPQlToziJPDxLDCMkclUVC6vqpJCkmLvyuqy&#10;yhMoHqp9wPgenGHJaHigAWZdxeEDRuqEUu9T0mPW3Sqt8xC1/cdBiZMH8hbM1YnI1HCy4rgdZ3Zb&#10;1x6J3ECb0HD8thcBONv7oHY9tZHJFqmExpCbmFcmzfnxnezHv8n6L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BEG9fTVAAAACAEAAA8AAAAAAAAAAQAgAAAAIgAAAGRycy9kb3ducmV2LnhtbFBLAQIU&#10;ABQAAAAIAIdO4kCulymTvQEAAG4DAAAOAAAAAAAAAAEAIAAAACQBAABkcnMvZTJvRG9jLnhtbFBL&#10;BQYAAAAABgAGAFkBAABTBQAAAAA=&#10;">
                <v:fill on="f" focussize="0,0"/>
                <v:stroke on="f"/>
                <v:imagedata o:title=""/>
                <o:lock v:ext="edit" aspectratio="f"/>
                <v:textbox>
                  <w:txbxContent>
                    <w:p w14:paraId="44C6E0E6">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最终清算款支</w:t>
                      </w:r>
                    </w:p>
                    <w:p w14:paraId="6E748418">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付的限制</w:t>
                      </w:r>
                    </w:p>
                  </w:txbxContent>
                </v:textbox>
              </v:shape>
            </w:pict>
          </mc:Fallback>
        </mc:AlternateContent>
      </w:r>
      <w:r>
        <w:rPr>
          <w:rFonts w:hint="default" w:ascii="Times New Roman" w:hAnsi="Times New Roman" w:cs="Times New Roman"/>
          <w:color w:val="auto"/>
          <w:sz w:val="22"/>
          <w:szCs w:val="22"/>
          <w:highlight w:val="none"/>
        </w:rPr>
        <w:t>发包人未按照第85.3款和第85.4款规定支付最终清算款的，承包人可催告发包人支付最终清算款，如双方达成延期支付协议，承包人有权按照第78.2款规定获得延期支付的利息。若该永久工程按照第83.5款规定进行折价或依法拍卖的，承包人就该工程折价或拍卖的价款优先受偿。</w:t>
      </w:r>
    </w:p>
    <w:p w14:paraId="47C26B2D">
      <w:pPr>
        <w:pStyle w:val="15"/>
        <w:adjustRightInd w:val="0"/>
        <w:snapToGrid w:val="0"/>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 xml:space="preserve">85.6 </w:t>
      </w:r>
      <w:r>
        <w:rPr>
          <w:rFonts w:hint="default" w:ascii="Times New Roman" w:hAnsi="Times New Roman" w:cs="Times New Roman"/>
          <w:color w:val="auto"/>
          <w:sz w:val="22"/>
          <w:szCs w:val="22"/>
          <w:highlight w:val="none"/>
        </w:rPr>
        <w:t xml:space="preserve"> </w:t>
      </w:r>
      <w:r>
        <w:rPr>
          <w:rFonts w:hint="default" w:ascii="Times New Roman" w:hAnsi="Times New Roman" w:cs="Times New Roman"/>
          <w:color w:val="auto"/>
          <w:sz w:val="22"/>
          <w:szCs w:val="22"/>
          <w:highlight w:val="none"/>
          <w:u w:val="dotted"/>
        </w:rPr>
        <w:t xml:space="preserve">                                                                                                       </w:t>
      </w:r>
    </w:p>
    <w:p w14:paraId="1031861C">
      <w:pPr>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40192" behindDoc="0" locked="0" layoutInCell="1" allowOverlap="1">
                <wp:simplePos x="0" y="0"/>
                <wp:positionH relativeFrom="column">
                  <wp:posOffset>-114300</wp:posOffset>
                </wp:positionH>
                <wp:positionV relativeFrom="paragraph">
                  <wp:posOffset>45720</wp:posOffset>
                </wp:positionV>
                <wp:extent cx="914400" cy="462915"/>
                <wp:effectExtent l="0" t="0" r="0" b="0"/>
                <wp:wrapNone/>
                <wp:docPr id="378" name="文本框 378"/>
                <wp:cNvGraphicFramePr/>
                <a:graphic xmlns:a="http://schemas.openxmlformats.org/drawingml/2006/main">
                  <a:graphicData uri="http://schemas.microsoft.com/office/word/2010/wordprocessingShape">
                    <wps:wsp>
                      <wps:cNvSpPr txBox="1"/>
                      <wps:spPr>
                        <a:xfrm>
                          <a:off x="0" y="0"/>
                          <a:ext cx="914400" cy="462915"/>
                        </a:xfrm>
                        <a:prstGeom prst="rect">
                          <a:avLst/>
                        </a:prstGeom>
                        <a:noFill/>
                        <a:ln>
                          <a:noFill/>
                        </a:ln>
                        <a:effectLst/>
                      </wps:spPr>
                      <wps:txbx>
                        <w:txbxContent>
                          <w:p w14:paraId="3A0023AF">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最终清算款争议的处理</w:t>
                            </w:r>
                          </w:p>
                        </w:txbxContent>
                      </wps:txbx>
                      <wps:bodyPr wrap="square" upright="1"/>
                    </wps:wsp>
                  </a:graphicData>
                </a:graphic>
              </wp:anchor>
            </w:drawing>
          </mc:Choice>
          <mc:Fallback>
            <w:pict>
              <v:shape id="_x0000_s1026" o:spid="_x0000_s1026" o:spt="202" type="#_x0000_t202" style="position:absolute;left:0pt;margin-left:-9pt;margin-top:3.6pt;height:36.45pt;width:72pt;z-index:252040192;mso-width-relative:page;mso-height-relative:page;" filled="f" stroked="f" coordsize="21600,21600" o:gfxdata="UEsDBAoAAAAAAIdO4kAAAAAAAAAAAAAAAAAEAAAAZHJzL1BLAwQUAAAACACHTuJAqldgVtUAAAAI&#10;AQAADwAAAGRycy9kb3ducmV2LnhtbE2PwU7DMBBE70j9B2srcWvtRFDSkE0PrbiCaAGpNzfeJhHx&#10;OordJvw97gmOoxnNvCk2k+3ElQbfOkZIlgoEceVMyzXCx+FlkYHwQbPRnWNC+CEPm3J2V+jcuJHf&#10;6boPtYgl7HON0ITQ51L6qiGr/dL1xNE7u8HqEOVQSzPoMZbbTqZKraTVLceFRve0baj63l8swufr&#10;+fj1oN7qnX3sRzcpyXYtEe/niXoGEWgKf2G44Ud0KCPTyV3YeNEhLJIsfgkITymIm5+uoj4hZCoB&#10;WRby/4HyF1BLAwQUAAAACACHTuJAVCb9br0BAABtAwAADgAAAGRycy9lMm9Eb2MueG1srVPNjtMw&#10;EL4j8Q6W79RpKQsbNV0JVcsFAdLCA7jOpLEU/+Bxm/QF4A04ceHOc/U5duxky/5c9sDFGc/P5/m+&#10;mayuBtOxAwTUzlZ8Pis4A6tcre2u4t++Xr96xxlGaWvZOQsVPwLyq/XLF6vel7BwretqCIxALJa9&#10;r3gboy+FQNWCkThzHiwFGxeMjHQNO1EH2RO66cSiKC5E70Ltg1OASN7NGOQTYngOoGsarWDj1N6A&#10;jSNqgE5GooSt9sjXudumARU/Nw1CZF3FiWnMJz1C9jadYr2S5S5I32o1tSCf08IjTkZqS4+eoTYy&#10;SrYP+gmU0So4dE2cKWfESCQrQizmxSNtblrpIXMhqdGfRcf/B6s+Hb4EpuuKv35Lg7fS0MhPv36e&#10;fv89/fnBkpMk6j2WlHnjKTcO791Ai3PnR3Im5kMTTPoSJ0ZxEvh4FhiGyBQ5L+fLZUERRaHlxeJy&#10;/iahiH/FPmD8AM6wZFQ80PyyrPLwEeOYepeS3rLuWnddnmFnHzgIc/RAXoKpOvEY+01WHLbDRG7r&#10;6iNx62kRKo7f9zIAZ3sf9K6lNjJXkUpoCrnfaWPSmO/fyb7/l6xv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pXYFbVAAAACAEAAA8AAAAAAAAAAQAgAAAAIgAAAGRycy9kb3ducmV2LnhtbFBLAQIU&#10;ABQAAAAIAIdO4kBUJv1uvQEAAG0DAAAOAAAAAAAAAAEAIAAAACQBAABkcnMvZTJvRG9jLnhtbFBL&#10;BQYAAAAABgAGAFkBAABTBQAAAAA=&#10;">
                <v:fill on="f" focussize="0,0"/>
                <v:stroke on="f"/>
                <v:imagedata o:title=""/>
                <o:lock v:ext="edit" aspectratio="f"/>
                <v:textbox>
                  <w:txbxContent>
                    <w:p w14:paraId="3A0023AF">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最终清算款争议的处理</w:t>
                      </w:r>
                    </w:p>
                  </w:txbxContent>
                </v:textbox>
              </v:shape>
            </w:pict>
          </mc:Fallback>
        </mc:AlternateContent>
      </w:r>
      <w:r>
        <w:rPr>
          <w:rFonts w:hint="default" w:ascii="Times New Roman" w:hAnsi="Times New Roman" w:cs="Times New Roman"/>
          <w:color w:val="auto"/>
          <w:sz w:val="22"/>
          <w:szCs w:val="22"/>
          <w:highlight w:val="none"/>
        </w:rPr>
        <w:t>承包人对发包人支付的最终清算款有异议的，按照第86条约定的争议处理。</w:t>
      </w:r>
    </w:p>
    <w:p w14:paraId="5ACDE36D">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u w:val="single"/>
        </w:rPr>
        <w:t xml:space="preserve">                                                                                                              </w:t>
      </w:r>
    </w:p>
    <w:p w14:paraId="1DB1B9B0">
      <w:pPr>
        <w:pStyle w:val="15"/>
        <w:adjustRightInd w:val="0"/>
        <w:snapToGrid w:val="0"/>
        <w:spacing w:line="420" w:lineRule="exact"/>
        <w:jc w:val="center"/>
        <w:outlineLvl w:val="1"/>
        <w:rPr>
          <w:rFonts w:hint="default" w:ascii="Times New Roman" w:hAnsi="Times New Roman" w:cs="Times New Roman"/>
          <w:b/>
          <w:bCs/>
          <w:color w:val="auto"/>
          <w:sz w:val="22"/>
          <w:szCs w:val="22"/>
          <w:highlight w:val="none"/>
        </w:rPr>
      </w:pPr>
      <w:bookmarkStart w:id="272" w:name="_Toc1825645964"/>
      <w:bookmarkStart w:id="273" w:name="_Toc469384069"/>
      <w:bookmarkStart w:id="274" w:name="_Toc22968"/>
      <w:r>
        <w:rPr>
          <w:rFonts w:hint="default" w:ascii="Times New Roman" w:hAnsi="Times New Roman" w:eastAsia="方正小标宋_GBK" w:cs="Times New Roman"/>
          <w:b/>
          <w:bCs/>
          <w:color w:val="auto"/>
          <w:sz w:val="24"/>
          <w:szCs w:val="24"/>
          <w:highlight w:val="none"/>
        </w:rPr>
        <w:t>七、合同争议、解除与终止</w:t>
      </w:r>
      <w:bookmarkEnd w:id="272"/>
      <w:bookmarkEnd w:id="273"/>
      <w:bookmarkEnd w:id="274"/>
    </w:p>
    <w:p w14:paraId="4050551D">
      <w:pPr>
        <w:pStyle w:val="15"/>
        <w:tabs>
          <w:tab w:val="left" w:pos="540"/>
        </w:tabs>
        <w:adjustRightInd w:val="0"/>
        <w:snapToGrid w:val="0"/>
        <w:spacing w:before="240" w:beforeLines="100" w:line="420" w:lineRule="exact"/>
        <w:outlineLvl w:val="2"/>
        <w:rPr>
          <w:rFonts w:hint="default" w:ascii="Times New Roman" w:hAnsi="Times New Roman" w:cs="Times New Roman"/>
          <w:b/>
          <w:bCs/>
          <w:color w:val="auto"/>
          <w:sz w:val="22"/>
          <w:szCs w:val="22"/>
          <w:highlight w:val="none"/>
        </w:rPr>
      </w:pPr>
      <w:bookmarkStart w:id="275" w:name="_Toc469384070"/>
      <w:bookmarkStart w:id="276" w:name="_Toc4924"/>
      <w:r>
        <w:rPr>
          <w:rFonts w:hint="default" w:ascii="Times New Roman" w:hAnsi="Times New Roman" w:cs="Times New Roman"/>
          <w:b/>
          <w:bCs/>
          <w:color w:val="auto"/>
          <w:sz w:val="22"/>
          <w:szCs w:val="22"/>
          <w:highlight w:val="none"/>
        </w:rPr>
        <w:t>86  合同争议</w:t>
      </w:r>
      <w:bookmarkEnd w:id="275"/>
      <w:bookmarkEnd w:id="276"/>
    </w:p>
    <w:p w14:paraId="79D1258E">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41216" behindDoc="0" locked="0" layoutInCell="1" allowOverlap="1">
                <wp:simplePos x="0" y="0"/>
                <wp:positionH relativeFrom="column">
                  <wp:posOffset>-114300</wp:posOffset>
                </wp:positionH>
                <wp:positionV relativeFrom="paragraph">
                  <wp:posOffset>284480</wp:posOffset>
                </wp:positionV>
                <wp:extent cx="914400" cy="469900"/>
                <wp:effectExtent l="0" t="0" r="0" b="0"/>
                <wp:wrapNone/>
                <wp:docPr id="379" name="文本框 379"/>
                <wp:cNvGraphicFramePr/>
                <a:graphic xmlns:a="http://schemas.openxmlformats.org/drawingml/2006/main">
                  <a:graphicData uri="http://schemas.microsoft.com/office/word/2010/wordprocessingShape">
                    <wps:wsp>
                      <wps:cNvSpPr txBox="1"/>
                      <wps:spPr>
                        <a:xfrm>
                          <a:off x="0" y="0"/>
                          <a:ext cx="914400" cy="469900"/>
                        </a:xfrm>
                        <a:prstGeom prst="rect">
                          <a:avLst/>
                        </a:prstGeom>
                        <a:noFill/>
                        <a:ln>
                          <a:noFill/>
                        </a:ln>
                        <a:effectLst/>
                      </wps:spPr>
                      <wps:txbx>
                        <w:txbxContent>
                          <w:p w14:paraId="0333CFD2">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认可暂定结果或产生争议</w:t>
                            </w:r>
                          </w:p>
                        </w:txbxContent>
                      </wps:txbx>
                      <wps:bodyPr wrap="square" upright="1"/>
                    </wps:wsp>
                  </a:graphicData>
                </a:graphic>
              </wp:anchor>
            </w:drawing>
          </mc:Choice>
          <mc:Fallback>
            <w:pict>
              <v:shape id="_x0000_s1026" o:spid="_x0000_s1026" o:spt="202" type="#_x0000_t202" style="position:absolute;left:0pt;margin-left:-9pt;margin-top:22.4pt;height:37pt;width:72pt;z-index:252041216;mso-width-relative:page;mso-height-relative:page;" filled="f" stroked="f" coordsize="21600,21600" o:gfxdata="UEsDBAoAAAAAAIdO4kAAAAAAAAAAAAAAAAAEAAAAZHJzL1BLAwQUAAAACACHTuJAwJsOatcAAAAK&#10;AQAADwAAAGRycy9kb3ducmV2LnhtbE2PQW/CMAyF75P2HyJP4gZJUYe60pQDaNehMTZpt9CYtqJx&#10;qibQ7t/PnLab7ff0/L1iM7lO3HAIrScNyUKBQKq8banWcPx4nWcgQjRkTecJNfxggE35+FCY3PqR&#10;3vF2iLXgEAq50dDE2OdShqpBZ8LC90isnf3gTOR1qKUdzMjhrpNLpVbSmZb4Q2N63DZYXQ5Xp+Hz&#10;7fz9lap9vXPP/egnJcm9SK1nT4lag4g4xT8z3PEZHUpmOvkr2SA6DfMk4y5RQ5pyhbthueLDiYck&#10;y0CWhfxfofwFUEsDBBQAAAAIAIdO4kCIC8Y0vAEAAG0DAAAOAAAAZHJzL2Uyb0RvYy54bWytU0tu&#10;2zAQ3RfIHQjuY8qpkdaC5QCFkW6KtkCaA9DU0CIgfsqhLfkC7Q266qb7nsvn6FBSnDTdZNENNZzP&#10;47w3o9VNb1t2gIjGu4rPZwVn4JSvjdtV/P7L7eVbzjBJV8vWO6j4EZDfrC9erbpQwpVvfFtDZATi&#10;sOxCxZuUQikEqgasxJkP4CiofbQy0TXuRB1lR+i2FVdFcS06H+sQvQJE8m7GIJ8Q40sAvdZGwcar&#10;vQWXRtQIrUxECRsTkK+HbrUGlT5pjZBYW3FimoaTHiF7m0+xXslyF2VojJpakC9p4RknK42jR89Q&#10;G5kk20fzD5Q1Knr0Os2Ut2IkMihCLObFM23uGhlg4EJSYziLjv8PVn08fI7M1BV//WbJmZOWRn76&#10;8f308/fp1zeWnSRRF7CkzLtAual/53tanAc/kjMz73W0+UucGMVJ4ONZYOgTU+RczheLgiKKQovr&#10;5ZJsQhePxSFieg/esmxUPNL8Blnl4QOmMfUhJb/l/K1p22GGrfvLQZijB4YlmKozj7HfbKV+20/k&#10;tr4+EreOFqHi+HUvI3C2D9HsGmpj4CpyCU1h6HfamDzmp3eyn/4l6z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Amw5q1wAAAAoBAAAPAAAAAAAAAAEAIAAAACIAAABkcnMvZG93bnJldi54bWxQSwEC&#10;FAAUAAAACACHTuJAiAvGNLwBAABtAwAADgAAAAAAAAABACAAAAAmAQAAZHJzL2Uyb0RvYy54bWxQ&#10;SwUGAAAAAAYABgBZAQAAVAUAAAAA&#10;">
                <v:fill on="f" focussize="0,0"/>
                <v:stroke on="f"/>
                <v:imagedata o:title=""/>
                <o:lock v:ext="edit" aspectratio="f"/>
                <v:textbox>
                  <w:txbxContent>
                    <w:p w14:paraId="0333CFD2">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认可暂定结果或产生争议</w:t>
                      </w:r>
                    </w:p>
                  </w:txbxContent>
                </v:textbox>
              </v:shape>
            </w:pict>
          </mc:Fallback>
        </mc:AlternateContent>
      </w:r>
      <w:r>
        <w:rPr>
          <w:rFonts w:hint="default" w:ascii="Times New Roman" w:hAnsi="Times New Roman" w:cs="Times New Roman"/>
          <w:b/>
          <w:bCs/>
          <w:color w:val="auto"/>
          <w:sz w:val="22"/>
          <w:szCs w:val="22"/>
          <w:highlight w:val="none"/>
        </w:rPr>
        <w:t xml:space="preserve">86.1    </w:t>
      </w:r>
    </w:p>
    <w:p w14:paraId="4778C0A2">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本合同履行期间，合同双方当事人应在收到监理工程师或造价工程师依据合同约定作出暂定结果之后的14天内，对暂定结果予以确认或提出意见。合同双方对暂定结果认可的，应以书面形式予以确认，暂定结果成为最终决定，对合同双方当事人都有约束力；合同双方或一方当事人不同意暂定结果的，应以书面形式向监理工程师或造价工程师提出，说明自己认为正确的结果，同时抄送另一方当事人，此时该暂定结果成为争议。除非本合同已解除，在暂定结果不实质影响合同双方当事人履约的前提下，合同双方当事人应实施该结果，直到其被改变为止。</w:t>
      </w:r>
    </w:p>
    <w:p w14:paraId="716FBE2F">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合同双方当事人在收到监理工程师或造价工程师的暂定结果之日起，超过14天，未对暂定结果予以确认也未提出意见的，视为合同双方当事人已认可暂定结果。</w:t>
      </w:r>
    </w:p>
    <w:p w14:paraId="4B1F5580">
      <w:pPr>
        <w:pStyle w:val="15"/>
        <w:tabs>
          <w:tab w:val="left" w:pos="1320"/>
        </w:tabs>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86.2  </w:t>
      </w:r>
      <w:r>
        <w:rPr>
          <w:rFonts w:hint="default" w:ascii="Times New Roman" w:hAnsi="Times New Roman" w:cs="Times New Roman"/>
          <w:b/>
          <w:bCs/>
          <w:color w:val="auto"/>
          <w:sz w:val="22"/>
          <w:szCs w:val="22"/>
          <w:highlight w:val="none"/>
          <w:u w:val="dotted"/>
        </w:rPr>
        <w:t xml:space="preserve">                                                                                                        </w:t>
      </w:r>
    </w:p>
    <w:p w14:paraId="7DAD098B">
      <w:pPr>
        <w:pStyle w:val="15"/>
        <w:tabs>
          <w:tab w:val="left" w:pos="1320"/>
        </w:tabs>
        <w:adjustRightInd w:val="0"/>
        <w:snapToGrid w:val="0"/>
        <w:spacing w:line="420" w:lineRule="exact"/>
        <w:ind w:left="1680" w:leftChars="800"/>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42240" behindDoc="0" locked="0" layoutInCell="1" allowOverlap="1">
                <wp:simplePos x="0" y="0"/>
                <wp:positionH relativeFrom="column">
                  <wp:posOffset>-114300</wp:posOffset>
                </wp:positionH>
                <wp:positionV relativeFrom="paragraph">
                  <wp:posOffset>26670</wp:posOffset>
                </wp:positionV>
                <wp:extent cx="800100" cy="373380"/>
                <wp:effectExtent l="0" t="0" r="0" b="0"/>
                <wp:wrapNone/>
                <wp:docPr id="380" name="文本框 380"/>
                <wp:cNvGraphicFramePr/>
                <a:graphic xmlns:a="http://schemas.openxmlformats.org/drawingml/2006/main">
                  <a:graphicData uri="http://schemas.microsoft.com/office/word/2010/wordprocessingShape">
                    <wps:wsp>
                      <wps:cNvSpPr txBox="1"/>
                      <wps:spPr>
                        <a:xfrm>
                          <a:off x="0" y="0"/>
                          <a:ext cx="800100" cy="373380"/>
                        </a:xfrm>
                        <a:prstGeom prst="rect">
                          <a:avLst/>
                        </a:prstGeom>
                        <a:noFill/>
                        <a:ln>
                          <a:noFill/>
                        </a:ln>
                        <a:effectLst/>
                      </wps:spPr>
                      <wps:txbx>
                        <w:txbxContent>
                          <w:p w14:paraId="7FF9FCC8">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双方协商</w:t>
                            </w:r>
                          </w:p>
                        </w:txbxContent>
                      </wps:txbx>
                      <wps:bodyPr wrap="square" upright="1"/>
                    </wps:wsp>
                  </a:graphicData>
                </a:graphic>
              </wp:anchor>
            </w:drawing>
          </mc:Choice>
          <mc:Fallback>
            <w:pict>
              <v:shape id="_x0000_s1026" o:spid="_x0000_s1026" o:spt="202" type="#_x0000_t202" style="position:absolute;left:0pt;margin-left:-9pt;margin-top:2.1pt;height:29.4pt;width:63pt;z-index:252042240;mso-width-relative:page;mso-height-relative:page;" filled="f" stroked="f" coordsize="21600,21600" o:gfxdata="UEsDBAoAAAAAAIdO4kAAAAAAAAAAAAAAAAAEAAAAZHJzL1BLAwQUAAAACACHTuJABv2ZadQAAAAI&#10;AQAADwAAAGRycy9kb3ducmV2LnhtbE2PzU7DMBCE70i8g7VI3Fo7pVQlZNMDiCuI8iNx28bbJCJe&#10;R7HbhLfHOcFxNKOZb4rd5Dp15iG0XhCypQHFUnnbSo3w/va02IIKkcRS54URfjjArry8KCi3fpRX&#10;Pu9jrVKJhJwQmhj7XOtQNewoLH3PkryjHxzFJIda24HGVO46vTJmox21khYa6vmh4ep7f3IIH8/H&#10;r8+1eakf3W0/+slocXca8foqM/egIk/xLwwzfkKHMjEd/ElsUB3CItumLxFhvQI1+2bWB4TNjQFd&#10;Fvr/gfIXUEsDBBQAAAAIAIdO4kDpj1QLuQEAAG0DAAAOAAAAZHJzL2Uyb0RvYy54bWytU82O0zAQ&#10;viPxDpbv1NmtBFXUdCVULRcESAsP4DqTxpL/8LhN+gLwBpy4cOe5+hyMnWx3WS574OKM5+fzfN9M&#10;1jejNewIEbV3Db9aVJyBU77Vbt/wL59vX604wyRdK4130PATIL/ZvHyxHkIN1773poXICMRhPYSG&#10;9ymFWghUPViJCx/AUbDz0cpE17gXbZQDoVsjrqvqtRh8bEP0ChDJu52CfEaMzwH0XacVbL06WHBp&#10;Qo1gZCJK2OuAfFO67TpQ6WPXISRmGk5MUznpEbJ3+RSbtaz3UYZeq7kF+ZwWnnCyUjt69AK1lUmy&#10;Q9T/QFmtokffpYXyVkxEiiLE4qp6os1dLwMULiQ1hovo+P9g1Yfjp8h02/DlijRx0tLIzz++n3/+&#10;Pv/6xrKTJBoC1pR5Fyg3jW/9SItz70dyZuZjF23+EidGcQI7XQSGMTFFzlVFJCmiKLR8s5zRxUNx&#10;iJjegbcsGw2PNL8iqzy+x0SNUOp9Sn7L+VttTJmhcX85KHHyQFmCuTrzmPrNVhp340xu59sTcRto&#10;ERqOXw8yAmeHEPW+pzYKV5FLaAqliXlj8pgf38l+/Jds/g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AG/Zlp1AAAAAgBAAAPAAAAAAAAAAEAIAAAACIAAABkcnMvZG93bnJldi54bWxQSwECFAAUAAAA&#10;CACHTuJA6Y9UC7kBAABtAwAADgAAAAAAAAABACAAAAAjAQAAZHJzL2Uyb0RvYy54bWxQSwUGAAAA&#10;AAYABgBZAQAATgUAAAAA&#10;">
                <v:fill on="f" focussize="0,0"/>
                <v:stroke on="f"/>
                <v:imagedata o:title=""/>
                <o:lock v:ext="edit" aspectratio="f"/>
                <v:textbox>
                  <w:txbxContent>
                    <w:p w14:paraId="7FF9FCC8">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双方协商</w:t>
                      </w:r>
                    </w:p>
                  </w:txbxContent>
                </v:textbox>
              </v:shape>
            </w:pict>
          </mc:Fallback>
        </mc:AlternateContent>
      </w:r>
      <w:r>
        <w:rPr>
          <w:rFonts w:hint="default" w:ascii="Times New Roman" w:hAnsi="Times New Roman" w:cs="Times New Roman"/>
          <w:color w:val="auto"/>
          <w:sz w:val="22"/>
          <w:szCs w:val="22"/>
          <w:highlight w:val="none"/>
        </w:rPr>
        <w:t>争议发生后的14天内，合同双方当事人可进一步进行协商。协商达成一致的，合同双方当事人应签订书面协议，并将结果抄送监理工程师或造价工程师；协商仍不能达成一致的，按照第86.3款至第86.6款规定进行调解或认定、仲裁或诉讼。</w:t>
      </w:r>
    </w:p>
    <w:p w14:paraId="79C00168">
      <w:pPr>
        <w:pStyle w:val="15"/>
        <w:tabs>
          <w:tab w:val="left" w:pos="1320"/>
        </w:tabs>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86.3  </w:t>
      </w:r>
      <w:r>
        <w:rPr>
          <w:rFonts w:hint="default" w:ascii="Times New Roman" w:hAnsi="Times New Roman" w:cs="Times New Roman"/>
          <w:b/>
          <w:bCs/>
          <w:color w:val="auto"/>
          <w:sz w:val="22"/>
          <w:szCs w:val="22"/>
          <w:highlight w:val="none"/>
          <w:u w:val="dotted"/>
        </w:rPr>
        <w:t xml:space="preserve">                                                                                                        </w:t>
      </w:r>
    </w:p>
    <w:p w14:paraId="41A68773">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43264" behindDoc="0" locked="0" layoutInCell="1" allowOverlap="1">
                <wp:simplePos x="0" y="0"/>
                <wp:positionH relativeFrom="column">
                  <wp:posOffset>-114300</wp:posOffset>
                </wp:positionH>
                <wp:positionV relativeFrom="paragraph">
                  <wp:posOffset>11430</wp:posOffset>
                </wp:positionV>
                <wp:extent cx="1028700" cy="325120"/>
                <wp:effectExtent l="0" t="0" r="0" b="0"/>
                <wp:wrapNone/>
                <wp:docPr id="381" name="文本框 381"/>
                <wp:cNvGraphicFramePr/>
                <a:graphic xmlns:a="http://schemas.openxmlformats.org/drawingml/2006/main">
                  <a:graphicData uri="http://schemas.microsoft.com/office/word/2010/wordprocessingShape">
                    <wps:wsp>
                      <wps:cNvSpPr txBox="1"/>
                      <wps:spPr>
                        <a:xfrm>
                          <a:off x="0" y="0"/>
                          <a:ext cx="1028700" cy="325120"/>
                        </a:xfrm>
                        <a:prstGeom prst="rect">
                          <a:avLst/>
                        </a:prstGeom>
                        <a:noFill/>
                        <a:ln>
                          <a:noFill/>
                        </a:ln>
                        <a:effectLst/>
                      </wps:spPr>
                      <wps:txbx>
                        <w:txbxContent>
                          <w:p w14:paraId="3CD437FD">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解决争议方式</w:t>
                            </w:r>
                          </w:p>
                        </w:txbxContent>
                      </wps:txbx>
                      <wps:bodyPr wrap="square" upright="1"/>
                    </wps:wsp>
                  </a:graphicData>
                </a:graphic>
              </wp:anchor>
            </w:drawing>
          </mc:Choice>
          <mc:Fallback>
            <w:pict>
              <v:shape id="_x0000_s1026" o:spid="_x0000_s1026" o:spt="202" type="#_x0000_t202" style="position:absolute;left:0pt;margin-left:-9pt;margin-top:0.9pt;height:25.6pt;width:81pt;z-index:252043264;mso-width-relative:page;mso-height-relative:page;" filled="f" stroked="f" coordsize="21600,21600" o:gfxdata="UEsDBAoAAAAAAIdO4kAAAAAAAAAAAAAAAAAEAAAAZHJzL1BLAwQUAAAACACHTuJATV4CIdQAAAAI&#10;AQAADwAAAGRycy9kb3ducmV2LnhtbE2PwU7DMBBE70j8g7VI3Fo7kKIS4vQA4gqiBSRu23ibRMTr&#10;KHab8PdsT3AczWr2vXIz+16daIxdYAvZ0oAiroPruLHwvnterEHFhOywD0wWfijCprq8KLFwYeI3&#10;Om1To2SEY4EW2pSGQutYt+QxLsNALN0hjB6TxLHRbsRJxn2vb4y50x47lg8tDvTYUv29PXoLHy+H&#10;r8/cvDZPfjVMYTaa/b229voqMw+gEs3p7xjO+IIOlTDtw5FdVL2FRbYWlySFGJz7PJe8t7C6NaCr&#10;Uv8XqH4BUEsDBBQAAAAIAIdO4kA9lwR8vQEAAG4DAAAOAAAAZHJzL2Uyb0RvYy54bWytU82O0zAQ&#10;viPxDpbvNGlWQBU1XWlVLRcESAsP4DqTxpL/1uM26QvAG3Diwp3n6nMwdrJlWS574OKM5+fzfN9M&#10;1tej0ewIAZWzDV8uSs7AStcqu2/4l8+3r1acYRS2FdpZaPgJkF9vXr5YD76GyvVOtxAYgVisB9/w&#10;PkZfFwXKHozAhfNgKdi5YESka9gXbRADoRtdVGX5phhcaH1wEhDJu52CfEYMzwF0XackbJ08GLBx&#10;Qg2gRSRK2CuPfJO77TqQ8WPXIUSmG05MYz7pEbJ36Sw2a1Hvg/C9knML4jktPOFkhLL06AVqK6Jg&#10;h6D+gTJKBoeuiwvpTDERyYoQi2X5RJu7XnjIXEhq9BfR8f/Byg/HT4GptuFXqyVnVhga+fn7t/OP&#10;X+efX1lykkSDx5oy7zzlxvHGjbQ4D34kZ2I+dsGkL3FiFCeBTxeBYYxMpqKyWr0tKSQpdlW9XlZ5&#10;AsWfah8wvgNnWDIaHmiAWVdxfI+ROqHUh5T0mHW3Sus8RG3/clDi5IG8BXN1IjI1nKw47saZ3c61&#10;JyI30CY0HO8PIgBnBx/Uvqc2MtkildAYchPzyqQ5P76T/fg32fwG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TV4CIdQAAAAIAQAADwAAAAAAAAABACAAAAAiAAAAZHJzL2Rvd25yZXYueG1sUEsBAhQA&#10;FAAAAAgAh07iQD2XBHy9AQAAbgMAAA4AAAAAAAAAAQAgAAAAIwEAAGRycy9lMm9Eb2MueG1sUEsF&#10;BgAAAAAGAAYAWQEAAFIFAAAAAA==&#10;">
                <v:fill on="f" focussize="0,0"/>
                <v:stroke on="f"/>
                <v:imagedata o:title=""/>
                <o:lock v:ext="edit" aspectratio="f"/>
                <v:textbox>
                  <w:txbxContent>
                    <w:p w14:paraId="3CD437FD">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解决争议方式</w:t>
                      </w:r>
                    </w:p>
                  </w:txbxContent>
                </v:textbox>
              </v:shape>
            </w:pict>
          </mc:Fallback>
        </mc:AlternateContent>
      </w:r>
      <w:r>
        <w:rPr>
          <w:rFonts w:hint="default" w:ascii="Times New Roman" w:hAnsi="Times New Roman" w:cs="Times New Roman"/>
          <w:color w:val="auto"/>
          <w:sz w:val="22"/>
          <w:szCs w:val="22"/>
          <w:highlight w:val="none"/>
        </w:rPr>
        <w:t>合同双方当事人没有按照第86.2款规定进一步协商的，或虽然协商但未在规定期限内达成一致的，合同双方或一方当事人可在争议发生后的28天内，将争议提交争议调解或认定机构处理，或直接按照专用条款第86.6款规定提请仲裁或诉讼。</w:t>
      </w:r>
    </w:p>
    <w:p w14:paraId="25044178">
      <w:pPr>
        <w:pStyle w:val="15"/>
        <w:tabs>
          <w:tab w:val="left" w:pos="1320"/>
        </w:tabs>
        <w:adjustRightInd w:val="0"/>
        <w:snapToGrid w:val="0"/>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 xml:space="preserve">86.4 </w:t>
      </w:r>
      <w:r>
        <w:rPr>
          <w:rFonts w:hint="default" w:ascii="Times New Roman" w:hAnsi="Times New Roman" w:cs="Times New Roman"/>
          <w:color w:val="auto"/>
          <w:sz w:val="22"/>
          <w:szCs w:val="22"/>
          <w:highlight w:val="none"/>
        </w:rPr>
        <w:t xml:space="preserve"> </w:t>
      </w:r>
      <w:r>
        <w:rPr>
          <w:rFonts w:hint="default" w:ascii="Times New Roman" w:hAnsi="Times New Roman" w:cs="Times New Roman"/>
          <w:color w:val="auto"/>
          <w:sz w:val="22"/>
          <w:szCs w:val="22"/>
          <w:highlight w:val="none"/>
          <w:u w:val="dotted"/>
        </w:rPr>
        <w:t xml:space="preserve">                                                                                                        </w:t>
      </w:r>
    </w:p>
    <w:p w14:paraId="1EC870FE">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44288" behindDoc="0" locked="0" layoutInCell="1" allowOverlap="1">
                <wp:simplePos x="0" y="0"/>
                <wp:positionH relativeFrom="column">
                  <wp:posOffset>-114300</wp:posOffset>
                </wp:positionH>
                <wp:positionV relativeFrom="paragraph">
                  <wp:posOffset>59690</wp:posOffset>
                </wp:positionV>
                <wp:extent cx="1028700" cy="378460"/>
                <wp:effectExtent l="0" t="0" r="0" b="0"/>
                <wp:wrapNone/>
                <wp:docPr id="382" name="文本框 382"/>
                <wp:cNvGraphicFramePr/>
                <a:graphic xmlns:a="http://schemas.openxmlformats.org/drawingml/2006/main">
                  <a:graphicData uri="http://schemas.microsoft.com/office/word/2010/wordprocessingShape">
                    <wps:wsp>
                      <wps:cNvSpPr txBox="1"/>
                      <wps:spPr>
                        <a:xfrm>
                          <a:off x="0" y="0"/>
                          <a:ext cx="1028700" cy="378460"/>
                        </a:xfrm>
                        <a:prstGeom prst="rect">
                          <a:avLst/>
                        </a:prstGeom>
                        <a:noFill/>
                        <a:ln>
                          <a:noFill/>
                        </a:ln>
                        <a:effectLst/>
                      </wps:spPr>
                      <wps:txbx>
                        <w:txbxContent>
                          <w:p w14:paraId="743DF7E6">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调解或认定</w:t>
                            </w:r>
                          </w:p>
                        </w:txbxContent>
                      </wps:txbx>
                      <wps:bodyPr wrap="square" upright="1"/>
                    </wps:wsp>
                  </a:graphicData>
                </a:graphic>
              </wp:anchor>
            </w:drawing>
          </mc:Choice>
          <mc:Fallback>
            <w:pict>
              <v:shape id="_x0000_s1026" o:spid="_x0000_s1026" o:spt="202" type="#_x0000_t202" style="position:absolute;left:0pt;margin-left:-9pt;margin-top:4.7pt;height:29.8pt;width:81pt;z-index:252044288;mso-width-relative:page;mso-height-relative:page;" filled="f" stroked="f" coordsize="21600,21600" o:gfxdata="UEsDBAoAAAAAAIdO4kAAAAAAAAAAAAAAAAAEAAAAZHJzL1BLAwQUAAAACACHTuJAVzhfmdUAAAAI&#10;AQAADwAAAGRycy9kb3ducmV2LnhtbE2PwW7CMBBE75X4B2uRuIGdKkUkzYYDVa9FpbRSbyZekoh4&#10;HcWGpH9fc2qPoxnNvCm2k+3EjQbfOkZIVgoEceVMyzXC8eN1uQHhg2ajO8eE8EMetuXsodC5cSO/&#10;0+0QahFL2OcaoQmhz6X0VUNW+5XriaN3doPVIcqhlmbQYyy3nXxUai2tbjkuNLqnXUPV5XC1CJ9v&#10;5++vVO3rF/vUj25Skm0mERfzRD2DCDSFvzDc8SM6lJHp5K5svOgQlskmfgkIWQri7qdp1CeEdaZA&#10;loX8f6D8BVBLAwQUAAAACACHTuJAXB4tHr4BAABuAwAADgAAAGRycy9lMm9Eb2MueG1srVNLbtsw&#10;EN0XyB0I7mMpTpEYguUAhZFuiqZA2gPQ1NAiIH7KoS35AukNuuqm+57L5+iQUtw02WSRDTWcz+O8&#10;N6PlzWA6toeA2tmaX8xKzsBK12i7rfm3r7fnC84wCtuIzlmo+QGQ36zO3i17X8Hcta5rIDACsVj1&#10;vuZtjL4qCpQtGIEz58FSULlgRKRr2BZNED2hm66Yl+VV0bvQ+OAkIJJ3PQb5hBheA+iU0hLWTu4M&#10;2DiiBuhEJErYao98lbtVCmS8Uwohsq7mxDTmkx4he5POYrUU1TYI32o5tSBe08IzTkZoS4+eoNYi&#10;CrYL+gWU0TI4dCrOpDPFSCQrQiwuymfa3LfCQ+ZCUqM/iY5vBys/778EppuaXy7mnFlhaOTHnz+O&#10;v/4cfz+w5CSJeo8VZd57yo3DBzfQ4jz6kZyJ+aCCSV/ixChOAh9OAsMQmUxF5XxxXVJIUuzyevH+&#10;Kk+g+FftA8aP4AxLRs0DDTDrKvafMFInlPqYkh6z7lZ3XR5iZ/9zUOLogbwFU3UiMjacrDhshond&#10;xjUHItfTJtQcv+9EAM52PuhtS21kskUqoTHkJqaVSXN+eif76W+y+g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XOF+Z1QAAAAgBAAAPAAAAAAAAAAEAIAAAACIAAABkcnMvZG93bnJldi54bWxQSwEC&#10;FAAUAAAACACHTuJAXB4tHr4BAABuAwAADgAAAAAAAAABACAAAAAkAQAAZHJzL2Uyb0RvYy54bWxQ&#10;SwUGAAAAAAYABgBZAQAAVAUAAAAA&#10;">
                <v:fill on="f" focussize="0,0"/>
                <v:stroke on="f"/>
                <v:imagedata o:title=""/>
                <o:lock v:ext="edit" aspectratio="f"/>
                <v:textbox>
                  <w:txbxContent>
                    <w:p w14:paraId="743DF7E6">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调解或认定</w:t>
                      </w:r>
                    </w:p>
                  </w:txbxContent>
                </v:textbox>
              </v:shape>
            </w:pict>
          </mc:Fallback>
        </mc:AlternateContent>
      </w:r>
      <w:r>
        <w:rPr>
          <w:rFonts w:hint="default" w:ascii="Times New Roman" w:hAnsi="Times New Roman" w:cs="Times New Roman"/>
          <w:color w:val="auto"/>
          <w:sz w:val="22"/>
          <w:szCs w:val="22"/>
          <w:highlight w:val="none"/>
        </w:rPr>
        <w:t>争议调解或认定机构在收到争议调解或认定请求后，可组织调查、勘察、计量等工作，合同双方当事人应为其开展工作提供便利和协助。争议调解或认定机构应就争议做出书面调解或认定结果，并通知合同双方当事人。除合同双方当事人认可并在专用条款约定外，下列机构为争议调解或认定机构：</w:t>
      </w:r>
    </w:p>
    <w:p w14:paraId="20BC3319">
      <w:pPr>
        <w:pStyle w:val="15"/>
        <w:adjustRightInd w:val="0"/>
        <w:snapToGrid w:val="0"/>
        <w:spacing w:line="420" w:lineRule="exact"/>
        <w:ind w:left="162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(1) 建设工程安全监督机构，负责有关工程安全方面争议的调解或认定；</w:t>
      </w:r>
    </w:p>
    <w:p w14:paraId="388DEF08">
      <w:pPr>
        <w:pStyle w:val="15"/>
        <w:adjustRightInd w:val="0"/>
        <w:snapToGrid w:val="0"/>
        <w:spacing w:line="420" w:lineRule="exact"/>
        <w:ind w:left="162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(2) 建设工程质量监督机构，负责有关工程质量方面争议的调解或认定；</w:t>
      </w:r>
    </w:p>
    <w:p w14:paraId="5E13C626">
      <w:pPr>
        <w:pStyle w:val="15"/>
        <w:adjustRightInd w:val="0"/>
        <w:snapToGrid w:val="0"/>
        <w:spacing w:line="420" w:lineRule="exact"/>
        <w:ind w:left="1620"/>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w:t>(3) 建设工程造价管理机构，负责有关工程造价方面争议的调解或认定。</w:t>
      </w:r>
    </w:p>
    <w:p w14:paraId="356E7F16">
      <w:pPr>
        <w:pStyle w:val="15"/>
        <w:tabs>
          <w:tab w:val="left" w:pos="1320"/>
        </w:tabs>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86.5  </w:t>
      </w:r>
      <w:r>
        <w:rPr>
          <w:rFonts w:hint="default" w:ascii="Times New Roman" w:hAnsi="Times New Roman" w:cs="Times New Roman"/>
          <w:b/>
          <w:bCs/>
          <w:color w:val="auto"/>
          <w:sz w:val="22"/>
          <w:szCs w:val="22"/>
          <w:highlight w:val="none"/>
          <w:u w:val="dotted"/>
        </w:rPr>
        <w:t xml:space="preserve">                                                                                                        </w:t>
      </w:r>
    </w:p>
    <w:p w14:paraId="36865C0C">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45312" behindDoc="0" locked="0" layoutInCell="1" allowOverlap="1">
                <wp:simplePos x="0" y="0"/>
                <wp:positionH relativeFrom="column">
                  <wp:posOffset>-114300</wp:posOffset>
                </wp:positionH>
                <wp:positionV relativeFrom="paragraph">
                  <wp:posOffset>32385</wp:posOffset>
                </wp:positionV>
                <wp:extent cx="914400" cy="464820"/>
                <wp:effectExtent l="0" t="0" r="0" b="0"/>
                <wp:wrapNone/>
                <wp:docPr id="383" name="文本框 383"/>
                <wp:cNvGraphicFramePr/>
                <a:graphic xmlns:a="http://schemas.openxmlformats.org/drawingml/2006/main">
                  <a:graphicData uri="http://schemas.microsoft.com/office/word/2010/wordprocessingShape">
                    <wps:wsp>
                      <wps:cNvSpPr txBox="1"/>
                      <wps:spPr>
                        <a:xfrm>
                          <a:off x="0" y="0"/>
                          <a:ext cx="914400" cy="464820"/>
                        </a:xfrm>
                        <a:prstGeom prst="rect">
                          <a:avLst/>
                        </a:prstGeom>
                        <a:noFill/>
                        <a:ln>
                          <a:noFill/>
                        </a:ln>
                        <a:effectLst/>
                      </wps:spPr>
                      <wps:txbx>
                        <w:txbxContent>
                          <w:p w14:paraId="49CB91DC">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调解或认定结果的确认</w:t>
                            </w:r>
                          </w:p>
                        </w:txbxContent>
                      </wps:txbx>
                      <wps:bodyPr wrap="square" upright="1"/>
                    </wps:wsp>
                  </a:graphicData>
                </a:graphic>
              </wp:anchor>
            </w:drawing>
          </mc:Choice>
          <mc:Fallback>
            <w:pict>
              <v:shape id="_x0000_s1026" o:spid="_x0000_s1026" o:spt="202" type="#_x0000_t202" style="position:absolute;left:0pt;margin-left:-9pt;margin-top:2.55pt;height:36.6pt;width:72pt;z-index:252045312;mso-width-relative:page;mso-height-relative:page;" filled="f" stroked="f" coordsize="21600,21600" o:gfxdata="UEsDBAoAAAAAAIdO4kAAAAAAAAAAAAAAAAAEAAAAZHJzL1BLAwQUAAAACACHTuJARltrTdUAAAAI&#10;AQAADwAAAGRycy9kb3ducmV2LnhtbE2PQU/CQBSE7yb+h80j8Qa7RYFa+8pB41UjCgm3pftoG7pv&#10;m+5C6793OclxMpOZb/L1aFtxod43jhGSmQJBXDrTcIXw8/0+TUH4oNno1jEh/JKHdXF/l+vMuIG/&#10;6LIJlYgl7DONUIfQZVL6siar/cx1xNE7ut7qEGVfSdPrIZbbVs6VWkqrG44Lte7otabytDlbhO3H&#10;cb97Up/Vm110gxuVZPssER8miXoBEWgM/2G44kd0KCLTwZ3ZeNEiTJM0fgkIiwTE1Z8voz4grNJH&#10;kEUubw8Uf1BLAwQUAAAACACHTuJAp1t6v74BAABtAwAADgAAAGRycy9lMm9Eb2MueG1srVNLbtsw&#10;EN0X6B0I7mvJjhG4guUAgZFuirZA2gPQ1NAiIH7CoS35Au0Nuuqm+57L5+iQUtw03WTRDTWcz+O8&#10;N6P1zWA6doSA2tmaz2clZ2Cla7Td1/zL57s3K84wCtuIzlmo+QmQ32xev1r3voKFa13XQGAEYrHq&#10;fc3bGH1VFChbMAJnzoOloHLBiEjXsC+aIHpCN12xKMvroneh8cFJQCTvdgzyCTG8BNAppSVsnTwY&#10;sHFEDdCJSJSw1R75JnerFMj4USmEyLqaE9OYT3qE7F06i81aVPsgfKvl1IJ4SQvPOBmhLT16gdqK&#10;KNgh6H+gjJbBoVNxJp0pRiJZEWIxL59pc98KD5kLSY3+Ijr+P1j54fgpMN3U/Gp1xZkVhkZ+/v7t&#10;/OPX+edXlpwkUe+xosx7T7lxuHUDLc6jH8mZmA8qmPQlToziJPDpIjAMkUlyvp0vlyVFJIWW18vV&#10;Ig+g+FPsA8Z34AxLRs0DzS/LKo7vMVIjlPqYkt6y7k53XZ5hZ/9yUOLogbwEU3XiMfabrDjshonc&#10;zjUn4tbTItQcHw4iAGcHH/S+pTYy1yKV0BRyE9PGpDE/vZP99C/Z/A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GW2tN1QAAAAgBAAAPAAAAAAAAAAEAIAAAACIAAABkcnMvZG93bnJldi54bWxQSwEC&#10;FAAUAAAACACHTuJAp1t6v74BAABtAwAADgAAAAAAAAABACAAAAAkAQAAZHJzL2Uyb0RvYy54bWxQ&#10;SwUGAAAAAAYABgBZAQAAVAUAAAAA&#10;">
                <v:fill on="f" focussize="0,0"/>
                <v:stroke on="f"/>
                <v:imagedata o:title=""/>
                <o:lock v:ext="edit" aspectratio="f"/>
                <v:textbox>
                  <w:txbxContent>
                    <w:p w14:paraId="49CB91DC">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调解或认定结果的确认</w:t>
                      </w:r>
                    </w:p>
                  </w:txbxContent>
                </v:textbox>
              </v:shape>
            </w:pict>
          </mc:Fallback>
        </mc:AlternateContent>
      </w:r>
      <w:r>
        <w:rPr>
          <w:rFonts w:hint="default" w:ascii="Times New Roman" w:hAnsi="Times New Roman" w:cs="Times New Roman"/>
          <w:color w:val="auto"/>
          <w:sz w:val="22"/>
          <w:szCs w:val="22"/>
          <w:highlight w:val="none"/>
        </w:rPr>
        <w:t>合同双方当事人应在收到争议调解或认定机构书面结果后的28天内，对调解或认定结果以书面形式予以确认。</w:t>
      </w:r>
    </w:p>
    <w:p w14:paraId="7AB7DAA6">
      <w:pPr>
        <w:pStyle w:val="15"/>
        <w:tabs>
          <w:tab w:val="left" w:pos="1320"/>
        </w:tabs>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86.6  </w:t>
      </w:r>
      <w:r>
        <w:rPr>
          <w:rFonts w:hint="default" w:ascii="Times New Roman" w:hAnsi="Times New Roman" w:cs="Times New Roman"/>
          <w:b/>
          <w:bCs/>
          <w:color w:val="auto"/>
          <w:sz w:val="22"/>
          <w:szCs w:val="22"/>
          <w:highlight w:val="none"/>
          <w:u w:val="dotted"/>
        </w:rPr>
        <w:t xml:space="preserve">                                                                                                        </w:t>
      </w:r>
    </w:p>
    <w:p w14:paraId="7531DD74">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46336" behindDoc="0" locked="0" layoutInCell="1" allowOverlap="1">
                <wp:simplePos x="0" y="0"/>
                <wp:positionH relativeFrom="column">
                  <wp:posOffset>-114300</wp:posOffset>
                </wp:positionH>
                <wp:positionV relativeFrom="paragraph">
                  <wp:posOffset>12065</wp:posOffset>
                </wp:positionV>
                <wp:extent cx="1028700" cy="334645"/>
                <wp:effectExtent l="0" t="0" r="0" b="0"/>
                <wp:wrapNone/>
                <wp:docPr id="384" name="文本框 384"/>
                <wp:cNvGraphicFramePr/>
                <a:graphic xmlns:a="http://schemas.openxmlformats.org/drawingml/2006/main">
                  <a:graphicData uri="http://schemas.microsoft.com/office/word/2010/wordprocessingShape">
                    <wps:wsp>
                      <wps:cNvSpPr txBox="1"/>
                      <wps:spPr>
                        <a:xfrm>
                          <a:off x="0" y="0"/>
                          <a:ext cx="1028700" cy="334645"/>
                        </a:xfrm>
                        <a:prstGeom prst="rect">
                          <a:avLst/>
                        </a:prstGeom>
                        <a:noFill/>
                        <a:ln>
                          <a:noFill/>
                        </a:ln>
                        <a:effectLst/>
                      </wps:spPr>
                      <wps:txbx>
                        <w:txbxContent>
                          <w:p w14:paraId="071BF39C">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仲裁或诉讼</w:t>
                            </w:r>
                          </w:p>
                        </w:txbxContent>
                      </wps:txbx>
                      <wps:bodyPr wrap="square" upright="1"/>
                    </wps:wsp>
                  </a:graphicData>
                </a:graphic>
              </wp:anchor>
            </w:drawing>
          </mc:Choice>
          <mc:Fallback>
            <w:pict>
              <v:shape id="_x0000_s1026" o:spid="_x0000_s1026" o:spt="202" type="#_x0000_t202" style="position:absolute;left:0pt;margin-left:-9pt;margin-top:0.95pt;height:26.35pt;width:81pt;z-index:252046336;mso-width-relative:page;mso-height-relative:page;" filled="f" stroked="f" coordsize="21600,21600" o:gfxdata="UEsDBAoAAAAAAIdO4kAAAAAAAAAAAAAAAAAEAAAAZHJzL1BLAwQUAAAACACHTuJAWCfqyNUAAAAI&#10;AQAADwAAAGRycy9kb3ducmV2LnhtbE2Py07DMBBF90j8gzVI7Fo7KK3akEkXILYgykNi58bTJCIe&#10;R7HbhL9nuoLl1RndObfczb5XZxpjFxghWxpQxHVwHTcI729Piw2omCw72wcmhB+KsKuur0pbuDDx&#10;K533qVFSwrGwCG1KQ6F1rFvyNi7DQCzsGEZvk8Sx0W60k5T7Xt8Zs9bediwfWjvQQ0v19/7kET6e&#10;j1+fuXlpHv1qmMJsNPutRry9ycw9qERz+juGi76oQyVOh3BiF1WPsMg2siUJ2IK68DyXfEBY5WvQ&#10;Van/D6h+AVBLAwQUAAAACACHTuJAF3rX2L0BAABuAwAADgAAAGRycy9lMm9Eb2MueG1srVPNjtMw&#10;EL4j8Q6W79TZtixV1HQlVC0XBEjLPoDrTBpL8Q8et0lfAN6AExfuPFefg7GTLcty2QMXZzw/n+f7&#10;ZrK+GUzHjhBQO1vxq1nBGVjlam33Fb//fPtqxRlGaWvZOQsVPwHym83LF+velzB3retqCIxALJa9&#10;r3gboy+FQNWCkThzHiwFGxeMjHQNe1EH2RO66cS8KK5F70Ltg1OASN7tGOQTYngOoGsarWDr1MGA&#10;jSNqgE5GooSt9sg3udumARU/Ng1CZF3FiWnMJz1C9i6dYrOW5T5I32o1tSCf08ITTkZqS49eoLYy&#10;SnYI+h8oo1Vw6Jo4U86IkUhWhFhcFU+0uWulh8yFpEZ/ER3/H6z6cPwUmK4rvlgtObPS0MjP37+d&#10;f/w6//zKkpMk6j2WlHnnKTcOb91Ai/PgR3Im5kMTTPoSJ0ZxEvh0ERiGyFQqKuarNwWFFMUWi+X1&#10;8nWCEX+qfcD4Dpxhyah4oAFmXeXxPcYx9SElPWbdre66PMTO/uUgzNEDeQum6kRkbDhZcdgNE7ud&#10;q09ErqdNqDh+OcgAnB180PuW2shkRSqhMeR+p5VJc358J/vxb7L5D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Fgn6sjVAAAACAEAAA8AAAAAAAAAAQAgAAAAIgAAAGRycy9kb3ducmV2LnhtbFBLAQIU&#10;ABQAAAAIAIdO4kAXetfYvQEAAG4DAAAOAAAAAAAAAAEAIAAAACQBAABkcnMvZTJvRG9jLnhtbFBL&#10;BQYAAAAABgAGAFkBAABTBQAAAAA=&#10;">
                <v:fill on="f" focussize="0,0"/>
                <v:stroke on="f"/>
                <v:imagedata o:title=""/>
                <o:lock v:ext="edit" aspectratio="f"/>
                <v:textbox>
                  <w:txbxContent>
                    <w:p w14:paraId="071BF39C">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仲裁或诉讼</w:t>
                      </w:r>
                    </w:p>
                  </w:txbxContent>
                </v:textbox>
              </v:shape>
            </w:pict>
          </mc:Fallback>
        </mc:AlternateContent>
      </w:r>
      <w:r>
        <w:rPr>
          <w:rFonts w:hint="default" w:ascii="Times New Roman" w:hAnsi="Times New Roman" w:cs="Times New Roman"/>
          <w:color w:val="auto"/>
          <w:sz w:val="22"/>
          <w:szCs w:val="22"/>
          <w:highlight w:val="none"/>
        </w:rPr>
        <w:t>若合同双方或一方当事人在收到争议调解或认定机构的书面结果后明确表示不同意，或在28天内没有书面确认，任何一方均可按照专用条款约定的下列任一种方式解决争议：</w:t>
      </w:r>
    </w:p>
    <w:p w14:paraId="104C876C">
      <w:pPr>
        <w:pStyle w:val="15"/>
        <w:adjustRightInd w:val="0"/>
        <w:snapToGrid w:val="0"/>
        <w:spacing w:line="420" w:lineRule="exact"/>
        <w:ind w:left="162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(1) 向约定的仲裁委员会申请仲裁；</w:t>
      </w:r>
    </w:p>
    <w:p w14:paraId="0652AB10">
      <w:pPr>
        <w:pStyle w:val="15"/>
        <w:adjustRightInd w:val="0"/>
        <w:snapToGrid w:val="0"/>
        <w:spacing w:line="420" w:lineRule="exact"/>
        <w:ind w:left="162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(2) 向有管辖权的人民法院提起诉讼。</w:t>
      </w:r>
    </w:p>
    <w:p w14:paraId="3A085C00">
      <w:pPr>
        <w:pStyle w:val="15"/>
        <w:tabs>
          <w:tab w:val="left" w:pos="1320"/>
        </w:tabs>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86.7  </w:t>
      </w:r>
      <w:r>
        <w:rPr>
          <w:rFonts w:hint="default" w:ascii="Times New Roman" w:hAnsi="Times New Roman" w:cs="Times New Roman"/>
          <w:b/>
          <w:bCs/>
          <w:color w:val="auto"/>
          <w:sz w:val="22"/>
          <w:szCs w:val="22"/>
          <w:highlight w:val="none"/>
          <w:u w:val="dotted"/>
        </w:rPr>
        <w:t xml:space="preserve">                                                                                                        </w:t>
      </w:r>
    </w:p>
    <w:p w14:paraId="38BB0143">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47360" behindDoc="0" locked="0" layoutInCell="1" allowOverlap="1">
                <wp:simplePos x="0" y="0"/>
                <wp:positionH relativeFrom="column">
                  <wp:posOffset>-114300</wp:posOffset>
                </wp:positionH>
                <wp:positionV relativeFrom="paragraph">
                  <wp:posOffset>15875</wp:posOffset>
                </wp:positionV>
                <wp:extent cx="914400" cy="460375"/>
                <wp:effectExtent l="0" t="0" r="0" b="0"/>
                <wp:wrapNone/>
                <wp:docPr id="385" name="文本框 385"/>
                <wp:cNvGraphicFramePr/>
                <a:graphic xmlns:a="http://schemas.openxmlformats.org/drawingml/2006/main">
                  <a:graphicData uri="http://schemas.microsoft.com/office/word/2010/wordprocessingShape">
                    <wps:wsp>
                      <wps:cNvSpPr txBox="1"/>
                      <wps:spPr>
                        <a:xfrm>
                          <a:off x="0" y="0"/>
                          <a:ext cx="914400" cy="460375"/>
                        </a:xfrm>
                        <a:prstGeom prst="rect">
                          <a:avLst/>
                        </a:prstGeom>
                        <a:noFill/>
                        <a:ln>
                          <a:noFill/>
                        </a:ln>
                        <a:effectLst/>
                      </wps:spPr>
                      <wps:txbx>
                        <w:txbxContent>
                          <w:p w14:paraId="333AEC51">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争议期间继续施工</w:t>
                            </w:r>
                          </w:p>
                        </w:txbxContent>
                      </wps:txbx>
                      <wps:bodyPr wrap="square" upright="1"/>
                    </wps:wsp>
                  </a:graphicData>
                </a:graphic>
              </wp:anchor>
            </w:drawing>
          </mc:Choice>
          <mc:Fallback>
            <w:pict>
              <v:shape id="_x0000_s1026" o:spid="_x0000_s1026" o:spt="202" type="#_x0000_t202" style="position:absolute;left:0pt;margin-left:-9pt;margin-top:1.25pt;height:36.25pt;width:72pt;z-index:252047360;mso-width-relative:page;mso-height-relative:page;" filled="f" stroked="f" coordsize="21600,21600" o:gfxdata="UEsDBAoAAAAAAIdO4kAAAAAAAAAAAAAAAAAEAAAAZHJzL1BLAwQUAAAACACHTuJACuoOVNUAAAAI&#10;AQAADwAAAGRycy9kb3ducmV2LnhtbE2PzW7CMBCE75V4B2srcQM7EaEQsuFA1Wur0h+pNxMvSdR4&#10;HcWGpG9fc2qPoxnNfFPsJ9uJKw2+dYyQLBUI4sqZlmuE97enxQaED5qN7hwTwg952Jezu0Lnxo38&#10;StdjqEUsYZ9rhCaEPpfSVw1Z7ZeuJ47e2Q1WhyiHWppBj7HcdjJVai2tbjkuNLqnQ0PV9/FiET6e&#10;z1+fK/VSP9qsH92kJNutRJzfJ2oHItAU/sJww4/oUEamk7uw8aJDWCSb+CUgpBmIm5+uoz4hPGQK&#10;ZFnI/wfKX1BLAwQUAAAACACHTuJASeuIZ74BAABtAwAADgAAAGRycy9lMm9Eb2MueG1srVNLbtsw&#10;EN0XyB0I7mvKiZOmguUAhZFuirZA2gPQ1MgiIH7CoS35AukNuuqm+57L5+iQUtw03WTRDTWcz+O8&#10;N6PlzWA6toeA2tmKz2cFZ2CVq7XdVvzrl9vX15xhlLaWnbNQ8QMgv1mdvVr2voRz17quhsAIxGLZ&#10;+4q3MfpSCFQtGIkz58FSsHHByEjXsBV1kD2hm06cF8WV6F2ofXAKEMm7HoN8QgwvAXRNoxWsndoZ&#10;sHFEDdDJSJSw1R75KnfbNKDip6ZBiKyrODGN+aRHyN6kU6yWstwG6VutphbkS1p4xslIbenRE9Ra&#10;Rsl2Qf8DZbQKDl0TZ8oZMRLJihCLefFMm7tWeshcSGr0J9Hx/8Gqj/vPgem64hfXl5xZaWjkx+/f&#10;jj9+HX8+sOQkiXqPJWXeecqNwzs30OI8+pGcifnQBJO+xIlRnAQ+nASGITJFzrfzxaKgiKLQ4qq4&#10;eJPRxZ9iHzC+B2dYMioeaH5ZVrn/gJEaodTHlPSWdbe66/IMO/uXgxJHD+QlmKoTj7HfZMVhM0zk&#10;Nq4+ELeeFqHieL+TATjb+aC3LbWRuYpUQlPITUwbk8b89E72079k9R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K6g5U1QAAAAgBAAAPAAAAAAAAAAEAIAAAACIAAABkcnMvZG93bnJldi54bWxQSwEC&#10;FAAUAAAACACHTuJASeuIZ74BAABtAwAADgAAAAAAAAABACAAAAAkAQAAZHJzL2Uyb0RvYy54bWxQ&#10;SwUGAAAAAAYABgBZAQAAVAUAAAAA&#10;">
                <v:fill on="f" focussize="0,0"/>
                <v:stroke on="f"/>
                <v:imagedata o:title=""/>
                <o:lock v:ext="edit" aspectratio="f"/>
                <v:textbox>
                  <w:txbxContent>
                    <w:p w14:paraId="333AEC51">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争议期间继续施工</w:t>
                      </w:r>
                    </w:p>
                  </w:txbxContent>
                </v:textbox>
              </v:shape>
            </w:pict>
          </mc:Fallback>
        </mc:AlternateContent>
      </w:r>
      <w:r>
        <w:rPr>
          <w:rFonts w:hint="default" w:ascii="Times New Roman" w:hAnsi="Times New Roman" w:cs="Times New Roman"/>
          <w:color w:val="auto"/>
          <w:sz w:val="22"/>
          <w:szCs w:val="22"/>
          <w:highlight w:val="none"/>
        </w:rPr>
        <w:t>争议期间，除下列情况停止施工外，合同双方当事人都应继续履行合同，保持工程连续施工，保护好已完工程：</w:t>
      </w:r>
    </w:p>
    <w:p w14:paraId="1E37BF3E">
      <w:pPr>
        <w:pStyle w:val="15"/>
        <w:adjustRightInd w:val="0"/>
        <w:snapToGrid w:val="0"/>
        <w:spacing w:line="420" w:lineRule="exact"/>
        <w:ind w:left="162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(1) 合同双方当事人协商同意；</w:t>
      </w:r>
    </w:p>
    <w:p w14:paraId="79062357">
      <w:pPr>
        <w:pStyle w:val="15"/>
        <w:adjustRightInd w:val="0"/>
        <w:snapToGrid w:val="0"/>
        <w:spacing w:line="420" w:lineRule="exact"/>
        <w:ind w:left="162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(2) 合同一方当事人违约导致合同无法履行；</w:t>
      </w:r>
    </w:p>
    <w:p w14:paraId="0E74CB46">
      <w:pPr>
        <w:pStyle w:val="15"/>
        <w:adjustRightInd w:val="0"/>
        <w:snapToGrid w:val="0"/>
        <w:spacing w:line="420" w:lineRule="exact"/>
        <w:ind w:left="162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(3) 工程造价管理机构调解需要，且合同双方当事人同意；</w:t>
      </w:r>
    </w:p>
    <w:p w14:paraId="0A12FEEF">
      <w:pPr>
        <w:pStyle w:val="15"/>
        <w:adjustRightInd w:val="0"/>
        <w:snapToGrid w:val="0"/>
        <w:spacing w:line="420" w:lineRule="exact"/>
        <w:ind w:left="162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(4) 仲裁委员会仲裁需要，且合同双方当事人同意：</w:t>
      </w:r>
    </w:p>
    <w:p w14:paraId="38B57E14">
      <w:pPr>
        <w:pStyle w:val="15"/>
        <w:adjustRightInd w:val="0"/>
        <w:snapToGrid w:val="0"/>
        <w:spacing w:line="420" w:lineRule="exact"/>
        <w:ind w:firstLine="1430" w:firstLineChars="65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(5) 人民法院诉讼需要。</w:t>
      </w:r>
    </w:p>
    <w:p w14:paraId="331B7F6E">
      <w:pPr>
        <w:pStyle w:val="15"/>
        <w:tabs>
          <w:tab w:val="left" w:pos="1620"/>
        </w:tabs>
        <w:adjustRightInd w:val="0"/>
        <w:snapToGrid w:val="0"/>
        <w:spacing w:line="420" w:lineRule="exact"/>
        <w:ind w:right="-240"/>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2926ED2D">
      <w:pPr>
        <w:pStyle w:val="15"/>
        <w:tabs>
          <w:tab w:val="left" w:pos="540"/>
        </w:tabs>
        <w:adjustRightInd w:val="0"/>
        <w:snapToGrid w:val="0"/>
        <w:spacing w:before="240" w:beforeLines="100" w:line="420" w:lineRule="exact"/>
        <w:outlineLvl w:val="2"/>
        <w:rPr>
          <w:rFonts w:hint="default" w:ascii="Times New Roman" w:hAnsi="Times New Roman" w:cs="Times New Roman"/>
          <w:b/>
          <w:bCs/>
          <w:color w:val="auto"/>
          <w:sz w:val="22"/>
          <w:szCs w:val="22"/>
          <w:highlight w:val="none"/>
        </w:rPr>
      </w:pPr>
      <w:bookmarkStart w:id="277" w:name="_Toc28469"/>
      <w:bookmarkStart w:id="278" w:name="_Toc469384071"/>
      <w:r>
        <w:rPr>
          <w:rFonts w:hint="default" w:ascii="Times New Roman" w:hAnsi="Times New Roman" w:cs="Times New Roman"/>
          <w:b/>
          <w:bCs/>
          <w:color w:val="auto"/>
          <w:sz w:val="22"/>
          <w:szCs w:val="22"/>
          <w:highlight w:val="none"/>
        </w:rPr>
        <w:t>87  合同解除</w:t>
      </w:r>
      <w:bookmarkEnd w:id="277"/>
      <w:bookmarkEnd w:id="278"/>
    </w:p>
    <w:p w14:paraId="7D5E1B24">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87.1   </w:t>
      </w:r>
    </w:p>
    <w:p w14:paraId="3AA80ADA">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48384" behindDoc="0" locked="0" layoutInCell="1" allowOverlap="1">
                <wp:simplePos x="0" y="0"/>
                <wp:positionH relativeFrom="column">
                  <wp:posOffset>-114300</wp:posOffset>
                </wp:positionH>
                <wp:positionV relativeFrom="paragraph">
                  <wp:posOffset>-3810</wp:posOffset>
                </wp:positionV>
                <wp:extent cx="1028700" cy="263525"/>
                <wp:effectExtent l="0" t="0" r="0" b="0"/>
                <wp:wrapNone/>
                <wp:docPr id="386" name="文本框 386"/>
                <wp:cNvGraphicFramePr/>
                <a:graphic xmlns:a="http://schemas.openxmlformats.org/drawingml/2006/main">
                  <a:graphicData uri="http://schemas.microsoft.com/office/word/2010/wordprocessingShape">
                    <wps:wsp>
                      <wps:cNvSpPr txBox="1"/>
                      <wps:spPr>
                        <a:xfrm>
                          <a:off x="0" y="0"/>
                          <a:ext cx="1028700" cy="263525"/>
                        </a:xfrm>
                        <a:prstGeom prst="rect">
                          <a:avLst/>
                        </a:prstGeom>
                        <a:noFill/>
                        <a:ln>
                          <a:noFill/>
                        </a:ln>
                        <a:effectLst/>
                      </wps:spPr>
                      <wps:txbx>
                        <w:txbxContent>
                          <w:p w14:paraId="1B165739">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协商一致解除</w:t>
                            </w:r>
                          </w:p>
                        </w:txbxContent>
                      </wps:txbx>
                      <wps:bodyPr wrap="square" upright="1"/>
                    </wps:wsp>
                  </a:graphicData>
                </a:graphic>
              </wp:anchor>
            </w:drawing>
          </mc:Choice>
          <mc:Fallback>
            <w:pict>
              <v:shape id="_x0000_s1026" o:spid="_x0000_s1026" o:spt="202" type="#_x0000_t202" style="position:absolute;left:0pt;margin-left:-9pt;margin-top:-0.3pt;height:20.75pt;width:81pt;z-index:252048384;mso-width-relative:page;mso-height-relative:page;" filled="f" stroked="f" coordsize="21600,21600" o:gfxdata="UEsDBAoAAAAAAIdO4kAAAAAAAAAAAAAAAAAEAAAAZHJzL1BLAwQUAAAACACHTuJAauybptQAAAAI&#10;AQAADwAAAGRycy9kb3ducmV2LnhtbE2PwU7DMBBE70j8g7VI3Np1UKjaEKcHEFcQpSBxc+NtEhGv&#10;o9htwt+zPcFtRzOafVNuZ9+rM42xC2wgW2pQxHVwHTcG9u/PizWomCw72wcmAz8UYVtdX5W2cGHi&#10;NzrvUqOkhGNhDbQpDQVirFvyNi7DQCzeMYzeJpFjg260k5T7Hu+0XqG3HcuH1g702FL9vTt5Ax8v&#10;x6/PXL82T/5+mMKskf0Gjbm9yfQDqERz+gvDBV/QoRKmQzixi6o3sMjWsiXJsQJ18fNc9MFArjeA&#10;VYn/B1S/UEsDBBQAAAAIAIdO4kD+LI3hvAEAAG4DAAAOAAAAZHJzL2Uyb0RvYy54bWytU82O0zAQ&#10;viPxDpbvNNmstlRR05VQtVwQIC08gOuMG0v+w+M26QvAG3Diwp3n6nMwTrJlWS574OKM5+fzfN9M&#10;1reDNewIEbV3Db9alJyBk77Vbt/wz5/uXq04wyRcK4x30PATIL/dvHyx7kMNle+8aSEyAnFY96Hh&#10;XUqhLgqUHViBCx/AUVD5aEWia9wXbRQ9oVtTVGW5LHof2xC9BETybqcgnxHjcwC9UlrC1suDBZcm&#10;1AhGJKKEnQ7IN2O3SoFMH5RCSMw0nJim8aRHyN7ls9isRb2PInRazi2I57TwhJMV2tGjF6itSIId&#10;ov4HymoZPXqVFtLbYiIyKkIsrson2tx3IsDIhaTGcBEd/x+sfH/8GJluG369WnLmhKWRn79/O//4&#10;df75lWUnSdQHrCnzPlBuGt74gRbnwY/kzMwHFW3+EidGcRL4dBEYhsRkLiqr1euSQpJi1fL6prrJ&#10;MMWf6hAxvQVvWTYaHmmAo67i+A7TlPqQkh9z/k4bMw7RuL8chDl5YNyCuToTmRrOVhp2w8xu59sT&#10;ketpExqOXw4iAmeHEPW+ozZGskUuoTGM/c4rk+f8+E72499k8x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Bq7Jum1AAAAAgBAAAPAAAAAAAAAAEAIAAAACIAAABkcnMvZG93bnJldi54bWxQSwECFAAU&#10;AAAACACHTuJA/iyN4bwBAABuAwAADgAAAAAAAAABACAAAAAjAQAAZHJzL2Uyb0RvYy54bWxQSwUG&#10;AAAAAAYABgBZAQAAUQUAAAAA&#10;">
                <v:fill on="f" focussize="0,0"/>
                <v:stroke on="f"/>
                <v:imagedata o:title=""/>
                <o:lock v:ext="edit" aspectratio="f"/>
                <v:textbox>
                  <w:txbxContent>
                    <w:p w14:paraId="1B165739">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协商一致解除</w:t>
                      </w:r>
                    </w:p>
                  </w:txbxContent>
                </v:textbox>
              </v:shape>
            </w:pict>
          </mc:Fallback>
        </mc:AlternateContent>
      </w:r>
      <w:r>
        <w:rPr>
          <w:rFonts w:hint="default" w:ascii="Times New Roman" w:hAnsi="Times New Roman" w:cs="Times New Roman"/>
          <w:color w:val="auto"/>
          <w:sz w:val="22"/>
          <w:szCs w:val="22"/>
          <w:highlight w:val="none"/>
        </w:rPr>
        <w:t>合同双方当事人协商一致，可以解除合同。</w:t>
      </w:r>
    </w:p>
    <w:p w14:paraId="32BE398F">
      <w:pPr>
        <w:spacing w:line="420" w:lineRule="exact"/>
        <w:rPr>
          <w:rFonts w:hint="default" w:ascii="Times New Roman" w:hAnsi="Times New Roman" w:cs="Times New Roman"/>
          <w:color w:val="auto"/>
          <w:sz w:val="22"/>
          <w:szCs w:val="22"/>
          <w:highlight w:val="none"/>
        </w:rPr>
      </w:pPr>
    </w:p>
    <w:p w14:paraId="494BA0F8">
      <w:pPr>
        <w:pStyle w:val="15"/>
        <w:tabs>
          <w:tab w:val="left" w:pos="1320"/>
        </w:tabs>
        <w:adjustRightInd w:val="0"/>
        <w:snapToGrid w:val="0"/>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49408" behindDoc="0" locked="0" layoutInCell="1" allowOverlap="1">
                <wp:simplePos x="0" y="0"/>
                <wp:positionH relativeFrom="column">
                  <wp:posOffset>-114300</wp:posOffset>
                </wp:positionH>
                <wp:positionV relativeFrom="paragraph">
                  <wp:posOffset>291465</wp:posOffset>
                </wp:positionV>
                <wp:extent cx="914400" cy="495300"/>
                <wp:effectExtent l="0" t="0" r="0" b="0"/>
                <wp:wrapNone/>
                <wp:docPr id="387" name="文本框 387"/>
                <wp:cNvGraphicFramePr/>
                <a:graphic xmlns:a="http://schemas.openxmlformats.org/drawingml/2006/main">
                  <a:graphicData uri="http://schemas.microsoft.com/office/word/2010/wordprocessingShape">
                    <wps:wsp>
                      <wps:cNvSpPr txBox="1"/>
                      <wps:spPr>
                        <a:xfrm>
                          <a:off x="0" y="0"/>
                          <a:ext cx="914400" cy="495300"/>
                        </a:xfrm>
                        <a:prstGeom prst="rect">
                          <a:avLst/>
                        </a:prstGeom>
                        <a:noFill/>
                        <a:ln>
                          <a:noFill/>
                        </a:ln>
                        <a:effectLst/>
                      </wps:spPr>
                      <wps:txbx>
                        <w:txbxContent>
                          <w:p w14:paraId="29680949">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不可抗力导致解除</w:t>
                            </w:r>
                          </w:p>
                        </w:txbxContent>
                      </wps:txbx>
                      <wps:bodyPr wrap="square" upright="1"/>
                    </wps:wsp>
                  </a:graphicData>
                </a:graphic>
              </wp:anchor>
            </w:drawing>
          </mc:Choice>
          <mc:Fallback>
            <w:pict>
              <v:shape id="_x0000_s1026" o:spid="_x0000_s1026" o:spt="202" type="#_x0000_t202" style="position:absolute;left:0pt;margin-left:-9pt;margin-top:22.95pt;height:39pt;width:72pt;z-index:252049408;mso-width-relative:page;mso-height-relative:page;" filled="f" stroked="f" coordsize="21600,21600" o:gfxdata="UEsDBAoAAAAAAIdO4kAAAAAAAAAAAAAAAAAEAAAAZHJzL1BLAwQUAAAACACHTuJA/uj4+dcAAAAK&#10;AQAADwAAAGRycy9kb3ducmV2LnhtbE2PO2/DMAyE9wL5DwILZEsk54XYNZ0hRdcWTR9AN8VibKMW&#10;ZVhK7P77ylO7kbzD8bv8MNpW3Kj3jWOEZKlAEJfONFwhvL89LfYgfNBsdOuYEH7Iw6GY3eU6M27g&#10;V7qdQiViCPtMI9QhdJmUvqzJar90HXHULq63OsS1r6Tp9RDDbStXSu2k1Q3HD7Xu6FhT+X26WoSP&#10;58vX50a9VI922w1uVJJtKhHn94l6ABFoDH9mmPAjOhSR6eyubLxoERbJPnYJCJttCmIyrHbxcJ6G&#10;dQqyyOX/CsUvUEsDBBQAAAAIAIdO4kAEdLYovQEAAG0DAAAOAAAAZHJzL2Uyb0RvYy54bWytU0tu&#10;2zAQ3RfoHQjua8mJ2yaC5QCFkWyKtkDSA9DU0CLAXzi0JV+gvUFX3XTfc/kcGUqKm6abLLqhhvN5&#10;nPdmtLzqrWF7iKi9q/l8VnIGTvpGu23Nv95dv7ngDJNwjTDeQc0PgPxq9frVsgsVnPnWmwYiIxCH&#10;VRdq3qYUqqJA2YIVOPMBHAWVj1YkusZt0UTREbo1xVlZvis6H5sQvQRE8q7HIJ8Q40sAvVJawtrL&#10;nQWXRtQIRiSihK0OyFdDt0qBTJ+VQkjM1JyYpuGkR8je5LNYLUW1jSK0Wk4tiJe08IyTFdrRoyeo&#10;tUiC7aL+B8pqGT16lWbS22IkMihCLOblM21uWxFg4EJSYziJjv8PVn7af4lMNzU/v3jPmROWRn78&#10;8f348/fx1zeWnSRRF7CizNtAuan/4HtanEc/kjMz71W0+UucGMVJ4MNJYOgTk+S8nC8WJUUkhRaX&#10;b8/JJvTiT3GImG7AW5aNmkea3yCr2H/ENKY+puS3nL/WxgwzNO4vB2GOHhiWYKrOPMZ+s5X6TT+R&#10;2/jmQNw6WoSa4/1OROBsF6LettTGwLXIJTSFod9pY/KYn97JfvqXrB4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uj4+dcAAAAKAQAADwAAAAAAAAABACAAAAAiAAAAZHJzL2Rvd25yZXYueG1sUEsB&#10;AhQAFAAAAAgAh07iQAR0tii9AQAAbQMAAA4AAAAAAAAAAQAgAAAAJgEAAGRycy9lMm9Eb2MueG1s&#10;UEsFBgAAAAAGAAYAWQEAAFUFAAAAAA==&#10;">
                <v:fill on="f" focussize="0,0"/>
                <v:stroke on="f"/>
                <v:imagedata o:title=""/>
                <o:lock v:ext="edit" aspectratio="f"/>
                <v:textbox>
                  <w:txbxContent>
                    <w:p w14:paraId="29680949">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不可抗力导致解除</w:t>
                      </w:r>
                    </w:p>
                  </w:txbxContent>
                </v:textbox>
              </v:shape>
            </w:pict>
          </mc:Fallback>
        </mc:AlternateContent>
      </w:r>
      <w:r>
        <w:rPr>
          <w:rFonts w:hint="default" w:ascii="Times New Roman" w:hAnsi="Times New Roman" w:cs="Times New Roman"/>
          <w:b/>
          <w:bCs/>
          <w:color w:val="auto"/>
          <w:sz w:val="22"/>
          <w:szCs w:val="22"/>
          <w:highlight w:val="none"/>
        </w:rPr>
        <w:t xml:space="preserve">87.2  </w:t>
      </w:r>
      <w:r>
        <w:rPr>
          <w:rFonts w:hint="default" w:ascii="Times New Roman" w:hAnsi="Times New Roman" w:cs="Times New Roman"/>
          <w:b/>
          <w:bCs/>
          <w:color w:val="auto"/>
          <w:sz w:val="22"/>
          <w:szCs w:val="22"/>
          <w:highlight w:val="none"/>
          <w:u w:val="dotted"/>
        </w:rPr>
        <w:t xml:space="preserve">  </w:t>
      </w:r>
      <w:r>
        <w:rPr>
          <w:rFonts w:hint="default" w:ascii="Times New Roman" w:hAnsi="Times New Roman" w:cs="Times New Roman"/>
          <w:color w:val="auto"/>
          <w:sz w:val="22"/>
          <w:szCs w:val="22"/>
          <w:highlight w:val="none"/>
          <w:u w:val="dotted"/>
        </w:rPr>
        <w:t xml:space="preserve">                                                                                                      </w:t>
      </w:r>
    </w:p>
    <w:p w14:paraId="1D0573CA">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因不可抗力事件致使合同无法继续履行的，合同双方当事人可以解除合同。</w:t>
      </w:r>
    </w:p>
    <w:p w14:paraId="74299D38">
      <w:pPr>
        <w:pStyle w:val="15"/>
        <w:tabs>
          <w:tab w:val="left" w:pos="1320"/>
        </w:tabs>
        <w:adjustRightInd w:val="0"/>
        <w:snapToGrid w:val="0"/>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 xml:space="preserve">87.3 </w:t>
      </w:r>
      <w:r>
        <w:rPr>
          <w:rFonts w:hint="default" w:ascii="Times New Roman" w:hAnsi="Times New Roman" w:cs="Times New Roman"/>
          <w:color w:val="auto"/>
          <w:sz w:val="22"/>
          <w:szCs w:val="22"/>
          <w:highlight w:val="none"/>
        </w:rPr>
        <w:t xml:space="preserve"> </w:t>
      </w:r>
      <w:r>
        <w:rPr>
          <w:rFonts w:hint="default" w:ascii="Times New Roman" w:hAnsi="Times New Roman" w:cs="Times New Roman"/>
          <w:color w:val="auto"/>
          <w:sz w:val="22"/>
          <w:szCs w:val="22"/>
          <w:highlight w:val="none"/>
          <w:u w:val="dotted"/>
        </w:rPr>
        <w:t xml:space="preserve">                                                                                                       </w:t>
      </w:r>
    </w:p>
    <w:p w14:paraId="3415448F">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50432" behindDoc="0" locked="0" layoutInCell="1" allowOverlap="1">
                <wp:simplePos x="0" y="0"/>
                <wp:positionH relativeFrom="column">
                  <wp:posOffset>-114300</wp:posOffset>
                </wp:positionH>
                <wp:positionV relativeFrom="paragraph">
                  <wp:posOffset>37465</wp:posOffset>
                </wp:positionV>
                <wp:extent cx="914400" cy="404495"/>
                <wp:effectExtent l="0" t="0" r="0" b="0"/>
                <wp:wrapNone/>
                <wp:docPr id="388" name="文本框 388"/>
                <wp:cNvGraphicFramePr/>
                <a:graphic xmlns:a="http://schemas.openxmlformats.org/drawingml/2006/main">
                  <a:graphicData uri="http://schemas.microsoft.com/office/word/2010/wordprocessingShape">
                    <wps:wsp>
                      <wps:cNvSpPr txBox="1"/>
                      <wps:spPr>
                        <a:xfrm>
                          <a:off x="0" y="0"/>
                          <a:ext cx="914400" cy="404495"/>
                        </a:xfrm>
                        <a:prstGeom prst="rect">
                          <a:avLst/>
                        </a:prstGeom>
                        <a:noFill/>
                        <a:ln>
                          <a:noFill/>
                        </a:ln>
                        <a:effectLst/>
                      </wps:spPr>
                      <wps:txbx>
                        <w:txbxContent>
                          <w:p w14:paraId="2D2AFDC0">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因承包人的原因解除</w:t>
                            </w:r>
                          </w:p>
                        </w:txbxContent>
                      </wps:txbx>
                      <wps:bodyPr wrap="square" upright="1"/>
                    </wps:wsp>
                  </a:graphicData>
                </a:graphic>
              </wp:anchor>
            </w:drawing>
          </mc:Choice>
          <mc:Fallback>
            <w:pict>
              <v:shape id="_x0000_s1026" o:spid="_x0000_s1026" o:spt="202" type="#_x0000_t202" style="position:absolute;left:0pt;margin-left:-9pt;margin-top:2.95pt;height:31.85pt;width:72pt;z-index:252050432;mso-width-relative:page;mso-height-relative:page;" filled="f" stroked="f" coordsize="21600,21600" o:gfxdata="UEsDBAoAAAAAAIdO4kAAAAAAAAAAAAAAAAAEAAAAZHJzL1BLAwQUAAAACACHTuJACt/8+dUAAAAI&#10;AQAADwAAAGRycy9kb3ducmV2LnhtbE2PzW7CMBCE75X6DtZW4gZ2EEQkZMMB1Gur0h+pNxMvSUS8&#10;jmJD0revObXH0Yxmvil2k+3EjQbfOkZIFgoEceVMyzXCx/vzfAPCB81Gd44J4Yc87MrHh0Lnxo38&#10;RrdjqEUsYZ9rhCaEPpfSVw1Z7ReuJ47e2Q1WhyiHWppBj7HcdnKpVCqtbjkuNLqnfUPV5Xi1CJ8v&#10;5++vlXqtD3bdj25Skm0mEWdPidqCCDSFvzDc8SM6lJHp5K5svOgQ5skmfgkI6wzE3V+mUZ8Q0iwF&#10;WRby/4HyF1BLAwQUAAAACACHTuJAphAE+LwBAABtAwAADgAAAGRycy9lMm9Eb2MueG1srVPNjtMw&#10;EL4j8Q6W79TpEtBu1HSlVbVcECAtPIDrTBpL/sPjNukLwBtw4sKd5+pzME6yZVkue9iLM56fz/N9&#10;M1ldD9awA0TU3tV8uSg4A6d8o92u5l8+37665AyTdI003kHNj4D8ev3yxaoPFVz4zpsGIiMQh1Uf&#10;at6lFCohUHVgJS58AEfB1kcrE13jTjRR9oRujbgoirei97EJ0StAJO9mCvIZMT4F0LetVrDxam/B&#10;pQk1gpGJKGGnA/L12G3bgkof2xYhMVNzYprGkx4he5tPsV7Jahdl6LSaW5BPaeERJyu1o0fPUBuZ&#10;JNtH/R+U1Sp69G1aKG/FRGRUhFgsi0fa3HUywMiFpMZwFh2fD1Z9OHyKTDc1f31Jg3fS0shPP76f&#10;fv4+/frGspMk6gNWlHkXKDcNN36gxbn3Izkz86GNNn+JE6M4CXw8CwxDYoqcV8uyLCiiKFQWZXn1&#10;JqOIv8UhYnoH3rJs1DzS/EZZ5eE9pin1PiW/5fytNmacoXH/OAhz8sC4BHN15jH1m600bIeZ3NY3&#10;R+LW0yLUHL/uZQTO9iHqXUdtjFxFLqEpjP3OG5PH/PBO9sO/ZP0H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Ct/8+dUAAAAIAQAADwAAAAAAAAABACAAAAAiAAAAZHJzL2Rvd25yZXYueG1sUEsBAhQA&#10;FAAAAAgAh07iQKYQBPi8AQAAbQMAAA4AAAAAAAAAAQAgAAAAJAEAAGRycy9lMm9Eb2MueG1sUEsF&#10;BgAAAAAGAAYAWQEAAFIFAAAAAA==&#10;">
                <v:fill on="f" focussize="0,0"/>
                <v:stroke on="f"/>
                <v:imagedata o:title=""/>
                <o:lock v:ext="edit" aspectratio="f"/>
                <v:textbox>
                  <w:txbxContent>
                    <w:p w14:paraId="2D2AFDC0">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因承包人的原因解除</w:t>
                      </w:r>
                    </w:p>
                  </w:txbxContent>
                </v:textbox>
              </v:shape>
            </w:pict>
          </mc:Fallback>
        </mc:AlternateContent>
      </w:r>
      <w:r>
        <w:rPr>
          <w:rFonts w:hint="default" w:ascii="Times New Roman" w:hAnsi="Times New Roman" w:cs="Times New Roman"/>
          <w:color w:val="auto"/>
          <w:sz w:val="22"/>
          <w:szCs w:val="22"/>
          <w:highlight w:val="none"/>
        </w:rPr>
        <w:t>承包人有下列情形之一者，发包人可以解除合同：</w:t>
      </w:r>
    </w:p>
    <w:p w14:paraId="5D225DCB">
      <w:pPr>
        <w:pStyle w:val="15"/>
        <w:numPr>
          <w:ilvl w:val="0"/>
          <w:numId w:val="26"/>
        </w:numPr>
        <w:adjustRightInd w:val="0"/>
        <w:snapToGrid w:val="0"/>
        <w:spacing w:line="420" w:lineRule="exact"/>
        <w:ind w:left="1619" w:leftChars="771"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承包人未能按照第34.2款规定的开工期限内开工，经监理工程师催告后的28天内仍未开工的；</w:t>
      </w:r>
    </w:p>
    <w:p w14:paraId="78D15A98">
      <w:pPr>
        <w:pStyle w:val="15"/>
        <w:numPr>
          <w:ilvl w:val="0"/>
          <w:numId w:val="26"/>
        </w:numPr>
        <w:adjustRightInd w:val="0"/>
        <w:snapToGrid w:val="0"/>
        <w:spacing w:line="420" w:lineRule="exact"/>
        <w:ind w:left="1619" w:leftChars="771"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按照第33条规定的进度计划未表明有停工且监理工程师也未按照第35.1款规定发出暂停施工令，但承包人停止施工时间持续达56天或累计停止施工时间达70天的；</w:t>
      </w:r>
    </w:p>
    <w:p w14:paraId="04DB15A1">
      <w:pPr>
        <w:pStyle w:val="15"/>
        <w:numPr>
          <w:ilvl w:val="0"/>
          <w:numId w:val="26"/>
        </w:numPr>
        <w:tabs>
          <w:tab w:val="left" w:pos="1680"/>
        </w:tabs>
        <w:adjustRightInd w:val="0"/>
        <w:snapToGrid w:val="0"/>
        <w:spacing w:line="420" w:lineRule="exact"/>
        <w:ind w:left="1619" w:leftChars="771"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承包人违反第18.1款或第51.4款规定未经监理工程师批准，私自将已按照合同约定进入施工现场的施工设备、临时设施或材料运出施工现场的；</w:t>
      </w:r>
    </w:p>
    <w:p w14:paraId="0C059BCF">
      <w:pPr>
        <w:pStyle w:val="15"/>
        <w:numPr>
          <w:ilvl w:val="0"/>
          <w:numId w:val="26"/>
        </w:numPr>
        <w:adjustRightInd w:val="0"/>
        <w:snapToGrid w:val="0"/>
        <w:spacing w:line="420" w:lineRule="exact"/>
        <w:ind w:left="1619" w:leftChars="771"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 xml:space="preserve">承包人拖延完工且能偿付的误期赔偿费已达到专用条款约定最高限额的； </w:t>
      </w:r>
    </w:p>
    <w:p w14:paraId="5F76DD0E">
      <w:pPr>
        <w:pStyle w:val="15"/>
        <w:numPr>
          <w:ilvl w:val="0"/>
          <w:numId w:val="26"/>
        </w:numPr>
        <w:adjustRightInd w:val="0"/>
        <w:snapToGrid w:val="0"/>
        <w:spacing w:line="420" w:lineRule="exact"/>
        <w:ind w:left="1619" w:leftChars="771"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承包人转包工程、违法分包或未经许可擅自分包工程的；</w:t>
      </w:r>
    </w:p>
    <w:p w14:paraId="3B91D543">
      <w:pPr>
        <w:pStyle w:val="15"/>
        <w:numPr>
          <w:ilvl w:val="0"/>
          <w:numId w:val="26"/>
        </w:numPr>
        <w:adjustRightInd w:val="0"/>
        <w:snapToGrid w:val="0"/>
        <w:spacing w:line="420" w:lineRule="exact"/>
        <w:ind w:left="1619" w:leftChars="771"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承包人未按照合同约定或监理工程师的指令，经监理工程师书面指出后仍未按要求改正的；</w:t>
      </w:r>
    </w:p>
    <w:p w14:paraId="5D17B97D">
      <w:pPr>
        <w:pStyle w:val="15"/>
        <w:numPr>
          <w:ilvl w:val="0"/>
          <w:numId w:val="26"/>
        </w:numPr>
        <w:adjustRightInd w:val="0"/>
        <w:snapToGrid w:val="0"/>
        <w:spacing w:line="420" w:lineRule="exact"/>
        <w:ind w:left="1619" w:leftChars="771"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承包人履行合同期间有欺诈行为的；</w:t>
      </w:r>
    </w:p>
    <w:p w14:paraId="14DF9FB5">
      <w:pPr>
        <w:pStyle w:val="15"/>
        <w:numPr>
          <w:ilvl w:val="0"/>
          <w:numId w:val="26"/>
        </w:numPr>
        <w:adjustRightInd w:val="0"/>
        <w:snapToGrid w:val="0"/>
        <w:spacing w:line="420" w:lineRule="exact"/>
        <w:ind w:left="1619" w:leftChars="771"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承包人向任何人付给或企图付给任何贿赂、礼品、赏金、回扣或其他贵重物品，以引诱或报偿他人，但付给承包人相关人员的奖励则属例外；</w:t>
      </w:r>
    </w:p>
    <w:p w14:paraId="4FFCE091">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(9)承包人在缺陷责任期内未能对发生的缺陷进行修复，且又拒绝按照监理工程师指令再进行修补的；</w:t>
      </w:r>
    </w:p>
    <w:p w14:paraId="62CA99CF">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(10)承包人无法继续履行、明确表示或以行为表明不履行合同约定主要义务的；</w:t>
      </w:r>
    </w:p>
    <w:p w14:paraId="2C11054F">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(11)承包人延迟履行合同约定主要义务，经催告后在合理期限内仍未履行的；</w:t>
      </w:r>
    </w:p>
    <w:p w14:paraId="0D3ACDA3">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(12)承包人破产或清偿的，但以机构重组或联合为目的的除外；</w:t>
      </w:r>
    </w:p>
    <w:p w14:paraId="5AABDBBC">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(13)承包人被认为是严重违反合同的其他违约行为。</w:t>
      </w:r>
    </w:p>
    <w:p w14:paraId="19BF1388">
      <w:pPr>
        <w:pStyle w:val="15"/>
        <w:adjustRightInd w:val="0"/>
        <w:snapToGrid w:val="0"/>
        <w:spacing w:line="420" w:lineRule="exact"/>
        <w:ind w:left="1619" w:leftChars="771"/>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w:t>在这种情况下，发包人可自行或委托第三方实施、完成合同工程或其任何部分，并可使用根据第18.2款留下的承包人临时工程，直至永久工程完工为止。</w:t>
      </w:r>
    </w:p>
    <w:p w14:paraId="6A2BB4F5">
      <w:pPr>
        <w:pStyle w:val="15"/>
        <w:tabs>
          <w:tab w:val="left" w:pos="1320"/>
        </w:tabs>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87.4  </w:t>
      </w:r>
      <w:r>
        <w:rPr>
          <w:rFonts w:hint="default" w:ascii="Times New Roman" w:hAnsi="Times New Roman" w:cs="Times New Roman"/>
          <w:b/>
          <w:bCs/>
          <w:color w:val="auto"/>
          <w:sz w:val="22"/>
          <w:szCs w:val="22"/>
          <w:highlight w:val="none"/>
          <w:u w:val="dotted"/>
        </w:rPr>
        <w:t xml:space="preserve">                                                                                                        </w:t>
      </w:r>
    </w:p>
    <w:p w14:paraId="6C076508">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51456" behindDoc="0" locked="0" layoutInCell="1" allowOverlap="1">
                <wp:simplePos x="0" y="0"/>
                <wp:positionH relativeFrom="column">
                  <wp:posOffset>-114300</wp:posOffset>
                </wp:positionH>
                <wp:positionV relativeFrom="paragraph">
                  <wp:posOffset>29845</wp:posOffset>
                </wp:positionV>
                <wp:extent cx="914400" cy="503555"/>
                <wp:effectExtent l="0" t="0" r="0" b="0"/>
                <wp:wrapNone/>
                <wp:docPr id="389" name="文本框 389"/>
                <wp:cNvGraphicFramePr/>
                <a:graphic xmlns:a="http://schemas.openxmlformats.org/drawingml/2006/main">
                  <a:graphicData uri="http://schemas.microsoft.com/office/word/2010/wordprocessingShape">
                    <wps:wsp>
                      <wps:cNvSpPr txBox="1"/>
                      <wps:spPr>
                        <a:xfrm>
                          <a:off x="0" y="0"/>
                          <a:ext cx="914400" cy="503555"/>
                        </a:xfrm>
                        <a:prstGeom prst="rect">
                          <a:avLst/>
                        </a:prstGeom>
                        <a:noFill/>
                        <a:ln>
                          <a:noFill/>
                        </a:ln>
                        <a:effectLst/>
                      </wps:spPr>
                      <wps:txbx>
                        <w:txbxContent>
                          <w:p w14:paraId="109637E1">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因发包人的原因解除</w:t>
                            </w:r>
                          </w:p>
                        </w:txbxContent>
                      </wps:txbx>
                      <wps:bodyPr wrap="square" upright="1"/>
                    </wps:wsp>
                  </a:graphicData>
                </a:graphic>
              </wp:anchor>
            </w:drawing>
          </mc:Choice>
          <mc:Fallback>
            <w:pict>
              <v:shape id="_x0000_s1026" o:spid="_x0000_s1026" o:spt="202" type="#_x0000_t202" style="position:absolute;left:0pt;margin-left:-9pt;margin-top:2.35pt;height:39.65pt;width:72pt;z-index:252051456;mso-width-relative:page;mso-height-relative:page;" filled="f" stroked="f" coordsize="21600,21600" o:gfxdata="UEsDBAoAAAAAAIdO4kAAAAAAAAAAAAAAAAAEAAAAZHJzL1BLAwQUAAAACACHTuJAyY8uONUAAAAI&#10;AQAADwAAAGRycy9kb3ducmV2LnhtbE2PzW7CMBCE75V4B2srcQM7KKUhZMOBqleq0h+pNxMvSdR4&#10;HcWGpG9fc2qPoxnNfFPsJtuJKw2+dYyQLBUI4sqZlmuE97fnRQbCB81Gd44J4Yc87MrZXaFz40Z+&#10;pesx1CKWsM81QhNCn0vpq4as9kvXE0fv7AarQ5RDLc2gx1huO7lSai2tbjkuNLqnfUPV9/FiET4O&#10;56/PVL3UT/ahH92kJNuNRJzfJ2oLItAU/sJww4/oUEamk7uw8aJDWCRZ/BIQ0kcQN3+1jvqEkKUK&#10;ZFnI/wfKX1BLAwQUAAAACACHTuJAvZPBeb0BAABtAwAADgAAAGRycy9lMm9Eb2MueG1srVNLbtsw&#10;EN0X6B0I7mvKSRwkguUAhZFuirZA2gPQ1MgiIH7KoS35AskNuuom+57L5+iQUtw03WTRDTWcz+O8&#10;N6PlzWA6toeA2tmKz2cFZ2CVq7XdVvzb19t3V5xhlLaWnbNQ8QMgv1m9fbPsfQlnrnVdDYERiMWy&#10;9xVvY/SlEKhaMBJnzoOlYOOCkZGuYSvqIHtCN504K4pL0btQ++AUIJJ3PQb5hBheA+iaRitYO7Uz&#10;YOOIGqCTkShhqz3yVe62aUDFz02DEFlXcWIa80mPkL1Jp1gtZbkN0rdaTS3I17TwgpOR2tKjJ6i1&#10;jJLtgv4HymgVHLomzpQzYiSSFSEW8+KFNnet9JC5kNToT6Lj/4NVn/ZfAtN1xc+vrjmz0tDIjz8e&#10;jj9/HR/vWXKSRL3HkjLvPOXG4b0baHGe/EjOxHxogklf4sQoTgIfTgLDEJki5/X84qKgiKLQojhf&#10;LBYJRfwp9gHjB3CGJaPigeaXZZX7jxjH1KeU9JZ1t7rr8gw7+5eDMEcP5CWYqhOPsd9kxWEzTOQ2&#10;rj4Qt54WoeL4fScDcLbzQW9baiNzFamEppD7nTYmjfn5neznf8nq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MmPLjjVAAAACAEAAA8AAAAAAAAAAQAgAAAAIgAAAGRycy9kb3ducmV2LnhtbFBLAQIU&#10;ABQAAAAIAIdO4kC9k8F5vQEAAG0DAAAOAAAAAAAAAAEAIAAAACQBAABkcnMvZTJvRG9jLnhtbFBL&#10;BQYAAAAABgAGAFkBAABTBQAAAAA=&#10;">
                <v:fill on="f" focussize="0,0"/>
                <v:stroke on="f"/>
                <v:imagedata o:title=""/>
                <o:lock v:ext="edit" aspectratio="f"/>
                <v:textbox>
                  <w:txbxContent>
                    <w:p w14:paraId="109637E1">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因发包人的原因解除</w:t>
                      </w:r>
                    </w:p>
                  </w:txbxContent>
                </v:textbox>
              </v:shape>
            </w:pict>
          </mc:Fallback>
        </mc:AlternateContent>
      </w:r>
      <w:r>
        <w:rPr>
          <w:rFonts w:hint="default" w:ascii="Times New Roman" w:hAnsi="Times New Roman" w:cs="Times New Roman"/>
          <w:color w:val="auto"/>
          <w:sz w:val="22"/>
          <w:szCs w:val="22"/>
          <w:highlight w:val="none"/>
        </w:rPr>
        <w:t>发包人有下列情形之一者，承包人可以解除合同：</w:t>
      </w:r>
    </w:p>
    <w:p w14:paraId="43D08C21">
      <w:pPr>
        <w:pStyle w:val="15"/>
        <w:numPr>
          <w:ilvl w:val="0"/>
          <w:numId w:val="27"/>
        </w:numPr>
        <w:tabs>
          <w:tab w:val="left" w:pos="2160"/>
        </w:tabs>
        <w:adjustRightInd w:val="0"/>
        <w:snapToGrid w:val="0"/>
        <w:spacing w:line="420" w:lineRule="exact"/>
        <w:ind w:left="1619" w:leftChars="771" w:firstLine="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非承包人原因未按照第34.2款规定期限内发出开工令，经承包人催告后28天内仍未发出开工令的；</w:t>
      </w:r>
    </w:p>
    <w:p w14:paraId="1CC08615">
      <w:pPr>
        <w:pStyle w:val="15"/>
        <w:numPr>
          <w:ilvl w:val="0"/>
          <w:numId w:val="27"/>
        </w:numPr>
        <w:tabs>
          <w:tab w:val="left" w:pos="2160"/>
        </w:tabs>
        <w:adjustRightInd w:val="0"/>
        <w:snapToGrid w:val="0"/>
        <w:spacing w:line="420" w:lineRule="exact"/>
        <w:ind w:left="1620" w:leftChars="771" w:hanging="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 xml:space="preserve">按照第35.3款规定非承包人原因造成暂停施工持续56天以上或累计停工时间超过了70天的；           </w:t>
      </w:r>
    </w:p>
    <w:p w14:paraId="4E564A88">
      <w:pPr>
        <w:pStyle w:val="15"/>
        <w:numPr>
          <w:ilvl w:val="0"/>
          <w:numId w:val="27"/>
        </w:numPr>
        <w:tabs>
          <w:tab w:val="left" w:pos="1800"/>
        </w:tabs>
        <w:adjustRightInd w:val="0"/>
        <w:snapToGrid w:val="0"/>
        <w:spacing w:line="420" w:lineRule="exact"/>
        <w:ind w:left="1620" w:leftChars="771" w:hanging="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发包人按照第5条规定提供的施工设计图纸存在缺陷或按照第48条规定供应的材料和工程设备不符合强制性标准，致使承包人无法施工，经承包人催告后28天内仍未修正或更换的；</w:t>
      </w:r>
    </w:p>
    <w:p w14:paraId="4000C734">
      <w:pPr>
        <w:pStyle w:val="15"/>
        <w:numPr>
          <w:ilvl w:val="0"/>
          <w:numId w:val="27"/>
        </w:numPr>
        <w:tabs>
          <w:tab w:val="left" w:pos="2160"/>
        </w:tabs>
        <w:adjustRightInd w:val="0"/>
        <w:snapToGrid w:val="0"/>
        <w:spacing w:line="420" w:lineRule="exact"/>
        <w:ind w:left="1620" w:leftChars="771" w:hanging="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 xml:space="preserve">监理工程师未按照合同约定及时发出工作指令，导致承包人无法继续施工的； </w:t>
      </w:r>
    </w:p>
    <w:p w14:paraId="14D710FB">
      <w:pPr>
        <w:pStyle w:val="15"/>
        <w:numPr>
          <w:ilvl w:val="0"/>
          <w:numId w:val="27"/>
        </w:numPr>
        <w:tabs>
          <w:tab w:val="left" w:pos="2160"/>
        </w:tabs>
        <w:adjustRightInd w:val="0"/>
        <w:snapToGrid w:val="0"/>
        <w:spacing w:line="420" w:lineRule="exact"/>
        <w:ind w:left="1620" w:leftChars="771" w:hanging="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发包人未按照第78.1款规定向承包人支付工程款，经承包人催告后28天内仍未支付的；</w:t>
      </w:r>
    </w:p>
    <w:p w14:paraId="258C2B8B">
      <w:pPr>
        <w:pStyle w:val="15"/>
        <w:numPr>
          <w:ilvl w:val="0"/>
          <w:numId w:val="27"/>
        </w:numPr>
        <w:tabs>
          <w:tab w:val="left" w:pos="2160"/>
        </w:tabs>
        <w:adjustRightInd w:val="0"/>
        <w:snapToGrid w:val="0"/>
        <w:spacing w:line="420" w:lineRule="exact"/>
        <w:ind w:left="1620" w:leftChars="771" w:hanging="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发包人无法继续履行、明确表示或以行为表明不履行合同约定主要义务的；</w:t>
      </w:r>
    </w:p>
    <w:p w14:paraId="295A2CC1">
      <w:pPr>
        <w:pStyle w:val="15"/>
        <w:tabs>
          <w:tab w:val="left" w:pos="2160"/>
        </w:tabs>
        <w:adjustRightInd w:val="0"/>
        <w:snapToGrid w:val="0"/>
        <w:spacing w:line="420" w:lineRule="exact"/>
        <w:ind w:left="1619"/>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(7)发包人延迟履行合同约定主要义务，经催告后在合理期限内仍未履行的；</w:t>
      </w:r>
    </w:p>
    <w:p w14:paraId="5B82F1A9">
      <w:pPr>
        <w:pStyle w:val="15"/>
        <w:tabs>
          <w:tab w:val="left" w:pos="2160"/>
        </w:tabs>
        <w:adjustRightInd w:val="0"/>
        <w:snapToGrid w:val="0"/>
        <w:spacing w:line="420" w:lineRule="exact"/>
        <w:ind w:left="1619"/>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(8)发包人破产或清偿的，但以机构重组或联合为目的的除外；</w:t>
      </w:r>
    </w:p>
    <w:p w14:paraId="3A2F7A17">
      <w:pPr>
        <w:pStyle w:val="15"/>
        <w:tabs>
          <w:tab w:val="left" w:pos="2160"/>
        </w:tabs>
        <w:adjustRightInd w:val="0"/>
        <w:snapToGrid w:val="0"/>
        <w:spacing w:line="420" w:lineRule="exact"/>
        <w:ind w:left="1619"/>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(9)发包人被认为是严重违反合同的其他违约行为。</w:t>
      </w:r>
    </w:p>
    <w:p w14:paraId="39380EFF">
      <w:pPr>
        <w:pStyle w:val="15"/>
        <w:tabs>
          <w:tab w:val="left" w:pos="1320"/>
        </w:tabs>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52480" behindDoc="0" locked="0" layoutInCell="1" allowOverlap="1">
                <wp:simplePos x="0" y="0"/>
                <wp:positionH relativeFrom="column">
                  <wp:posOffset>-114300</wp:posOffset>
                </wp:positionH>
                <wp:positionV relativeFrom="paragraph">
                  <wp:posOffset>202565</wp:posOffset>
                </wp:positionV>
                <wp:extent cx="914400" cy="396240"/>
                <wp:effectExtent l="0" t="0" r="0" b="0"/>
                <wp:wrapNone/>
                <wp:docPr id="390" name="文本框 390"/>
                <wp:cNvGraphicFramePr/>
                <a:graphic xmlns:a="http://schemas.openxmlformats.org/drawingml/2006/main">
                  <a:graphicData uri="http://schemas.microsoft.com/office/word/2010/wordprocessingShape">
                    <wps:wsp>
                      <wps:cNvSpPr txBox="1"/>
                      <wps:spPr>
                        <a:xfrm>
                          <a:off x="0" y="0"/>
                          <a:ext cx="914400" cy="396240"/>
                        </a:xfrm>
                        <a:prstGeom prst="rect">
                          <a:avLst/>
                        </a:prstGeom>
                        <a:noFill/>
                        <a:ln>
                          <a:noFill/>
                        </a:ln>
                        <a:effectLst/>
                      </wps:spPr>
                      <wps:txbx>
                        <w:txbxContent>
                          <w:p w14:paraId="7C3B1063">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书面通知合同解除</w:t>
                            </w:r>
                          </w:p>
                        </w:txbxContent>
                      </wps:txbx>
                      <wps:bodyPr wrap="square" upright="1"/>
                    </wps:wsp>
                  </a:graphicData>
                </a:graphic>
              </wp:anchor>
            </w:drawing>
          </mc:Choice>
          <mc:Fallback>
            <w:pict>
              <v:shape id="_x0000_s1026" o:spid="_x0000_s1026" o:spt="202" type="#_x0000_t202" style="position:absolute;left:0pt;margin-left:-9pt;margin-top:15.95pt;height:31.2pt;width:72pt;z-index:252052480;mso-width-relative:page;mso-height-relative:page;" filled="f" stroked="f" coordsize="21600,21600" o:gfxdata="UEsDBAoAAAAAAIdO4kAAAAAAAAAAAAAAAAAEAAAAZHJzL1BLAwQUAAAACACHTuJAlkNbiNcAAAAJ&#10;AQAADwAAAGRycy9kb3ducmV2LnhtbE2PzW7CMBCE75V4B2srcQM7QBEJ2XCg6pWq9EfiZuIliRqv&#10;o9iQ9O1rTu1xdkaz3+S70bbiRr1vHCMkcwWCuHSm4Qrh4/1ltgHhg2ajW8eE8EMedsXkIdeZcQO/&#10;0e0YKhFL2GcaoQ6hy6T0ZU1W+7nriKN3cb3VIcq+kqbXQyy3rVwotZZWNxw/1LqjfU3l9/FqET4P&#10;l9PXSr1Wz/apG9yoJNtUIk4fE7UFEWgMf2G440d0KCLT2V3ZeNEizJJN3BIQlkkK4h5YrOPhjJCu&#10;liCLXP5fUPwCUEsDBBQAAAAIAIdO4kDjal9VvQEAAG0DAAAOAAAAZHJzL2Uyb0RvYy54bWytU0tu&#10;2zAQ3RfoHQjua8qOEdSC5QCBkW6KtkDaA9DUyCIgfsKhLfkC7Q266qb7nsvn6JBS3DTdZNENNZzP&#10;47w3o/XNYDp2hIDa2YrPZwVnYJWrtd1X/MvnuzdvOcMobS07Z6HiJ0B+s3n9at37EhaudV0NgRGI&#10;xbL3FW9j9KUQqFowEmfOg6Vg44KRka5hL+oge0I3nVgUxbXoXah9cAoQybsdg3xCDC8BdE2jFWyd&#10;OhiwcUQN0MlIlLDVHvkmd9s0oOLHpkGIrKs4MY35pEfI3qVTbNay3AfpW62mFuRLWnjGyUht6dEL&#10;1FZGyQ5B/wNltAoOXRNnyhkxEsmKEIt58Uyb+1Z6yFxIavQX0fH/waoPx0+B6briVyvSxEpDIz9/&#10;/3b+8ev88ytLTpKo91hS5r2n3DjcuoEW59GP5EzMhyaY9CVOjOIEdroIDENkipyr+XJZUERR6Gp1&#10;vVhmdPGn2AeM78AZloyKB5pfllUe32OkRij1MSW9Zd2d7ro8w87+5aDE0QN5CabqxGPsN1lx2A0T&#10;uZ2rT8Stp0WoOD4cZADODj7ofUttZK4ildAUchPTxqQxP72T/fQv2fwG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lkNbiNcAAAAJAQAADwAAAAAAAAABACAAAAAiAAAAZHJzL2Rvd25yZXYueG1sUEsB&#10;AhQAFAAAAAgAh07iQONqX1W9AQAAbQMAAA4AAAAAAAAAAQAgAAAAJgEAAGRycy9lMm9Eb2MueG1s&#10;UEsFBgAAAAAGAAYAWQEAAFUFAAAAAA==&#10;">
                <v:fill on="f" focussize="0,0"/>
                <v:stroke on="f"/>
                <v:imagedata o:title=""/>
                <o:lock v:ext="edit" aspectratio="f"/>
                <v:textbox>
                  <w:txbxContent>
                    <w:p w14:paraId="7C3B1063">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书面通知合同解除</w:t>
                      </w:r>
                    </w:p>
                  </w:txbxContent>
                </v:textbox>
              </v:shape>
            </w:pict>
          </mc:Fallback>
        </mc:AlternateContent>
      </w:r>
      <w:r>
        <w:rPr>
          <w:rFonts w:hint="default" w:ascii="Times New Roman" w:hAnsi="Times New Roman" w:cs="Times New Roman"/>
          <w:b/>
          <w:bCs/>
          <w:color w:val="auto"/>
          <w:sz w:val="22"/>
          <w:szCs w:val="22"/>
          <w:highlight w:val="none"/>
        </w:rPr>
        <w:t xml:space="preserve">87.5  </w:t>
      </w:r>
      <w:r>
        <w:rPr>
          <w:rFonts w:hint="default" w:ascii="Times New Roman" w:hAnsi="Times New Roman" w:cs="Times New Roman"/>
          <w:b/>
          <w:bCs/>
          <w:color w:val="auto"/>
          <w:sz w:val="22"/>
          <w:szCs w:val="22"/>
          <w:highlight w:val="none"/>
          <w:u w:val="dotted"/>
        </w:rPr>
        <w:t xml:space="preserve">                                                                                                        </w:t>
      </w:r>
    </w:p>
    <w:p w14:paraId="12D67351">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根据第87.2款至第87.4款规定要求解除合同的，解除方应以书面形式向另一方当事人发出解除合同的通知，另一方当事人收到通知时合同即告解除。对解除合同有争议的，应按照第86条规定处理。</w:t>
      </w:r>
    </w:p>
    <w:p w14:paraId="6463F96C">
      <w:pPr>
        <w:pStyle w:val="15"/>
        <w:tabs>
          <w:tab w:val="left" w:pos="1320"/>
        </w:tabs>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87.6  </w:t>
      </w:r>
      <w:r>
        <w:rPr>
          <w:rFonts w:hint="default" w:ascii="Times New Roman" w:hAnsi="Times New Roman" w:cs="Times New Roman"/>
          <w:b/>
          <w:bCs/>
          <w:color w:val="auto"/>
          <w:sz w:val="22"/>
          <w:szCs w:val="22"/>
          <w:highlight w:val="none"/>
          <w:u w:val="dotted"/>
        </w:rPr>
        <w:t xml:space="preserve">                                                                                                        </w:t>
      </w:r>
    </w:p>
    <w:p w14:paraId="0E951DD8">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53504" behindDoc="0" locked="0" layoutInCell="1" allowOverlap="1">
                <wp:simplePos x="0" y="0"/>
                <wp:positionH relativeFrom="column">
                  <wp:posOffset>-114300</wp:posOffset>
                </wp:positionH>
                <wp:positionV relativeFrom="paragraph">
                  <wp:posOffset>6985</wp:posOffset>
                </wp:positionV>
                <wp:extent cx="914400" cy="594360"/>
                <wp:effectExtent l="0" t="0" r="0" b="0"/>
                <wp:wrapNone/>
                <wp:docPr id="391" name="文本框 391"/>
                <wp:cNvGraphicFramePr/>
                <a:graphic xmlns:a="http://schemas.openxmlformats.org/drawingml/2006/main">
                  <a:graphicData uri="http://schemas.microsoft.com/office/word/2010/wordprocessingShape">
                    <wps:wsp>
                      <wps:cNvSpPr txBox="1"/>
                      <wps:spPr>
                        <a:xfrm>
                          <a:off x="0" y="0"/>
                          <a:ext cx="914400" cy="594360"/>
                        </a:xfrm>
                        <a:prstGeom prst="rect">
                          <a:avLst/>
                        </a:prstGeom>
                        <a:noFill/>
                        <a:ln>
                          <a:noFill/>
                        </a:ln>
                        <a:effectLst/>
                      </wps:spPr>
                      <wps:txbx>
                        <w:txbxContent>
                          <w:p w14:paraId="224FE391">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合同解除后双方的责任和义务</w:t>
                            </w:r>
                          </w:p>
                        </w:txbxContent>
                      </wps:txbx>
                      <wps:bodyPr wrap="square" upright="1"/>
                    </wps:wsp>
                  </a:graphicData>
                </a:graphic>
              </wp:anchor>
            </w:drawing>
          </mc:Choice>
          <mc:Fallback>
            <w:pict>
              <v:shape id="_x0000_s1026" o:spid="_x0000_s1026" o:spt="202" type="#_x0000_t202" style="position:absolute;left:0pt;margin-left:-9pt;margin-top:0.55pt;height:46.8pt;width:72pt;z-index:252053504;mso-width-relative:page;mso-height-relative:page;" filled="f" stroked="f" coordsize="21600,21600" o:gfxdata="UEsDBAoAAAAAAIdO4kAAAAAAAAAAAAAAAAAEAAAAZHJzL1BLAwQUAAAACACHTuJAQDGpytQAAAAI&#10;AQAADwAAAGRycy9kb3ducmV2LnhtbE2PwU7DMBBE70j8g7VI3Fo7VSltiNMDiCuIFpC4beNtEhGv&#10;o9htwt+zPcFx9Fazb4rt5Dt1piG2gS1kcwOKuAqu5drC+/55tgYVE7LDLjBZ+KEI2/L6qsDchZHf&#10;6LxLtZISjjlaaFLqc61j1ZDHOA89sbBjGDwmiUOt3YCjlPtOL4xZaY8ty4cGe3psqPrenbyFj5fj&#10;1+fSvNZP/q4fw2Q0+4229vYmMw+gEk3p7xgu+qIOpTgdwoldVJ2FWbaWLUlABurCFyvJBwub5T3o&#10;stD/B5S/UEsDBBQAAAAIAIdO4kCEo5GavgEAAG0DAAAOAAAAZHJzL2Uyb0RvYy54bWytU0tu2zAQ&#10;3RfoHQjua8mJG9SC5QCFkW6KtkCaA9DUyCLAXzm0JV+gvUFX3XTfc/kcHVKKmyabLLKhhvN5nPdm&#10;tLoejGYHCKicrfl8VnIGVrpG2V3N777evHnHGUZhG6GdhZofAfn1+vWrVe8ruHCd0w0ERiAWq97X&#10;vIvRV0WBsgMjcOY8WAq2LhgR6Rp2RRNET+hGFxdleVX0LjQ+OAmI5N2MQT4hhucAurZVEjZO7g3Y&#10;OKIG0CISJeyUR77O3bYtyPi5bREi0zUnpjGf9AjZ23QW65WodkH4TsmpBfGcFh5xMkJZevQMtRFR&#10;sH1QT6CMksGha+NMOlOMRLIixGJePtLmthMeMheSGv1ZdHw5WPnp8CUw1dT8cjnnzApDIz/9/HH6&#10;9ef0+ztLTpKo91hR5q2n3Di8dwMtzr0fyZmYD20w6UucGMVJ4ONZYBgik+RczheLkiKSQm+Xi8ur&#10;PIDiX7EPGD+AMywZNQ80vyyrOHzESI1Q6n1Kesu6G6V1nqG2/zkocfRAXoKpOvEY+01WHLbDRG7r&#10;miNx62kRao7f9iIAZ3sf1K6jNjLXIpXQFHIT08akMT+8k/3wL1n/B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EAxqcrUAAAACAEAAA8AAAAAAAAAAQAgAAAAIgAAAGRycy9kb3ducmV2LnhtbFBLAQIU&#10;ABQAAAAIAIdO4kCEo5GavgEAAG0DAAAOAAAAAAAAAAEAIAAAACMBAABkcnMvZTJvRG9jLnhtbFBL&#10;BQYAAAAABgAGAFkBAABTBQAAAAA=&#10;">
                <v:fill on="f" focussize="0,0"/>
                <v:stroke on="f"/>
                <v:imagedata o:title=""/>
                <o:lock v:ext="edit" aspectratio="f"/>
                <v:textbox>
                  <w:txbxContent>
                    <w:p w14:paraId="224FE391">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合同解除后双方的责任和义务</w:t>
                      </w:r>
                    </w:p>
                  </w:txbxContent>
                </v:textbox>
              </v:shape>
            </w:pict>
          </mc:Fallback>
        </mc:AlternateContent>
      </w:r>
      <w:r>
        <w:rPr>
          <w:rFonts w:hint="default" w:ascii="Times New Roman" w:hAnsi="Times New Roman" w:cs="Times New Roman"/>
          <w:color w:val="auto"/>
          <w:sz w:val="22"/>
          <w:szCs w:val="22"/>
          <w:highlight w:val="none"/>
        </w:rPr>
        <w:t>合同一旦解除，承包人应立即停止施工，保证现场安全，保护已完工程和已购材料、工程设备，尽快撤离现场，并将所有与本合同有关的施工文件、设计文件移交给监理工程师。发包人应为承包人的撤离提供便利和协助。</w:t>
      </w:r>
    </w:p>
    <w:p w14:paraId="198DF6A1">
      <w:pPr>
        <w:pStyle w:val="15"/>
        <w:adjustRightInd w:val="0"/>
        <w:snapToGrid w:val="0"/>
        <w:spacing w:line="420" w:lineRule="exact"/>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48D80A8F">
      <w:pPr>
        <w:pStyle w:val="15"/>
        <w:tabs>
          <w:tab w:val="left" w:pos="540"/>
        </w:tabs>
        <w:adjustRightInd w:val="0"/>
        <w:snapToGrid w:val="0"/>
        <w:spacing w:before="240" w:beforeLines="100" w:line="420" w:lineRule="exact"/>
        <w:outlineLvl w:val="2"/>
        <w:rPr>
          <w:rFonts w:hint="default" w:ascii="Times New Roman" w:hAnsi="Times New Roman" w:cs="Times New Roman"/>
          <w:b/>
          <w:bCs/>
          <w:color w:val="auto"/>
          <w:sz w:val="22"/>
          <w:szCs w:val="22"/>
          <w:highlight w:val="none"/>
        </w:rPr>
      </w:pPr>
      <w:bookmarkStart w:id="279" w:name="_Toc469384072"/>
      <w:bookmarkStart w:id="280" w:name="_Toc16294"/>
      <w:r>
        <w:rPr>
          <w:rFonts w:hint="default" w:ascii="Times New Roman" w:hAnsi="Times New Roman" w:cs="Times New Roman"/>
          <w:b/>
          <w:bCs/>
          <w:color w:val="auto"/>
          <w:sz w:val="22"/>
          <w:szCs w:val="22"/>
          <w:highlight w:val="none"/>
        </w:rPr>
        <w:t>88  合同解除的支付</w:t>
      </w:r>
      <w:bookmarkEnd w:id="279"/>
      <w:bookmarkEnd w:id="280"/>
    </w:p>
    <w:p w14:paraId="293CC070">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54528" behindDoc="0" locked="0" layoutInCell="1" allowOverlap="1">
                <wp:simplePos x="0" y="0"/>
                <wp:positionH relativeFrom="column">
                  <wp:posOffset>-114300</wp:posOffset>
                </wp:positionH>
                <wp:positionV relativeFrom="paragraph">
                  <wp:posOffset>188595</wp:posOffset>
                </wp:positionV>
                <wp:extent cx="914400" cy="396240"/>
                <wp:effectExtent l="0" t="0" r="0" b="0"/>
                <wp:wrapNone/>
                <wp:docPr id="392" name="文本框 392"/>
                <wp:cNvGraphicFramePr/>
                <a:graphic xmlns:a="http://schemas.openxmlformats.org/drawingml/2006/main">
                  <a:graphicData uri="http://schemas.microsoft.com/office/word/2010/wordprocessingShape">
                    <wps:wsp>
                      <wps:cNvSpPr txBox="1"/>
                      <wps:spPr>
                        <a:xfrm>
                          <a:off x="0" y="0"/>
                          <a:ext cx="914400" cy="396240"/>
                        </a:xfrm>
                        <a:prstGeom prst="rect">
                          <a:avLst/>
                        </a:prstGeom>
                        <a:noFill/>
                        <a:ln>
                          <a:noFill/>
                        </a:ln>
                        <a:effectLst/>
                      </wps:spPr>
                      <wps:txbx>
                        <w:txbxContent>
                          <w:p w14:paraId="7E4B2A6E">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协商一致解除的支付</w:t>
                            </w:r>
                          </w:p>
                        </w:txbxContent>
                      </wps:txbx>
                      <wps:bodyPr wrap="square" upright="1"/>
                    </wps:wsp>
                  </a:graphicData>
                </a:graphic>
              </wp:anchor>
            </w:drawing>
          </mc:Choice>
          <mc:Fallback>
            <w:pict>
              <v:shape id="_x0000_s1026" o:spid="_x0000_s1026" o:spt="202" type="#_x0000_t202" style="position:absolute;left:0pt;margin-left:-9pt;margin-top:14.85pt;height:31.2pt;width:72pt;z-index:252054528;mso-width-relative:page;mso-height-relative:page;" filled="f" stroked="f" coordsize="21600,21600" o:gfxdata="UEsDBAoAAAAAAIdO4kAAAAAAAAAAAAAAAAAEAAAAZHJzL1BLAwQUAAAACACHTuJA/M6CkNcAAAAJ&#10;AQAADwAAAGRycy9kb3ducmV2LnhtbE2PzW7CMBCE75V4B2uRegM7UUtJmg0HUK9FpT9SbyZekqjx&#10;OooNCW9fc2qPszOa/abYTLYTFxp86xghWSoQxJUzLdcIH+8vizUIHzQb3TkmhCt52JSzu0Lnxo38&#10;RpdDqEUsYZ9rhCaEPpfSVw1Z7ZeuJ47eyQ1WhyiHWppBj7HcdjJVaiWtbjl+aHRP24aqn8PZIny+&#10;nr6/HtS+3tnHfnSTkmwziXg/T9QziEBT+AvDDT+iQxmZju7MxosOYZGs45aAkGZPIG6BdBUPR4Qs&#10;TUCWhfy/oPwFUEsDBBQAAAAIAIdO4kBGk6t3vgEAAG0DAAAOAAAAZHJzL2Uyb0RvYy54bWytU0tu&#10;2zAQ3RfoHQjua8qOEdSC5QCBkW6KtkDaA9DUyCIgfsKhLfkC7Q266qb7nsvn6JBS3DTdZNENNZzP&#10;47w3o/XNYDp2hIDa2YrPZwVnYJWrtd1X/MvnuzdvOcMobS07Z6HiJ0B+s3n9at37EhaudV0NgRGI&#10;xbL3FW9j9KUQqFowEmfOg6Vg44KRka5hL+oge0I3nVgUxbXoXah9cAoQybsdg3xCDC8BdE2jFWyd&#10;OhiwcUQN0MlIlLDVHvkmd9s0oOLHpkGIrKs4MY35pEfI3qVTbNay3AfpW62mFuRLWnjGyUht6dEL&#10;1FZGyQ5B/wNltAoOXRNnyhkxEsmKEIt58Uyb+1Z6yFxIavQX0fH/waoPx0+B6briV6sFZ1YaGvn5&#10;+7fzj1/nn19ZcpJEvceSMu895cbh1g20OI9+JGdiPjTBpC9xYhQngU8XgWGITJFzNV8uC4ooCl2t&#10;rhfLPADxp9gHjO/AGZaMigeaX5ZVHt9jpEYo9TElvWXdne66PMPO/uWgxNEDeQmm6sRj7DdZcdgN&#10;E7mdq0/EradFqDg+HGQAzg4+6H1LbWSuIpXQFHIT08akMT+9k/30L9n8B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PzOgpDXAAAACQEAAA8AAAAAAAAAAQAgAAAAIgAAAGRycy9kb3ducmV2LnhtbFBL&#10;AQIUABQAAAAIAIdO4kBGk6t3vgEAAG0DAAAOAAAAAAAAAAEAIAAAACYBAABkcnMvZTJvRG9jLnht&#10;bFBLBQYAAAAABgAGAFkBAABWBQAAAAA=&#10;">
                <v:fill on="f" focussize="0,0"/>
                <v:stroke on="f"/>
                <v:imagedata o:title=""/>
                <o:lock v:ext="edit" aspectratio="f"/>
                <v:textbox>
                  <w:txbxContent>
                    <w:p w14:paraId="7E4B2A6E">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协商一致解除的支付</w:t>
                      </w:r>
                    </w:p>
                  </w:txbxContent>
                </v:textbox>
              </v:shape>
            </w:pict>
          </mc:Fallback>
        </mc:AlternateContent>
      </w:r>
      <w:r>
        <w:rPr>
          <w:rFonts w:hint="default" w:ascii="Times New Roman" w:hAnsi="Times New Roman" w:cs="Times New Roman"/>
          <w:b/>
          <w:bCs/>
          <w:color w:val="auto"/>
          <w:sz w:val="22"/>
          <w:szCs w:val="22"/>
          <w:highlight w:val="none"/>
        </w:rPr>
        <w:t xml:space="preserve">88.1     </w:t>
      </w:r>
    </w:p>
    <w:p w14:paraId="3B2384B4">
      <w:pPr>
        <w:pStyle w:val="15"/>
        <w:adjustRightInd w:val="0"/>
        <w:snapToGrid w:val="0"/>
        <w:spacing w:line="420" w:lineRule="exact"/>
        <w:ind w:firstLine="1540" w:firstLineChars="7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根据第87.1款规定解除合同的，按照达成的协议办理结算和支付工程款。</w:t>
      </w:r>
    </w:p>
    <w:p w14:paraId="2592B143">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88.2  </w:t>
      </w:r>
      <w:r>
        <w:rPr>
          <w:rFonts w:hint="default" w:ascii="Times New Roman" w:hAnsi="Times New Roman" w:cs="Times New Roman"/>
          <w:b/>
          <w:bCs/>
          <w:color w:val="auto"/>
          <w:sz w:val="22"/>
          <w:szCs w:val="22"/>
          <w:highlight w:val="none"/>
          <w:u w:val="dotted"/>
        </w:rPr>
        <w:t xml:space="preserve">                                                                                                        </w:t>
      </w:r>
    </w:p>
    <w:p w14:paraId="2E747AEF">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55552" behindDoc="0" locked="0" layoutInCell="1" allowOverlap="1">
                <wp:simplePos x="0" y="0"/>
                <wp:positionH relativeFrom="column">
                  <wp:posOffset>-114300</wp:posOffset>
                </wp:positionH>
                <wp:positionV relativeFrom="paragraph">
                  <wp:posOffset>15875</wp:posOffset>
                </wp:positionV>
                <wp:extent cx="914400" cy="693420"/>
                <wp:effectExtent l="0" t="0" r="0" b="0"/>
                <wp:wrapNone/>
                <wp:docPr id="393" name="文本框 393"/>
                <wp:cNvGraphicFramePr/>
                <a:graphic xmlns:a="http://schemas.openxmlformats.org/drawingml/2006/main">
                  <a:graphicData uri="http://schemas.microsoft.com/office/word/2010/wordprocessingShape">
                    <wps:wsp>
                      <wps:cNvSpPr txBox="1"/>
                      <wps:spPr>
                        <a:xfrm>
                          <a:off x="0" y="0"/>
                          <a:ext cx="914400" cy="693420"/>
                        </a:xfrm>
                        <a:prstGeom prst="rect">
                          <a:avLst/>
                        </a:prstGeom>
                        <a:noFill/>
                        <a:ln>
                          <a:noFill/>
                        </a:ln>
                        <a:effectLst/>
                      </wps:spPr>
                      <wps:txbx>
                        <w:txbxContent>
                          <w:p w14:paraId="5B1F8F52">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不可抗力解除的支付</w:t>
                            </w:r>
                          </w:p>
                        </w:txbxContent>
                      </wps:txbx>
                      <wps:bodyPr wrap="square" upright="1"/>
                    </wps:wsp>
                  </a:graphicData>
                </a:graphic>
              </wp:anchor>
            </w:drawing>
          </mc:Choice>
          <mc:Fallback>
            <w:pict>
              <v:shape id="_x0000_s1026" o:spid="_x0000_s1026" o:spt="202" type="#_x0000_t202" style="position:absolute;left:0pt;margin-left:-9pt;margin-top:1.25pt;height:54.6pt;width:72pt;z-index:252055552;mso-width-relative:page;mso-height-relative:page;" filled="f" stroked="f" coordsize="21600,21600" o:gfxdata="UEsDBAoAAAAAAIdO4kAAAAAAAAAAAAAAAAAEAAAAZHJzL1BLAwQUAAAACACHTuJAQPuPt9YAAAAJ&#10;AQAADwAAAGRycy9kb3ducmV2LnhtbE2PzU7DMBCE70h9B2uRuLW2I/pDiNNDEVcQhSJxc+NtEhGv&#10;o9htwtuzPcFtRzOa/abYTr4TFxxiG8iAXigQSFVwLdUGPt6f5xsQMVlytguEBn4wwrac3RQ2d2Gk&#10;N7zsUy24hGJuDTQp9bmUsWrQ27gIPRJ7pzB4m1gOtXSDHbncdzJTaiW9bYk/NLbHXYPV9/7sDRxe&#10;Tl+f9+q1fvLLfgyTkuQfpDF3t1o9gkg4pb8wXPEZHUpmOoYzuSg6A3O94S3JQLYEcfWzFesjH1qv&#10;QZaF/L+g/AVQSwMEFAAAAAgAh07iQItg8zC9AQAAbQMAAA4AAABkcnMvZTJvRG9jLnhtbK1TzY7T&#10;MBC+I/EOlu/U6Y9WNGq6EqqWCwKkhQdwnUljKf7B4zbpC8AbcOLCnefqczB2smVZLnvg4ozn5/N8&#10;30w2t4Pp2AkCamcrPp8VnIFVrtb2UPHPn+5eveYMo7S17JyFip8B+e325YtN70tYuNZ1NQRGIBbL&#10;3le8jdGXQqBqwUicOQ+Wgo0LRka6hoOog+wJ3XRiURQ3oneh9sEpQCTvbgzyCTE8B9A1jVawc+po&#10;wMYRNUAnI1HCVnvk29xt04CKH5oGIbKu4sQ05pMeIXufTrHdyPIQpG+1mlqQz2nhCScjtaVHr1A7&#10;GSU7Bv0PlNEqOHRNnClnxEgkK0Is5sUTbe5b6SFzIanRX0XH/wer3p8+Bqbrii/XS86sNDTyy/dv&#10;lx+/Lj+/suQkiXqPJWXee8qNwxs30OI8+JGcifnQBJO+xIlRnAQ+XwWGITJFzvV8tSoooih0s16u&#10;FnkA4k+xDxjfgjMsGRUPNL8sqzy9w0iNUOpDSnrLujvddXmGnf3LQYmjB/ISTNWJx9hvsuKwHyZy&#10;e1efiVtPi1Bx/HKUATg7+qAPLbWRuYpUQlPITUwbk8b8+E72479k+x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A+4+31gAAAAkBAAAPAAAAAAAAAAEAIAAAACIAAABkcnMvZG93bnJldi54bWxQSwEC&#10;FAAUAAAACACHTuJAi2DzML0BAABtAwAADgAAAAAAAAABACAAAAAlAQAAZHJzL2Uyb0RvYy54bWxQ&#10;SwUGAAAAAAYABgBZAQAAVAUAAAAA&#10;">
                <v:fill on="f" focussize="0,0"/>
                <v:stroke on="f"/>
                <v:imagedata o:title=""/>
                <o:lock v:ext="edit" aspectratio="f"/>
                <v:textbox>
                  <w:txbxContent>
                    <w:p w14:paraId="5B1F8F52">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不可抗力解除的支付</w:t>
                      </w:r>
                    </w:p>
                  </w:txbxContent>
                </v:textbox>
              </v:shape>
            </w:pict>
          </mc:Fallback>
        </mc:AlternateContent>
      </w:r>
      <w:r>
        <w:rPr>
          <w:rFonts w:hint="default" w:ascii="Times New Roman" w:hAnsi="Times New Roman" w:cs="Times New Roman"/>
          <w:color w:val="auto"/>
          <w:sz w:val="22"/>
          <w:szCs w:val="22"/>
          <w:highlight w:val="none"/>
        </w:rPr>
        <w:t>根据第87.2款规定解除合同的，发包人应向承包人支付合同解除之日前已完成工程但尚未支付的工程款。此外，发包人还应支付下列款项：</w:t>
      </w:r>
    </w:p>
    <w:p w14:paraId="4221CA46">
      <w:pPr>
        <w:pStyle w:val="15"/>
        <w:numPr>
          <w:ilvl w:val="0"/>
          <w:numId w:val="28"/>
        </w:numPr>
        <w:adjustRightInd w:val="0"/>
        <w:snapToGrid w:val="0"/>
        <w:spacing w:line="420" w:lineRule="exact"/>
        <w:ind w:left="2056" w:leftChars="771" w:hanging="437" w:hangingChars="199"/>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已实施或部分实施的措施项目应付款项；</w:t>
      </w:r>
    </w:p>
    <w:p w14:paraId="62B0B77B">
      <w:pPr>
        <w:pStyle w:val="15"/>
        <w:numPr>
          <w:ilvl w:val="0"/>
          <w:numId w:val="28"/>
        </w:numPr>
        <w:adjustRightInd w:val="0"/>
        <w:snapToGrid w:val="0"/>
        <w:spacing w:line="420" w:lineRule="exact"/>
        <w:ind w:left="1618" w:leftChars="770" w:hanging="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承包人为合同工程合理订购且已交付的材料和工程设备货款。发包人一经支付此项货款，该材料和工程设备即成为发包人的财产；</w:t>
      </w:r>
    </w:p>
    <w:p w14:paraId="79D10DC9">
      <w:pPr>
        <w:pStyle w:val="15"/>
        <w:numPr>
          <w:ilvl w:val="0"/>
          <w:numId w:val="28"/>
        </w:numPr>
        <w:adjustRightInd w:val="0"/>
        <w:snapToGrid w:val="0"/>
        <w:spacing w:line="420" w:lineRule="exact"/>
        <w:ind w:left="1618" w:leftChars="770" w:hanging="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承包人为完成合同工程而预期开支的任何合理款项，且该项款项未包括在本款其他各项支付之内；</w:t>
      </w:r>
    </w:p>
    <w:p w14:paraId="18685235">
      <w:pPr>
        <w:pStyle w:val="15"/>
        <w:numPr>
          <w:ilvl w:val="0"/>
          <w:numId w:val="28"/>
        </w:numPr>
        <w:adjustRightInd w:val="0"/>
        <w:snapToGrid w:val="0"/>
        <w:spacing w:line="420" w:lineRule="exact"/>
        <w:ind w:left="2056" w:leftChars="771" w:hanging="437" w:hangingChars="199"/>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根据第31.3款规定的任何工作应支付的款项；</w:t>
      </w:r>
    </w:p>
    <w:p w14:paraId="2D49AF37">
      <w:pPr>
        <w:pStyle w:val="15"/>
        <w:numPr>
          <w:ilvl w:val="0"/>
          <w:numId w:val="28"/>
        </w:numPr>
        <w:tabs>
          <w:tab w:val="left" w:pos="1980"/>
        </w:tabs>
        <w:adjustRightInd w:val="0"/>
        <w:snapToGrid w:val="0"/>
        <w:spacing w:line="420" w:lineRule="exact"/>
        <w:ind w:left="1618" w:leftChars="770" w:hanging="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根据第87.6款规定承包人撤离现场所需的合理款项，包括雇员遣送费和临时工程拆除、施工设备运离现场的款项。</w:t>
      </w:r>
    </w:p>
    <w:p w14:paraId="15AEDC56">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合同双方当事人按照第82条、第83条规定办理结算工程款，但应扣除合同解除之日前发包人向承包人收回的任何款项。如果发包人应扣除的款项超过了应支付的款项，则承包人应在合同解除后的56天内将其差额退还给发包人。</w:t>
      </w:r>
    </w:p>
    <w:p w14:paraId="258C0CFA">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88.3  </w:t>
      </w:r>
      <w:r>
        <w:rPr>
          <w:rFonts w:hint="default" w:ascii="Times New Roman" w:hAnsi="Times New Roman" w:cs="Times New Roman"/>
          <w:b/>
          <w:bCs/>
          <w:color w:val="auto"/>
          <w:sz w:val="22"/>
          <w:szCs w:val="22"/>
          <w:highlight w:val="none"/>
          <w:u w:val="dotted"/>
        </w:rPr>
        <w:t xml:space="preserve">                                                                                                        </w:t>
      </w:r>
    </w:p>
    <w:p w14:paraId="4837FA52">
      <w:pPr>
        <w:pStyle w:val="15"/>
        <w:adjustRightInd w:val="0"/>
        <w:snapToGrid w:val="0"/>
        <w:spacing w:line="420" w:lineRule="exact"/>
        <w:ind w:left="1619" w:leftChars="771"/>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56576" behindDoc="0" locked="0" layoutInCell="1" allowOverlap="1">
                <wp:simplePos x="0" y="0"/>
                <wp:positionH relativeFrom="column">
                  <wp:posOffset>-114300</wp:posOffset>
                </wp:positionH>
                <wp:positionV relativeFrom="paragraph">
                  <wp:posOffset>49530</wp:posOffset>
                </wp:positionV>
                <wp:extent cx="914400" cy="693420"/>
                <wp:effectExtent l="0" t="0" r="0" b="0"/>
                <wp:wrapNone/>
                <wp:docPr id="394" name="文本框 394"/>
                <wp:cNvGraphicFramePr/>
                <a:graphic xmlns:a="http://schemas.openxmlformats.org/drawingml/2006/main">
                  <a:graphicData uri="http://schemas.microsoft.com/office/word/2010/wordprocessingShape">
                    <wps:wsp>
                      <wps:cNvSpPr txBox="1"/>
                      <wps:spPr>
                        <a:xfrm>
                          <a:off x="0" y="0"/>
                          <a:ext cx="914400" cy="693420"/>
                        </a:xfrm>
                        <a:prstGeom prst="rect">
                          <a:avLst/>
                        </a:prstGeom>
                        <a:noFill/>
                        <a:ln>
                          <a:noFill/>
                        </a:ln>
                        <a:effectLst/>
                      </wps:spPr>
                      <wps:txbx>
                        <w:txbxContent>
                          <w:p w14:paraId="736B83AF">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因承包人的原因解除的支付</w:t>
                            </w:r>
                          </w:p>
                        </w:txbxContent>
                      </wps:txbx>
                      <wps:bodyPr wrap="square" upright="1"/>
                    </wps:wsp>
                  </a:graphicData>
                </a:graphic>
              </wp:anchor>
            </w:drawing>
          </mc:Choice>
          <mc:Fallback>
            <w:pict>
              <v:shape id="_x0000_s1026" o:spid="_x0000_s1026" o:spt="202" type="#_x0000_t202" style="position:absolute;left:0pt;margin-left:-9pt;margin-top:3.9pt;height:54.6pt;width:72pt;z-index:252056576;mso-width-relative:page;mso-height-relative:page;" filled="f" stroked="f" coordsize="21600,21600" o:gfxdata="UEsDBAoAAAAAAIdO4kAAAAAAAAAAAAAAAAAEAAAAZHJzL1BLAwQUAAAACACHTuJAqQGvndYAAAAJ&#10;AQAADwAAAGRycy9kb3ducmV2LnhtbE2PzU7DMBCE70i8g7VI3Fo7FbQlxOkBxJWK8iNx28bbJCJe&#10;R7HbpG/P9gS3Hc1odr5iM/lOnWiIbWAL2dyAIq6Ca7m28PH+MluDignZYReYLJwpwqa8viowd2Hk&#10;NzrtUq2khGOOFpqU+lzrWDXkMc5DTyzeIQwek8ih1m7AUcp9pxfGLLXHluVDgz09NVT97I7ewufr&#10;4fvrzmzrZ3/fj2Eymv2Dtvb2JjOPoBJN6S8Ml/kyHUrZtA9HdlF1FmbZWliShZUQXPzFUvRejmxl&#10;QJeF/k9Q/gJQSwMEFAAAAAgAh07iQJaVLKu+AQAAbQMAAA4AAABkcnMvZTJvRG9jLnhtbK1TS27b&#10;MBDdF+gdCO5ryo4R1ILlAIGRboq2QNoD0NTIIiB+wqEt+QLtDbrqpvuey+fokFLcNN1k0Q01nM/j&#10;vDej9c1gOnaEgNrZis9nBWdglau13Vf8y+e7N285wyhtLTtnoeInQH6zef1q3fsSFq51XQ2BEYjF&#10;svcVb2P0pRCoWjASZ86DpWDjgpGRrmEv6iB7QjedWBTFtehdqH1wChDJux2DfEIMLwF0TaMVbJ06&#10;GLBxRA3QyUiUsNUe+SZ32zSg4semQYisqzgxjfmkR8jepVNs1rLcB+lbraYW5EtaeMbJSG3p0QvU&#10;VkbJDkH/A2W0Cg5dE2fKGTESyYoQi3nxTJv7VnrIXEhq9BfR8f/Bqg/HT4HpuuJXqyVnVhoa+fn7&#10;t/OPX+efX1lykkS9x5Iy7z3lxuHWDbQ4j34kZ2I+NMGkL3FiFCeBTxeBYYhMkXM1Xy4LiigKXa+u&#10;los8APGn2AeM78AZloyKB5pfllUe32OkRij1MSW9Zd2d7ro8w87+5aDE0QN5CabqxGPsN1lx2A0T&#10;uZ2rT8Stp0WoOD4cZADODj7ofUttZK4ildAUchPTxqQxP72T/fQv2fwG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qQGvndYAAAAJAQAADwAAAAAAAAABACAAAAAiAAAAZHJzL2Rvd25yZXYueG1sUEsB&#10;AhQAFAAAAAgAh07iQJaVLKu+AQAAbQMAAA4AAAAAAAAAAQAgAAAAJQEAAGRycy9lMm9Eb2MueG1s&#10;UEsFBgAAAAAGAAYAWQEAAFUFAAAAAA==&#10;">
                <v:fill on="f" focussize="0,0"/>
                <v:stroke on="f"/>
                <v:imagedata o:title=""/>
                <o:lock v:ext="edit" aspectratio="f"/>
                <v:textbox>
                  <w:txbxContent>
                    <w:p w14:paraId="736B83AF">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因承包人的原因解除的支付</w:t>
                      </w:r>
                    </w:p>
                  </w:txbxContent>
                </v:textbox>
              </v:shape>
            </w:pict>
          </mc:Fallback>
        </mc:AlternateContent>
      </w:r>
      <w:r>
        <w:rPr>
          <w:rFonts w:hint="default" w:ascii="Times New Roman" w:hAnsi="Times New Roman" w:cs="Times New Roman"/>
          <w:color w:val="auto"/>
          <w:sz w:val="22"/>
          <w:szCs w:val="22"/>
          <w:highlight w:val="none"/>
        </w:rPr>
        <w:t>根据第87.3款规定解除合同的，发包人暂停向承包人支付任何款项，造价工程师应在合同解除后28天内核实合同解除时承包人已完成的全部工程款以及已运至现场的材料和工程设备货款，并扣除误期赔偿费（如有）和发包人已支付给承包人的各项款项，同时将结果通知承包人并抄报发包人。合同双方当事人应在收到核实结果后的28天内予以确认或提出意见，并按照第82.4款规定办理结算工程款。如果发包人应扣除的款项超过了应支付的款项，则承包人应在合同解除后的56天内将其差额退还给发包人。</w:t>
      </w:r>
    </w:p>
    <w:p w14:paraId="5598BBD6">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88.4  </w:t>
      </w:r>
      <w:r>
        <w:rPr>
          <w:rFonts w:hint="default" w:ascii="Times New Roman" w:hAnsi="Times New Roman" w:cs="Times New Roman"/>
          <w:b/>
          <w:bCs/>
          <w:color w:val="auto"/>
          <w:sz w:val="22"/>
          <w:szCs w:val="22"/>
          <w:highlight w:val="none"/>
          <w:u w:val="dotted"/>
        </w:rPr>
        <w:t xml:space="preserve">                                                                                                        </w:t>
      </w:r>
    </w:p>
    <w:p w14:paraId="516D7642">
      <w:pPr>
        <w:pStyle w:val="15"/>
        <w:adjustRightInd w:val="0"/>
        <w:snapToGrid w:val="0"/>
        <w:spacing w:line="420" w:lineRule="exact"/>
        <w:ind w:left="1619" w:leftChars="771"/>
        <w:jc w:val="lef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57600" behindDoc="0" locked="0" layoutInCell="1" allowOverlap="1">
                <wp:simplePos x="0" y="0"/>
                <wp:positionH relativeFrom="column">
                  <wp:posOffset>-114300</wp:posOffset>
                </wp:positionH>
                <wp:positionV relativeFrom="paragraph">
                  <wp:posOffset>45720</wp:posOffset>
                </wp:positionV>
                <wp:extent cx="914400" cy="463550"/>
                <wp:effectExtent l="0" t="0" r="0" b="0"/>
                <wp:wrapNone/>
                <wp:docPr id="395" name="文本框 395"/>
                <wp:cNvGraphicFramePr/>
                <a:graphic xmlns:a="http://schemas.openxmlformats.org/drawingml/2006/main">
                  <a:graphicData uri="http://schemas.microsoft.com/office/word/2010/wordprocessingShape">
                    <wps:wsp>
                      <wps:cNvSpPr txBox="1"/>
                      <wps:spPr>
                        <a:xfrm>
                          <a:off x="0" y="0"/>
                          <a:ext cx="914400" cy="463550"/>
                        </a:xfrm>
                        <a:prstGeom prst="rect">
                          <a:avLst/>
                        </a:prstGeom>
                        <a:noFill/>
                        <a:ln>
                          <a:noFill/>
                        </a:ln>
                        <a:effectLst/>
                      </wps:spPr>
                      <wps:txbx>
                        <w:txbxContent>
                          <w:p w14:paraId="3903E8B8">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因发包人的原因解除的支付</w:t>
                            </w:r>
                          </w:p>
                        </w:txbxContent>
                      </wps:txbx>
                      <wps:bodyPr wrap="square" upright="1"/>
                    </wps:wsp>
                  </a:graphicData>
                </a:graphic>
              </wp:anchor>
            </w:drawing>
          </mc:Choice>
          <mc:Fallback>
            <w:pict>
              <v:shape id="_x0000_s1026" o:spid="_x0000_s1026" o:spt="202" type="#_x0000_t202" style="position:absolute;left:0pt;margin-left:-9pt;margin-top:3.6pt;height:36.5pt;width:72pt;z-index:252057600;mso-width-relative:page;mso-height-relative:page;" filled="f" stroked="f" coordsize="21600,21600" o:gfxdata="UEsDBAoAAAAAAIdO4kAAAAAAAAAAAAAAAAAEAAAAZHJzL1BLAwQUAAAACACHTuJAA9E29dUAAAAI&#10;AQAADwAAAGRycy9kb3ducmV2LnhtbE2PwU7DMBBE70j9B2srcWvtRFDSkE0PrbiCaAGpNzfeJhHx&#10;OordJvw97gmOoxnNvCk2k+3ElQbfOkZIlgoEceVMyzXCx+FlkYHwQbPRnWNC+CEPm3J2V+jcuJHf&#10;6boPtYgl7HON0ITQ51L6qiGr/dL1xNE7u8HqEOVQSzPoMZbbTqZKraTVLceFRve0baj63l8swufr&#10;+fj1oN7qnX3sRzcpyXYtEe/niXoGEWgKf2G44Ud0KCPTyV3YeNEhLJIsfgkITymIm5+uoj4hZCoF&#10;WRby/4HyF1BLAwQUAAAACACHTuJApvRQgr4BAABtAwAADgAAAGRycy9lMm9Eb2MueG1srVNLbtsw&#10;EN0X6B0I7mvJiR00guUAgZFuirZA2gPQ1MgiwF85tCVfoL1BV91033P5HB1SipummyyyoYbzeZz3&#10;ZrS6GYxmBwionK35fFZyBla6Rtldzb98vnvzljOMwjZCOws1PwLym/XrV6veV3DhOqcbCIxALFa9&#10;r3kXo6+KAmUHRuDMebAUbF0wItI17IomiJ7QjS4uyvKq6F1ofHASEMm7GYN8QgzPAXRtqyRsnNwb&#10;sHFEDaBFJErYKY98nbttW5DxY9siRKZrTkxjPukRsrfpLNYrUe2C8J2SUwviOS084WSEsvToGWoj&#10;omD7oP6DMkoGh66NM+lMMRLJihCLeflEm/tOeMhcSGr0Z9Hx5WDlh8OnwFRT88vrJWdWGBr56cf3&#10;08/fp1/fWHKSRL3HijLvPeXG4dYNtDgPfiRnYj60waQvcWIUJ4GPZ4FhiEyS83q+WJQUkRRaXF0u&#10;l3kAxd9iHzC+A2dYMmoeaH5ZVnF4j5EaodSHlPSWdXdK6zxDbf9xUOLogbwEU3XiMfabrDhsh4nc&#10;1jVH4tbTItQcv+5FAM72PqhdR21krkUqoSnkJqaNSWN+fCf78V+y/g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D0Tb11QAAAAgBAAAPAAAAAAAAAAEAIAAAACIAAABkcnMvZG93bnJldi54bWxQSwEC&#10;FAAUAAAACACHTuJApvRQgr4BAABtAwAADgAAAAAAAAABACAAAAAkAQAAZHJzL2Uyb0RvYy54bWxQ&#10;SwUGAAAAAAYABgBZAQAAVAUAAAAA&#10;">
                <v:fill on="f" focussize="0,0"/>
                <v:stroke on="f"/>
                <v:imagedata o:title=""/>
                <o:lock v:ext="edit" aspectratio="f"/>
                <v:textbox>
                  <w:txbxContent>
                    <w:p w14:paraId="3903E8B8">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因发包人的原因解除的支付</w:t>
                      </w:r>
                    </w:p>
                  </w:txbxContent>
                </v:textbox>
              </v:shape>
            </w:pict>
          </mc:Fallback>
        </mc:AlternateContent>
      </w:r>
      <w:r>
        <w:rPr>
          <w:rFonts w:hint="default" w:ascii="Times New Roman" w:hAnsi="Times New Roman" w:cs="Times New Roman"/>
          <w:color w:val="auto"/>
          <w:sz w:val="22"/>
          <w:szCs w:val="22"/>
          <w:highlight w:val="none"/>
        </w:rPr>
        <w:t>根据第87.4款规定解除合同的，发包人除应按照第88.2款规定向承包人支付各项款项外，还应支付给承包人由于解除合同而引起的损失或损害的款项。该笔款项由承包人提出，造价工程师核实后与合同双方当事人协商确定，并在确定后的7天内由造价工程师向发包人签发支付证书，抄送承包人。协商不能达成一致的，按照第86条规定处理。</w:t>
      </w:r>
    </w:p>
    <w:p w14:paraId="6CF13018">
      <w:pPr>
        <w:pStyle w:val="15"/>
        <w:adjustRightInd w:val="0"/>
        <w:snapToGrid w:val="0"/>
        <w:spacing w:line="420" w:lineRule="exact"/>
        <w:jc w:val="left"/>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1D0E3B76">
      <w:pPr>
        <w:pStyle w:val="15"/>
        <w:adjustRightInd w:val="0"/>
        <w:snapToGrid w:val="0"/>
        <w:spacing w:line="420" w:lineRule="exact"/>
        <w:jc w:val="left"/>
        <w:outlineLvl w:val="2"/>
        <w:rPr>
          <w:rFonts w:hint="default" w:ascii="Times New Roman" w:hAnsi="Times New Roman" w:cs="Times New Roman"/>
          <w:b/>
          <w:bCs/>
          <w:color w:val="auto"/>
          <w:sz w:val="22"/>
          <w:szCs w:val="22"/>
          <w:highlight w:val="none"/>
        </w:rPr>
      </w:pPr>
      <w:bookmarkStart w:id="281" w:name="_Toc469384073"/>
      <w:bookmarkStart w:id="282" w:name="_Toc26480"/>
      <w:r>
        <w:rPr>
          <w:rFonts w:hint="default" w:ascii="Times New Roman" w:hAnsi="Times New Roman" w:cs="Times New Roman"/>
          <w:b/>
          <w:bCs/>
          <w:color w:val="auto"/>
          <w:sz w:val="22"/>
          <w:szCs w:val="22"/>
          <w:highlight w:val="none"/>
        </w:rPr>
        <w:t>89  合同终止</w:t>
      </w:r>
      <w:bookmarkEnd w:id="281"/>
      <w:bookmarkEnd w:id="282"/>
    </w:p>
    <w:p w14:paraId="22AE2B33">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89.1    </w:t>
      </w:r>
    </w:p>
    <w:p w14:paraId="17067602">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58624" behindDoc="0" locked="0" layoutInCell="1" allowOverlap="1">
                <wp:simplePos x="0" y="0"/>
                <wp:positionH relativeFrom="column">
                  <wp:posOffset>-114300</wp:posOffset>
                </wp:positionH>
                <wp:positionV relativeFrom="paragraph">
                  <wp:posOffset>15875</wp:posOffset>
                </wp:positionV>
                <wp:extent cx="914400" cy="396240"/>
                <wp:effectExtent l="0" t="0" r="0" b="0"/>
                <wp:wrapNone/>
                <wp:docPr id="396" name="文本框 396"/>
                <wp:cNvGraphicFramePr/>
                <a:graphic xmlns:a="http://schemas.openxmlformats.org/drawingml/2006/main">
                  <a:graphicData uri="http://schemas.microsoft.com/office/word/2010/wordprocessingShape">
                    <wps:wsp>
                      <wps:cNvSpPr txBox="1"/>
                      <wps:spPr>
                        <a:xfrm>
                          <a:off x="0" y="0"/>
                          <a:ext cx="914400" cy="396240"/>
                        </a:xfrm>
                        <a:prstGeom prst="rect">
                          <a:avLst/>
                        </a:prstGeom>
                        <a:noFill/>
                        <a:ln>
                          <a:noFill/>
                        </a:ln>
                        <a:effectLst/>
                      </wps:spPr>
                      <wps:txbx>
                        <w:txbxContent>
                          <w:p w14:paraId="3F5A572A">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合同解除后的终止</w:t>
                            </w:r>
                          </w:p>
                        </w:txbxContent>
                      </wps:txbx>
                      <wps:bodyPr wrap="square" upright="1"/>
                    </wps:wsp>
                  </a:graphicData>
                </a:graphic>
              </wp:anchor>
            </w:drawing>
          </mc:Choice>
          <mc:Fallback>
            <w:pict>
              <v:shape id="_x0000_s1026" o:spid="_x0000_s1026" o:spt="202" type="#_x0000_t202" style="position:absolute;left:0pt;margin-left:-9pt;margin-top:1.25pt;height:31.2pt;width:72pt;z-index:252058624;mso-width-relative:page;mso-height-relative:page;" filled="f" stroked="f" coordsize="21600,21600" o:gfxdata="UEsDBAoAAAAAAIdO4kAAAAAAAAAAAAAAAAAEAAAAZHJzL1BLAwQUAAAACACHTuJAD8/wcNUAAAAI&#10;AQAADwAAAGRycy9kb3ducmV2LnhtbE2PwW7CMBBE75X6D9ZW4gZ2IoggzYZDq16pSmml3ky8JFHj&#10;dRQbkv59zQmOoxnNvCm2k+3EhQbfOkZIFgoEceVMyzXC4fNtvgbhg2ajO8eE8EcetuXjQ6Fz40b+&#10;oMs+1CKWsM81QhNCn0vpq4as9gvXE0fv5AarQ5RDLc2gx1huO5kqlUmrW44Lje7ppaHqd3+2CF+7&#10;08/3Ur3Xr3bVj25Sku1GIs6eEvUMItAUbmG44kd0KCPT0Z3ZeNEhzJN1/BIQ0hWIq59mUR8RsuUG&#10;ZFnI+wPlP1BLAwQUAAAACACHTuJADGBCMrwBAABtAwAADgAAAGRycy9lMm9Eb2MueG1srVNLbtsw&#10;EN0XyB0I7mPJrhE0guUAhZFuirZA2gPQ1NAiIH7KoS35Au0Nuuqm+57L5+iQUpzfJotuqOF8Hue9&#10;Ga1uBtOxAwTUztZ8Pis5Aytdo+2u5t++3l6+4wyjsI3onIWaHwH5zfrizar3FSxc67oGAiMQi1Xv&#10;a97G6KuiQNmCEThzHiwFlQtGRLqGXdEE0RO66YpFWV4VvQuND04CInk3Y5BPiOE1gE4pLWHj5N6A&#10;jSNqgE5EooSt9sjXuVulQMbPSiFE1tWcmMZ80iNkb9NZrFei2gXhWy2nFsRrWnjGyQht6dEz1EZE&#10;wfZBv4AyWgaHTsWZdKYYiWRFiMW8fKbNXSs8ZC4kNfqz6Pj/YOWnw5fAdFPzt9dXnFlhaOSnXz9P&#10;v/+e/vxgyUkS9R4ryrzzlBuH926gxbn3IzkT80EFk77EiVGcBD6eBYYhMknO6/lyWVJEUoigF8s8&#10;gOKh2AeMH8AZloyaB5pfllUcPmKkRij1PiW9Zd2t7ro8w84+cVDi6IG8BFN14jH2m6w4bIeJ3NY1&#10;R+LW0yLUHL/vRQDO9j7oXUttZK5FKqEp5CamjUljfnwn+/Ffsv4H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D8/wcNUAAAAIAQAADwAAAAAAAAABACAAAAAiAAAAZHJzL2Rvd25yZXYueG1sUEsBAhQA&#10;FAAAAAgAh07iQAxgQjK8AQAAbQMAAA4AAAAAAAAAAQAgAAAAJAEAAGRycy9lMm9Eb2MueG1sUEsF&#10;BgAAAAAGAAYAWQEAAFIFAAAAAA==&#10;">
                <v:fill on="f" focussize="0,0"/>
                <v:stroke on="f"/>
                <v:imagedata o:title=""/>
                <o:lock v:ext="edit" aspectratio="f"/>
                <v:textbox>
                  <w:txbxContent>
                    <w:p w14:paraId="3F5A572A">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合同解除后的终止</w:t>
                      </w:r>
                    </w:p>
                  </w:txbxContent>
                </v:textbox>
              </v:shape>
            </w:pict>
          </mc:Fallback>
        </mc:AlternateContent>
      </w:r>
      <w:r>
        <w:rPr>
          <w:rFonts w:hint="default" w:ascii="Times New Roman" w:hAnsi="Times New Roman" w:cs="Times New Roman"/>
          <w:color w:val="auto"/>
          <w:sz w:val="22"/>
          <w:szCs w:val="22"/>
          <w:highlight w:val="none"/>
        </w:rPr>
        <w:t>合同解除后，除合同双方当事人享有第86条至第88条规定的权利外，本合同即告终止，但不因一方当事人在此以前的任何违约而损害另一方当事人应享有的权利，也不影响合同双方当事人履行本合同结算和清算条款的效力。</w:t>
      </w:r>
    </w:p>
    <w:p w14:paraId="4B7A9B9F">
      <w:pPr>
        <w:pStyle w:val="15"/>
        <w:tabs>
          <w:tab w:val="left" w:pos="1320"/>
        </w:tabs>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89.2  </w:t>
      </w:r>
      <w:r>
        <w:rPr>
          <w:rFonts w:hint="default" w:ascii="Times New Roman" w:hAnsi="Times New Roman" w:cs="Times New Roman"/>
          <w:b/>
          <w:bCs/>
          <w:color w:val="auto"/>
          <w:sz w:val="22"/>
          <w:szCs w:val="22"/>
          <w:highlight w:val="none"/>
          <w:u w:val="dotted"/>
        </w:rPr>
        <w:t xml:space="preserve">                                                                                                        </w:t>
      </w:r>
    </w:p>
    <w:p w14:paraId="0E3F431C">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59648" behindDoc="0" locked="0" layoutInCell="1" allowOverlap="1">
                <wp:simplePos x="0" y="0"/>
                <wp:positionH relativeFrom="column">
                  <wp:posOffset>-114300</wp:posOffset>
                </wp:positionH>
                <wp:positionV relativeFrom="paragraph">
                  <wp:posOffset>635</wp:posOffset>
                </wp:positionV>
                <wp:extent cx="914400" cy="851535"/>
                <wp:effectExtent l="0" t="0" r="0" b="0"/>
                <wp:wrapNone/>
                <wp:docPr id="397" name="文本框 397"/>
                <wp:cNvGraphicFramePr/>
                <a:graphic xmlns:a="http://schemas.openxmlformats.org/drawingml/2006/main">
                  <a:graphicData uri="http://schemas.microsoft.com/office/word/2010/wordprocessingShape">
                    <wps:wsp>
                      <wps:cNvSpPr txBox="1"/>
                      <wps:spPr>
                        <a:xfrm>
                          <a:off x="0" y="0"/>
                          <a:ext cx="914400" cy="851535"/>
                        </a:xfrm>
                        <a:prstGeom prst="rect">
                          <a:avLst/>
                        </a:prstGeom>
                        <a:noFill/>
                        <a:ln>
                          <a:noFill/>
                        </a:ln>
                        <a:effectLst/>
                      </wps:spPr>
                      <wps:txbx>
                        <w:txbxContent>
                          <w:p w14:paraId="145C9240">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双方履行完全部义务后的终止</w:t>
                            </w:r>
                          </w:p>
                        </w:txbxContent>
                      </wps:txbx>
                      <wps:bodyPr wrap="square" upright="1"/>
                    </wps:wsp>
                  </a:graphicData>
                </a:graphic>
              </wp:anchor>
            </w:drawing>
          </mc:Choice>
          <mc:Fallback>
            <w:pict>
              <v:shape id="_x0000_s1026" o:spid="_x0000_s1026" o:spt="202" type="#_x0000_t202" style="position:absolute;left:0pt;margin-left:-9pt;margin-top:0.05pt;height:67.05pt;width:72pt;z-index:252059648;mso-width-relative:page;mso-height-relative:page;" filled="f" stroked="f" coordsize="21600,21600" o:gfxdata="UEsDBAoAAAAAAIdO4kAAAAAAAAAAAAAAAAAEAAAAZHJzL1BLAwQUAAAACACHTuJA38KqftUAAAAI&#10;AQAADwAAAGRycy9kb3ducmV2LnhtbE2PzW7CMBCE75X6DtZW6g3spIBoGocDqNei0h+pNxMvSdR4&#10;HcWGhLfv5kRvO/pGszP5ZnStuGAfGk8akrkCgVR621Cl4fPjdbYGEaIha1pPqOGKATbF/V1uMusH&#10;esfLIVaCQyhkRkMdY5dJGcoanQlz3yExO/nemciyr6TtzcDhrpWpUivpTEP8oTYdbmssfw9np+Hr&#10;7fTzvVD7aueW3eBHJck9S60fHxL1AiLiGG9mmOpzdSi409GfyQbRapgla94SJyAmnK5YHvl4WqQg&#10;i1z+H1D8AVBLAwQUAAAACACHTuJAUeRUTb0BAABtAwAADgAAAGRycy9lMm9Eb2MueG1srVNLbtsw&#10;EN0X6B0I7mvJSdwmguUAhZFuirZA2gPQ1NAiwF85tCVfoL1BV91033P5HBlKipsmmyyyoYbzeZz3&#10;ZrS87q1he4iovav5fFZyBk76Rrttzb99vXlzyRkm4RphvIOaHwD59er1q2UXKjjzrTcNREYgDqsu&#10;1LxNKVRFgbIFK3DmAzgKKh+tSHSN26KJoiN0a4qzsnxbdD42IXoJiORdj0E+IcbnAHqltIS1lzsL&#10;Lo2oEYxIRAlbHZCvhm6VApk+K4WQmKk5MU3DSY+QvclnsVqKahtFaLWcWhDPaeERJyu0o0dPUGuR&#10;BNtF/QTKahk9epVm0ttiJDIoQizm5SNtblsRYOBCUmM4iY4vBys/7b9Eppuan1+948wJSyM//vp5&#10;/P33+OcHy06SqAtYUeZtoNzUv/c9Lc69H8mZmfcq2vwlToziJPDhJDD0iUlyXs0vLkqKSApdLuaL&#10;80VGKf4Vh4jpA3jLslHzSPMbZBX7j5jG1PuU/JbzN9qYYYbG/ecgzNEDwxJM1ZnH2G+2Ur/pJ3Ib&#10;3xyIW0eLUHP8vhMRONuFqLcttTFwLXIJTWHod9qYPOaHd7If/iWrO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N/Cqn7VAAAACAEAAA8AAAAAAAAAAQAgAAAAIgAAAGRycy9kb3ducmV2LnhtbFBLAQIU&#10;ABQAAAAIAIdO4kBR5FRNvQEAAG0DAAAOAAAAAAAAAAEAIAAAACQBAABkcnMvZTJvRG9jLnhtbFBL&#10;BQYAAAAABgAGAFkBAABTBQAAAAA=&#10;">
                <v:fill on="f" focussize="0,0"/>
                <v:stroke on="f"/>
                <v:imagedata o:title=""/>
                <o:lock v:ext="edit" aspectratio="f"/>
                <v:textbox>
                  <w:txbxContent>
                    <w:p w14:paraId="145C9240">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双方履行完全部义务后的终止</w:t>
                      </w:r>
                    </w:p>
                  </w:txbxContent>
                </v:textbox>
              </v:shape>
            </w:pict>
          </mc:Fallback>
        </mc:AlternateContent>
      </w:r>
      <w:r>
        <w:rPr>
          <w:rFonts w:hint="default" w:ascii="Times New Roman" w:hAnsi="Times New Roman" w:cs="Times New Roman"/>
          <w:color w:val="auto"/>
          <w:sz w:val="22"/>
          <w:szCs w:val="22"/>
          <w:highlight w:val="none"/>
        </w:rPr>
        <w:t>除第59条和第84条规定的质量保修条款外，合同双方当事人履行完本合同全部义务，发包人向承包人支付完竣工结算款，承包人向发包人交付竣工工程后，本合同即告终止。</w:t>
      </w:r>
    </w:p>
    <w:p w14:paraId="184C414E">
      <w:pPr>
        <w:pStyle w:val="15"/>
        <w:tabs>
          <w:tab w:val="left" w:pos="1320"/>
        </w:tabs>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89.3  </w:t>
      </w:r>
      <w:r>
        <w:rPr>
          <w:rFonts w:hint="default" w:ascii="Times New Roman" w:hAnsi="Times New Roman" w:cs="Times New Roman"/>
          <w:b/>
          <w:bCs/>
          <w:color w:val="auto"/>
          <w:sz w:val="22"/>
          <w:szCs w:val="22"/>
          <w:highlight w:val="none"/>
          <w:u w:val="dotted"/>
        </w:rPr>
        <w:t xml:space="preserve">                                                                              </w:t>
      </w:r>
    </w:p>
    <w:p w14:paraId="5D098800">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60672" behindDoc="0" locked="0" layoutInCell="1" allowOverlap="1">
                <wp:simplePos x="0" y="0"/>
                <wp:positionH relativeFrom="column">
                  <wp:posOffset>-114300</wp:posOffset>
                </wp:positionH>
                <wp:positionV relativeFrom="paragraph">
                  <wp:posOffset>13335</wp:posOffset>
                </wp:positionV>
                <wp:extent cx="914400" cy="415925"/>
                <wp:effectExtent l="0" t="0" r="0" b="0"/>
                <wp:wrapNone/>
                <wp:docPr id="398" name="文本框 398"/>
                <wp:cNvGraphicFramePr/>
                <a:graphic xmlns:a="http://schemas.openxmlformats.org/drawingml/2006/main">
                  <a:graphicData uri="http://schemas.microsoft.com/office/word/2010/wordprocessingShape">
                    <wps:wsp>
                      <wps:cNvSpPr txBox="1"/>
                      <wps:spPr>
                        <a:xfrm>
                          <a:off x="0" y="0"/>
                          <a:ext cx="914400" cy="415925"/>
                        </a:xfrm>
                        <a:prstGeom prst="rect">
                          <a:avLst/>
                        </a:prstGeom>
                        <a:noFill/>
                        <a:ln>
                          <a:noFill/>
                        </a:ln>
                        <a:effectLst/>
                      </wps:spPr>
                      <wps:txbx>
                        <w:txbxContent>
                          <w:p w14:paraId="3B57F8DD">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合同终止后双方的义务</w:t>
                            </w:r>
                          </w:p>
                        </w:txbxContent>
                      </wps:txbx>
                      <wps:bodyPr wrap="square" upright="1"/>
                    </wps:wsp>
                  </a:graphicData>
                </a:graphic>
              </wp:anchor>
            </w:drawing>
          </mc:Choice>
          <mc:Fallback>
            <w:pict>
              <v:shape id="_x0000_s1026" o:spid="_x0000_s1026" o:spt="202" type="#_x0000_t202" style="position:absolute;left:0pt;margin-left:-9pt;margin-top:1.05pt;height:32.75pt;width:72pt;z-index:252060672;mso-width-relative:page;mso-height-relative:page;" filled="f" stroked="f" coordsize="21600,21600" o:gfxdata="UEsDBAoAAAAAAIdO4kAAAAAAAAAAAAAAAAAEAAAAZHJzL1BLAwQUAAAACACHTuJAnEyWpNUAAAAI&#10;AQAADwAAAGRycy9kb3ducmV2LnhtbE2PwU7DMBBE70j9B2srcWvtRBDakE0PrbiCaAGpNzfeJhHx&#10;OordJvw97gmOoxnNvCk2k+3ElQbfOkZIlgoEceVMyzXCx+FlsQLhg2ajO8eE8EMeNuXsrtC5cSO/&#10;03UfahFL2OcaoQmhz6X0VUNW+6XriaN3doPVIcqhlmbQYyy3nUyVyqTVLceFRve0baj63l8swufr&#10;+fj1oN7qnX3sRzcpyXYtEe/niXoGEWgKf2G44Ud0KCPTyV3YeNEhLJJV/BIQ0gTEzU+zqE8I2VMG&#10;sizk/wPlL1BLAwQUAAAACACHTuJAgb9ex7wBAABtAwAADgAAAGRycy9lMm9Eb2MueG1srVPNjtMw&#10;EL4j8Q6W7zRp6SIaNV1pVS0XBEgLD+A648aS//C4TfoC8AacuHDnufocjJNsWZbLHvbijOfn83zf&#10;TNbXvTXsCBG1dzWfz0rOwEnfaLev+ZfPt6/ecoZJuEYY76DmJ0B+vXn5Yt2FCha+9aaByAjEYdWF&#10;mrcphaooULZgBc58AEdB5aMVia5xXzRRdIRuTbEoyzdF52MTopeASN7tGOQTYnwKoFdKS9h6ebDg&#10;0ogawYhElLDVAflm6FYpkOmjUgiJmZoT0zSc9AjZu3wWm7Wo9lGEVsupBfGUFh5xskI7evQCtRVJ&#10;sEPU/0FZLaNHr9JMeluMRAZFiMW8fKTNXSsCDFxIagwX0fH5YOWH46fIdFPz1ysavBOWRn7+8f38&#10;8/f51zeWnSRRF7CizLtAuam/8T0tzr0fyZmZ9yra/CVOjOIk8OkiMPSJSXKu5stlSRFJoeX8arW4&#10;yijF3+IQMb0Db1k2ah5pfoOs4vge05h6n5Lfcv5WGzPM0Lh/HIQ5emBYgqk68xj7zVbqd/1Ebueb&#10;E3HraBFqjl8PIgJnhxD1vqU2Bq5FLqEpDP1OG5PH/PBO9sO/ZPMH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nEyWpNUAAAAIAQAADwAAAAAAAAABACAAAAAiAAAAZHJzL2Rvd25yZXYueG1sUEsBAhQA&#10;FAAAAAgAh07iQIG/Xse8AQAAbQMAAA4AAAAAAAAAAQAgAAAAJAEAAGRycy9lMm9Eb2MueG1sUEsF&#10;BgAAAAAGAAYAWQEAAFIFAAAAAA==&#10;">
                <v:fill on="f" focussize="0,0"/>
                <v:stroke on="f"/>
                <v:imagedata o:title=""/>
                <o:lock v:ext="edit" aspectratio="f"/>
                <v:textbox>
                  <w:txbxContent>
                    <w:p w14:paraId="3B57F8DD">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合同终止后双方的义务</w:t>
                      </w:r>
                    </w:p>
                  </w:txbxContent>
                </v:textbox>
              </v:shape>
            </w:pict>
          </mc:Fallback>
        </mc:AlternateContent>
      </w:r>
      <w:r>
        <w:rPr>
          <w:rFonts w:hint="default" w:ascii="Times New Roman" w:hAnsi="Times New Roman" w:cs="Times New Roman"/>
          <w:color w:val="auto"/>
          <w:sz w:val="22"/>
          <w:szCs w:val="22"/>
          <w:highlight w:val="none"/>
        </w:rPr>
        <w:t>本合同的权利义务终止后，合同双方当事人仍应遵循诚实信用原则，继续履行合同约定的通知、协助、保密等义务。</w:t>
      </w:r>
    </w:p>
    <w:p w14:paraId="1FBF5D20">
      <w:pPr>
        <w:pStyle w:val="15"/>
        <w:adjustRightInd w:val="0"/>
        <w:snapToGrid w:val="0"/>
        <w:spacing w:line="420" w:lineRule="exact"/>
        <w:ind w:right="-238"/>
        <w:rPr>
          <w:rFonts w:hint="default" w:ascii="Times New Roman" w:hAnsi="Times New Roman" w:cs="Times New Roman"/>
          <w:color w:val="auto"/>
          <w:sz w:val="22"/>
          <w:szCs w:val="22"/>
          <w:highlight w:val="none"/>
          <w:u w:val="single"/>
        </w:rPr>
      </w:pPr>
      <w:r>
        <w:rPr>
          <w:rFonts w:hint="default" w:ascii="Times New Roman" w:hAnsi="Times New Roman" w:cs="Times New Roman"/>
          <w:color w:val="auto"/>
          <w:sz w:val="22"/>
          <w:szCs w:val="22"/>
          <w:highlight w:val="none"/>
          <w:u w:val="single"/>
        </w:rPr>
        <w:t xml:space="preserve">                                                                                             </w:t>
      </w:r>
    </w:p>
    <w:p w14:paraId="62E46225">
      <w:pPr>
        <w:pStyle w:val="15"/>
        <w:adjustRightInd w:val="0"/>
        <w:snapToGrid w:val="0"/>
        <w:spacing w:line="420" w:lineRule="exact"/>
        <w:ind w:right="-238"/>
        <w:jc w:val="center"/>
        <w:outlineLvl w:val="1"/>
        <w:rPr>
          <w:rFonts w:hint="default" w:ascii="Times New Roman" w:hAnsi="Times New Roman" w:eastAsia="方正小标宋_GBK" w:cs="Times New Roman"/>
          <w:b/>
          <w:bCs/>
          <w:color w:val="auto"/>
          <w:sz w:val="24"/>
          <w:szCs w:val="24"/>
          <w:highlight w:val="none"/>
        </w:rPr>
      </w:pPr>
      <w:bookmarkStart w:id="283" w:name="_Toc1232661772"/>
      <w:r>
        <w:rPr>
          <w:rFonts w:hint="default" w:ascii="Times New Roman" w:hAnsi="Times New Roman" w:eastAsia="方正小标宋_GBK" w:cs="Times New Roman"/>
          <w:b/>
          <w:bCs/>
          <w:color w:val="auto"/>
          <w:sz w:val="24"/>
          <w:szCs w:val="24"/>
          <w:highlight w:val="none"/>
        </w:rPr>
        <w:t>八、违 约 责 任</w:t>
      </w:r>
      <w:bookmarkEnd w:id="283"/>
    </w:p>
    <w:p w14:paraId="2A4DD7C9">
      <w:pPr>
        <w:spacing w:line="420" w:lineRule="exact"/>
        <w:jc w:val="left"/>
        <w:rPr>
          <w:rFonts w:hint="default" w:ascii="Times New Roman" w:hAnsi="Times New Roman" w:cs="Times New Roman"/>
          <w:color w:val="auto"/>
          <w:sz w:val="22"/>
          <w:szCs w:val="22"/>
          <w:highlight w:val="none"/>
        </w:rPr>
      </w:pPr>
    </w:p>
    <w:p w14:paraId="266BD32C">
      <w:pPr>
        <w:pStyle w:val="15"/>
        <w:adjustRightInd w:val="0"/>
        <w:snapToGrid w:val="0"/>
        <w:spacing w:line="420" w:lineRule="exact"/>
        <w:jc w:val="left"/>
        <w:outlineLvl w:val="2"/>
        <w:rPr>
          <w:rFonts w:hint="default" w:ascii="Times New Roman" w:hAnsi="Times New Roman" w:cs="Times New Roman"/>
          <w:b/>
          <w:bCs/>
          <w:color w:val="auto"/>
          <w:sz w:val="22"/>
          <w:szCs w:val="22"/>
          <w:highlight w:val="none"/>
        </w:rPr>
      </w:pPr>
      <w:bookmarkStart w:id="284" w:name="_Toc4654"/>
      <w:r>
        <w:rPr>
          <w:rFonts w:hint="default" w:ascii="Times New Roman" w:hAnsi="Times New Roman" w:cs="Times New Roman"/>
          <w:color w:val="auto"/>
          <w:sz w:val="22"/>
          <w:szCs w:val="22"/>
          <w:highlight w:val="none"/>
        </w:rPr>
        <w:t>★</w:t>
      </w:r>
      <w:r>
        <w:rPr>
          <w:rFonts w:hint="default" w:ascii="Times New Roman" w:hAnsi="Times New Roman" w:cs="Times New Roman"/>
          <w:b/>
          <w:bCs/>
          <w:color w:val="auto"/>
          <w:sz w:val="22"/>
          <w:szCs w:val="22"/>
          <w:highlight w:val="none"/>
        </w:rPr>
        <w:t>90  承包人的违约责任</w:t>
      </w:r>
      <w:bookmarkEnd w:id="284"/>
    </w:p>
    <w:p w14:paraId="6B280B42">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90.1</w:t>
      </w:r>
    </w:p>
    <w:p w14:paraId="74185D94">
      <w:pPr>
        <w:adjustRightInd w:val="0"/>
        <w:snapToGrid w:val="0"/>
        <w:spacing w:line="420" w:lineRule="exact"/>
        <w:ind w:left="2296" w:leftChars="98" w:hanging="2090" w:hangingChars="95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78080" behindDoc="0" locked="0" layoutInCell="1" allowOverlap="1">
                <wp:simplePos x="0" y="0"/>
                <wp:positionH relativeFrom="column">
                  <wp:posOffset>-114300</wp:posOffset>
                </wp:positionH>
                <wp:positionV relativeFrom="paragraph">
                  <wp:posOffset>15875</wp:posOffset>
                </wp:positionV>
                <wp:extent cx="914400" cy="396240"/>
                <wp:effectExtent l="0" t="0" r="0" b="0"/>
                <wp:wrapNone/>
                <wp:docPr id="409" name="文本框 409"/>
                <wp:cNvGraphicFramePr/>
                <a:graphic xmlns:a="http://schemas.openxmlformats.org/drawingml/2006/main">
                  <a:graphicData uri="http://schemas.microsoft.com/office/word/2010/wordprocessingShape">
                    <wps:wsp>
                      <wps:cNvSpPr txBox="1"/>
                      <wps:spPr>
                        <a:xfrm>
                          <a:off x="0" y="0"/>
                          <a:ext cx="914400" cy="396240"/>
                        </a:xfrm>
                        <a:prstGeom prst="rect">
                          <a:avLst/>
                        </a:prstGeom>
                        <a:noFill/>
                        <a:ln>
                          <a:noFill/>
                        </a:ln>
                        <a:effectLst/>
                      </wps:spPr>
                      <wps:txbx>
                        <w:txbxContent>
                          <w:p w14:paraId="207C434F">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承包人责任</w:t>
                            </w:r>
                          </w:p>
                        </w:txbxContent>
                      </wps:txbx>
                      <wps:bodyPr wrap="square" upright="1"/>
                    </wps:wsp>
                  </a:graphicData>
                </a:graphic>
              </wp:anchor>
            </w:drawing>
          </mc:Choice>
          <mc:Fallback>
            <w:pict>
              <v:shape id="_x0000_s1026" o:spid="_x0000_s1026" o:spt="202" type="#_x0000_t202" style="position:absolute;left:0pt;margin-left:-9pt;margin-top:1.25pt;height:31.2pt;width:72pt;z-index:252078080;mso-width-relative:page;mso-height-relative:page;" filled="f" stroked="f" coordsize="21600,21600" o:gfxdata="UEsDBAoAAAAAAIdO4kAAAAAAAAAAAAAAAAAEAAAAZHJzL1BLAwQUAAAACACHTuJAD8/wcNUAAAAI&#10;AQAADwAAAGRycy9kb3ducmV2LnhtbE2PwW7CMBBE75X6D9ZW4gZ2IoggzYZDq16pSmml3ky8JFHj&#10;dRQbkv59zQmOoxnNvCm2k+3EhQbfOkZIFgoEceVMyzXC4fNtvgbhg2ajO8eE8EcetuXjQ6Fz40b+&#10;oMs+1CKWsM81QhNCn0vpq4as9gvXE0fv5AarQ5RDLc2gx1huO5kqlUmrW44Lje7ppaHqd3+2CF+7&#10;08/3Ur3Xr3bVj25Sku1GIs6eEvUMItAUbmG44kd0KCPT0Z3ZeNEhzJN1/BIQ0hWIq59mUR8RsuUG&#10;ZFnI+wPlP1BLAwQUAAAACACHTuJAoVdTtL4BAABtAwAADgAAAGRycy9lMm9Eb2MueG1srVNLbtsw&#10;EN0X6B0I7mvKrhHUguUAgZFuirZA2gPQ1MgiIH7KoS35Au0Nuuqm+57L5+iQUpw03WSRDTWcz+O8&#10;N6P19WA6doSA2tmKz2cFZ2CVq7XdV/zrl9s37zjDKG0tO2eh4idAfr15/Wrd+xIWrnVdDYERiMWy&#10;9xVvY/SlEKhaMBJnzoOlYOOCkZGuYS/qIHtCN51YFMWV6F2ofXAKEMm7HYN8QgzPAXRNoxVsnToY&#10;sHFEDdDJSJSw1R75JnfbNKDip6ZBiKyrODGN+aRHyN6lU2zWstwH6Vutphbkc1p4wslIbenRC9RW&#10;RskOQf8HZbQKDl0TZ8oZMRLJihCLefFEm7tWeshcSGr0F9Hx5WDVx+PnwHRd8WWx4sxKQyM///xx&#10;/vXn/Ps7S06SqPdYUuadp9w43LiBFufej+RMzIcmmPQlToziJPDpIjAMkSlyrubLZUERRaG3q6vF&#10;Mg9APBT7gPE9OMOSUfFA88uyyuMHjNQIpd6npLesu9Vdl2fY2X8clDh6IC/BVJ14jP0mKw67YSK3&#10;c/WJuPW0CBXHbwcZgLODD3rfUhuZq0glNIXcxLQxacyP72Q//ks2f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Pz/Bw1QAAAAgBAAAPAAAAAAAAAAEAIAAAACIAAABkcnMvZG93bnJldi54bWxQSwEC&#10;FAAUAAAACACHTuJAoVdTtL4BAABtAwAADgAAAAAAAAABACAAAAAkAQAAZHJzL2Uyb0RvYy54bWxQ&#10;SwUGAAAAAAYABgBZAQAAVAUAAAAA&#10;">
                <v:fill on="f" focussize="0,0"/>
                <v:stroke on="f"/>
                <v:imagedata o:title=""/>
                <o:lock v:ext="edit" aspectratio="f"/>
                <v:textbox>
                  <w:txbxContent>
                    <w:p w14:paraId="207C434F">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承包人责任</w:t>
                      </w:r>
                    </w:p>
                  </w:txbxContent>
                </v:textbox>
              </v:shape>
            </w:pict>
          </mc:Fallback>
        </mc:AlternateContent>
      </w:r>
      <w:r>
        <w:rPr>
          <w:rFonts w:hint="default" w:ascii="Times New Roman" w:hAnsi="Times New Roman" w:cs="Times New Roman"/>
          <w:color w:val="auto"/>
          <w:sz w:val="22"/>
          <w:szCs w:val="22"/>
          <w:highlight w:val="none"/>
        </w:rPr>
        <w:t xml:space="preserve">         因承包人违反本合同约定给发包人造成损失的，承包人应当赔偿发包人损失。</w:t>
      </w:r>
    </w:p>
    <w:p w14:paraId="53079E32">
      <w:pPr>
        <w:adjustRightInd w:val="0"/>
        <w:snapToGrid w:val="0"/>
        <w:spacing w:line="420" w:lineRule="exact"/>
        <w:rPr>
          <w:rFonts w:hint="default" w:ascii="Times New Roman" w:hAnsi="Times New Roman" w:cs="Times New Roman"/>
          <w:b/>
          <w:bCs/>
          <w:color w:val="auto"/>
          <w:sz w:val="22"/>
          <w:szCs w:val="22"/>
          <w:highlight w:val="none"/>
        </w:rPr>
      </w:pPr>
    </w:p>
    <w:p w14:paraId="47E9914A">
      <w:pPr>
        <w:spacing w:line="420" w:lineRule="exact"/>
        <w:ind w:left="2113" w:leftChars="27" w:hanging="2056" w:hangingChars="931"/>
        <w:rPr>
          <w:rFonts w:hint="default" w:ascii="Times New Roman" w:hAnsi="Times New Roman" w:cs="Times New Roman"/>
          <w:b/>
          <w:bCs/>
          <w:color w:val="auto"/>
          <w:sz w:val="22"/>
          <w:szCs w:val="22"/>
          <w:highlight w:val="none"/>
          <w:u w:val="dotted"/>
        </w:rPr>
      </w:pPr>
      <w:r>
        <w:rPr>
          <w:rFonts w:hint="default" w:ascii="Times New Roman" w:hAnsi="Times New Roman" w:cs="Times New Roman"/>
          <w:b/>
          <w:bCs/>
          <w:color w:val="auto"/>
          <w:sz w:val="22"/>
          <w:szCs w:val="22"/>
          <w:highlight w:val="none"/>
        </w:rPr>
        <w:t xml:space="preserve">90.2  </w:t>
      </w:r>
      <w:r>
        <w:rPr>
          <w:rFonts w:hint="default" w:ascii="Times New Roman" w:hAnsi="Times New Roman" w:cs="Times New Roman"/>
          <w:b/>
          <w:bCs/>
          <w:color w:val="auto"/>
          <w:sz w:val="22"/>
          <w:szCs w:val="22"/>
          <w:highlight w:val="none"/>
          <w:u w:val="dotted"/>
        </w:rPr>
        <w:t xml:space="preserve">                                                                                </w:t>
      </w:r>
    </w:p>
    <w:p w14:paraId="4C7F462E">
      <w:pPr>
        <w:spacing w:line="420" w:lineRule="exact"/>
        <w:ind w:left="2105" w:leftChars="27" w:hanging="2048" w:hangingChars="93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79104" behindDoc="0" locked="0" layoutInCell="1" allowOverlap="1">
                <wp:simplePos x="0" y="0"/>
                <wp:positionH relativeFrom="column">
                  <wp:posOffset>-114300</wp:posOffset>
                </wp:positionH>
                <wp:positionV relativeFrom="paragraph">
                  <wp:posOffset>13335</wp:posOffset>
                </wp:positionV>
                <wp:extent cx="914400" cy="415925"/>
                <wp:effectExtent l="0" t="0" r="0" b="0"/>
                <wp:wrapNone/>
                <wp:docPr id="410" name="文本框 410"/>
                <wp:cNvGraphicFramePr/>
                <a:graphic xmlns:a="http://schemas.openxmlformats.org/drawingml/2006/main">
                  <a:graphicData uri="http://schemas.microsoft.com/office/word/2010/wordprocessingShape">
                    <wps:wsp>
                      <wps:cNvSpPr txBox="1"/>
                      <wps:spPr>
                        <a:xfrm>
                          <a:off x="0" y="0"/>
                          <a:ext cx="914400" cy="415925"/>
                        </a:xfrm>
                        <a:prstGeom prst="rect">
                          <a:avLst/>
                        </a:prstGeom>
                        <a:noFill/>
                        <a:ln>
                          <a:noFill/>
                        </a:ln>
                        <a:effectLst/>
                      </wps:spPr>
                      <wps:txbx>
                        <w:txbxContent>
                          <w:p w14:paraId="3350923B">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承包人责任承担费用</w:t>
                            </w:r>
                          </w:p>
                          <w:p w14:paraId="461826EA">
                            <w:pPr>
                              <w:spacing w:line="240" w:lineRule="exact"/>
                              <w:rPr>
                                <w:rFonts w:ascii="楷体_GB2312" w:hAnsi="宋体" w:eastAsia="楷体_GB2312" w:cs="Times New Roman"/>
                                <w:b/>
                                <w:bCs/>
                                <w:sz w:val="18"/>
                                <w:szCs w:val="18"/>
                              </w:rPr>
                            </w:pPr>
                          </w:p>
                          <w:p w14:paraId="1B97DB78">
                            <w:pPr>
                              <w:spacing w:line="240" w:lineRule="exact"/>
                              <w:rPr>
                                <w:rFonts w:ascii="楷体_GB2312" w:hAnsi="宋体" w:eastAsia="楷体_GB2312" w:cs="Times New Roman"/>
                                <w:b/>
                                <w:bCs/>
                                <w:sz w:val="18"/>
                                <w:szCs w:val="18"/>
                              </w:rPr>
                            </w:pPr>
                          </w:p>
                        </w:txbxContent>
                      </wps:txbx>
                      <wps:bodyPr wrap="square" upright="1"/>
                    </wps:wsp>
                  </a:graphicData>
                </a:graphic>
              </wp:anchor>
            </w:drawing>
          </mc:Choice>
          <mc:Fallback>
            <w:pict>
              <v:shape id="_x0000_s1026" o:spid="_x0000_s1026" o:spt="202" type="#_x0000_t202" style="position:absolute;left:0pt;margin-left:-9pt;margin-top:1.05pt;height:32.75pt;width:72pt;z-index:252079104;mso-width-relative:page;mso-height-relative:page;" filled="f" stroked="f" coordsize="21600,21600" o:gfxdata="UEsDBAoAAAAAAIdO4kAAAAAAAAAAAAAAAAAEAAAAZHJzL1BLAwQUAAAACACHTuJAnEyWpNUAAAAI&#10;AQAADwAAAGRycy9kb3ducmV2LnhtbE2PwU7DMBBE70j9B2srcWvtRBDakE0PrbiCaAGpNzfeJhHx&#10;OordJvw97gmOoxnNvCk2k+3ElQbfOkZIlgoEceVMyzXCx+FlsQLhg2ajO8eE8EMeNuXsrtC5cSO/&#10;03UfahFL2OcaoQmhz6X0VUNW+6XriaN3doPVIcqhlmbQYyy3nUyVyqTVLceFRve0baj63l8swufr&#10;+fj1oN7qnX3sRzcpyXYtEe/niXoGEWgKf2G44Ud0KCPTyV3YeNEhLJJV/BIQ0gTEzU+zqE8I2VMG&#10;sizk/wPlL1BLAwQUAAAACACHTuJA/izfibwBAABtAwAADgAAAGRycy9lMm9Eb2MueG1srVPNjtMw&#10;EL4j8Q6W79RJ1UVs1HQlVC0XBEgLD+A648ZS/IPHbdIXgDfgxIU7z9XnYJxku8ty2QMXZzw/n+f7&#10;ZrK+GWzHjhDReFfzclFwBk75xrh9zb98vn31hjNM0jWy8w5qfgLkN5uXL9Z9qGDpW981EBmBOKz6&#10;UPM2pVAJgaoFK3HhAzgKah+tTHSNe9FE2RO67cSyKF6L3scmRK8AkbzbKchnxPgcQK+1UbD16mDB&#10;pQk1QicTUcLWBOSbsVutQaWPWiMk1tWcmKbxpEfI3uVTbNay2kcZWqPmFuRzWnjCyUrj6NEL1FYm&#10;yQ7R/ANljYoevU4L5a2YiIyKEIuyeKLNXSsDjFxIagwX0fH/waoPx0+Rmabmq5I0cdLSyM8/vp9/&#10;/j7/+saykyTqA1aUeRcoNw1v/UCLc+9Hcmbmg442f4kToziBnS4Cw5CYIud1uVoVFFEUWpVX18ur&#10;jCIeikPE9A68ZdmoeaT5jbLK43tMU+p9Sn7L+VvTdeMMO/eXgzAnD4xLMFdnHlO/2UrDbpjJ7Xxz&#10;Im49LULN8etBRuDsEKLZt9TGyFXkEprC2O+8MXnMj+9kP/5LNn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nEyWpNUAAAAIAQAADwAAAAAAAAABACAAAAAiAAAAZHJzL2Rvd25yZXYueG1sUEsBAhQA&#10;FAAAAAgAh07iQP4s34m8AQAAbQMAAA4AAAAAAAAAAQAgAAAAJAEAAGRycy9lMm9Eb2MueG1sUEsF&#10;BgAAAAAGAAYAWQEAAFIFAAAAAA==&#10;">
                <v:fill on="f" focussize="0,0"/>
                <v:stroke on="f"/>
                <v:imagedata o:title=""/>
                <o:lock v:ext="edit" aspectratio="f"/>
                <v:textbox>
                  <w:txbxContent>
                    <w:p w14:paraId="3350923B">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承包人责任承担费用</w:t>
                      </w:r>
                    </w:p>
                    <w:p w14:paraId="461826EA">
                      <w:pPr>
                        <w:spacing w:line="240" w:lineRule="exact"/>
                        <w:rPr>
                          <w:rFonts w:ascii="楷体_GB2312" w:hAnsi="宋体" w:eastAsia="楷体_GB2312" w:cs="Times New Roman"/>
                          <w:b/>
                          <w:bCs/>
                          <w:sz w:val="18"/>
                          <w:szCs w:val="18"/>
                        </w:rPr>
                      </w:pPr>
                    </w:p>
                    <w:p w14:paraId="1B97DB78">
                      <w:pPr>
                        <w:spacing w:line="240" w:lineRule="exact"/>
                        <w:rPr>
                          <w:rFonts w:ascii="楷体_GB2312" w:hAnsi="宋体" w:eastAsia="楷体_GB2312" w:cs="Times New Roman"/>
                          <w:b/>
                          <w:bCs/>
                          <w:sz w:val="18"/>
                          <w:szCs w:val="18"/>
                        </w:rPr>
                      </w:pPr>
                    </w:p>
                  </w:txbxContent>
                </v:textbox>
              </v:shape>
            </w:pict>
          </mc:Fallback>
        </mc:AlternateContent>
      </w:r>
      <w:r>
        <w:rPr>
          <w:rFonts w:hint="default" w:ascii="Times New Roman" w:hAnsi="Times New Roman" w:cs="Times New Roman"/>
          <w:color w:val="auto"/>
          <w:sz w:val="22"/>
          <w:szCs w:val="22"/>
          <w:highlight w:val="none"/>
        </w:rPr>
        <w:t xml:space="preserve">            承包人向发包人的索赔不成立时，承包人应赔偿发包人由此发生的费用。</w:t>
      </w:r>
    </w:p>
    <w:p w14:paraId="12A59F3E">
      <w:pPr>
        <w:spacing w:line="420" w:lineRule="exact"/>
        <w:ind w:left="2105" w:leftChars="27" w:hanging="2048" w:hangingChars="931"/>
        <w:rPr>
          <w:rFonts w:hint="default" w:ascii="Times New Roman" w:hAnsi="Times New Roman" w:cs="Times New Roman"/>
          <w:color w:val="auto"/>
          <w:sz w:val="22"/>
          <w:szCs w:val="22"/>
          <w:highlight w:val="none"/>
        </w:rPr>
      </w:pPr>
    </w:p>
    <w:p w14:paraId="11937FFC">
      <w:pPr>
        <w:pStyle w:val="15"/>
        <w:adjustRightInd w:val="0"/>
        <w:snapToGrid w:val="0"/>
        <w:spacing w:line="420" w:lineRule="exact"/>
        <w:ind w:firstLine="110" w:firstLineChars="50"/>
        <w:jc w:val="left"/>
        <w:outlineLvl w:val="2"/>
        <w:rPr>
          <w:rFonts w:hint="default" w:ascii="Times New Roman" w:hAnsi="Times New Roman" w:cs="Times New Roman"/>
          <w:b/>
          <w:bCs/>
          <w:color w:val="auto"/>
          <w:sz w:val="22"/>
          <w:szCs w:val="22"/>
          <w:highlight w:val="none"/>
        </w:rPr>
      </w:pPr>
      <w:bookmarkStart w:id="285" w:name="_Toc489260630"/>
      <w:bookmarkStart w:id="286" w:name="_Toc9046"/>
      <w:r>
        <w:rPr>
          <w:rFonts w:hint="default" w:ascii="Times New Roman" w:hAnsi="Times New Roman" w:cs="Times New Roman"/>
          <w:color w:val="auto"/>
          <w:sz w:val="22"/>
          <w:szCs w:val="22"/>
          <w:highlight w:val="none"/>
        </w:rPr>
        <w:t>★</w:t>
      </w:r>
      <w:r>
        <w:rPr>
          <w:rFonts w:hint="default" w:ascii="Times New Roman" w:hAnsi="Times New Roman" w:cs="Times New Roman"/>
          <w:b/>
          <w:bCs/>
          <w:color w:val="auto"/>
          <w:sz w:val="22"/>
          <w:szCs w:val="22"/>
          <w:highlight w:val="none"/>
        </w:rPr>
        <w:t>91 发包人的违约责任</w:t>
      </w:r>
      <w:bookmarkEnd w:id="285"/>
      <w:bookmarkEnd w:id="286"/>
    </w:p>
    <w:p w14:paraId="1560F459">
      <w:pPr>
        <w:pStyle w:val="15"/>
        <w:adjustRightInd w:val="0"/>
        <w:snapToGrid w:val="0"/>
        <w:spacing w:line="420" w:lineRule="exact"/>
        <w:ind w:firstLine="108" w:firstLineChars="49"/>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91.1 </w:t>
      </w:r>
    </w:p>
    <w:p w14:paraId="5D719163">
      <w:pPr>
        <w:adjustRightInd w:val="0"/>
        <w:snapToGrid w:val="0"/>
        <w:spacing w:line="420" w:lineRule="exact"/>
        <w:ind w:left="1035" w:leftChars="493"/>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80128" behindDoc="0" locked="0" layoutInCell="1" allowOverlap="1">
                <wp:simplePos x="0" y="0"/>
                <wp:positionH relativeFrom="column">
                  <wp:posOffset>-114300</wp:posOffset>
                </wp:positionH>
                <wp:positionV relativeFrom="paragraph">
                  <wp:posOffset>15875</wp:posOffset>
                </wp:positionV>
                <wp:extent cx="914400" cy="396240"/>
                <wp:effectExtent l="0" t="0" r="0" b="0"/>
                <wp:wrapNone/>
                <wp:docPr id="411" name="文本框 411"/>
                <wp:cNvGraphicFramePr/>
                <a:graphic xmlns:a="http://schemas.openxmlformats.org/drawingml/2006/main">
                  <a:graphicData uri="http://schemas.microsoft.com/office/word/2010/wordprocessingShape">
                    <wps:wsp>
                      <wps:cNvSpPr txBox="1"/>
                      <wps:spPr>
                        <a:xfrm>
                          <a:off x="0" y="0"/>
                          <a:ext cx="914400" cy="396240"/>
                        </a:xfrm>
                        <a:prstGeom prst="rect">
                          <a:avLst/>
                        </a:prstGeom>
                        <a:noFill/>
                        <a:ln>
                          <a:noFill/>
                        </a:ln>
                        <a:effectLst/>
                      </wps:spPr>
                      <wps:txbx>
                        <w:txbxContent>
                          <w:p w14:paraId="02F2DD5E">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发包人责任</w:t>
                            </w:r>
                          </w:p>
                        </w:txbxContent>
                      </wps:txbx>
                      <wps:bodyPr wrap="square" upright="1"/>
                    </wps:wsp>
                  </a:graphicData>
                </a:graphic>
              </wp:anchor>
            </w:drawing>
          </mc:Choice>
          <mc:Fallback>
            <w:pict>
              <v:shape id="_x0000_s1026" o:spid="_x0000_s1026" o:spt="202" type="#_x0000_t202" style="position:absolute;left:0pt;margin-left:-9pt;margin-top:1.25pt;height:31.2pt;width:72pt;z-index:252080128;mso-width-relative:page;mso-height-relative:page;" filled="f" stroked="f" coordsize="21600,21600" o:gfxdata="UEsDBAoAAAAAAIdO4kAAAAAAAAAAAAAAAAAEAAAAZHJzL1BLAwQUAAAACACHTuJAD8/wcNUAAAAI&#10;AQAADwAAAGRycy9kb3ducmV2LnhtbE2PwW7CMBBE75X6D9ZW4gZ2IoggzYZDq16pSmml3ky8JFHj&#10;dRQbkv59zQmOoxnNvCm2k+3EhQbfOkZIFgoEceVMyzXC4fNtvgbhg2ajO8eE8EcetuXjQ6Fz40b+&#10;oMs+1CKWsM81QhNCn0vpq4as9gvXE0fv5AarQ5RDLc2gx1huO5kqlUmrW44Lje7ppaHqd3+2CF+7&#10;08/3Ur3Xr3bVj25Sku1GIs6eEvUMItAUbmG44kd0KCPT0Z3ZeNEhzJN1/BIQ0hWIq59mUR8RsuUG&#10;ZFnI+wPlP1BLAwQUAAAACACHTuJA+uDPbL0BAABtAwAADgAAAGRycy9lMm9Eb2MueG1srVPNjtMw&#10;EL4j8Q6W7zRJqVZs1HQlVC0XBEgLD+A648ZS/IPHbdIXgDfgxIU7z9XnYOxku8ty2QMXZzw/n+f7&#10;ZrK+GU3PjhBQO9vwalFyBla6Vtt9w798vn31hjOMwraidxYafgLkN5uXL9aDr2HpOte3EBiBWKwH&#10;3/AuRl8XBcoOjMCF82ApqFwwItI17Is2iIHQTV8sy/KqGFxofXASEMm7nYJ8RgzPAXRKaQlbJw8G&#10;bJxQA/QiEiXstEe+yd0qBTJ+VAohsr7hxDTmkx4he5fOYrMW9T4I32k5tyCe08ITTkZoS49eoLYi&#10;CnYI+h8oo2Vw6FRcSGeKiUhWhFhU5RNt7jrhIXMhqdFfRMf/Bys/HD8FptuGr6qKMysMjfz84/v5&#10;5+/zr28sOUmiwWNNmXeecuP41o20OPd+JGdiPqpg0pc4MYqTwKeLwDBGJsl5Xa1WJUUkhV5fXy1X&#10;eQDFQ7EPGN+BMywZDQ80vyyrOL7HSI1Q6n1Kesu6W933eYa9/ctBiZMH8hLM1YnH1G+y4rgbZ3I7&#10;156I20CL0HD8ehABODv4oPcdtZG5FqmEppCbmDcmjfnxnezHf8nmD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A/P8HDVAAAACAEAAA8AAAAAAAAAAQAgAAAAIgAAAGRycy9kb3ducmV2LnhtbFBLAQIU&#10;ABQAAAAIAIdO4kD64M9svQEAAG0DAAAOAAAAAAAAAAEAIAAAACQBAABkcnMvZTJvRG9jLnhtbFBL&#10;BQYAAAAABgAGAFkBAABTBQAAAAA=&#10;">
                <v:fill on="f" focussize="0,0"/>
                <v:stroke on="f"/>
                <v:imagedata o:title=""/>
                <o:lock v:ext="edit" aspectratio="f"/>
                <v:textbox>
                  <w:txbxContent>
                    <w:p w14:paraId="02F2DD5E">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发包人责任</w:t>
                      </w:r>
                    </w:p>
                  </w:txbxContent>
                </v:textbox>
              </v:shape>
            </w:pict>
          </mc:Fallback>
        </mc:AlternateContent>
      </w:r>
      <w:r>
        <w:rPr>
          <w:rFonts w:hint="default" w:ascii="Times New Roman" w:hAnsi="Times New Roman" w:cs="Times New Roman"/>
          <w:color w:val="auto"/>
          <w:sz w:val="22"/>
          <w:szCs w:val="22"/>
          <w:highlight w:val="none"/>
        </w:rPr>
        <w:t xml:space="preserve">   因发包人违反本合同约定造成承包人损失的，发包人应予以赔偿。</w:t>
      </w:r>
    </w:p>
    <w:p w14:paraId="00E3FA2C">
      <w:pPr>
        <w:adjustRightInd w:val="0"/>
        <w:snapToGrid w:val="0"/>
        <w:spacing w:line="420" w:lineRule="exact"/>
        <w:ind w:left="1035" w:leftChars="493" w:firstLine="331" w:firstLineChars="150"/>
        <w:rPr>
          <w:rFonts w:hint="default" w:ascii="Times New Roman" w:hAnsi="Times New Roman" w:cs="Times New Roman"/>
          <w:b/>
          <w:bCs/>
          <w:color w:val="auto"/>
          <w:sz w:val="22"/>
          <w:szCs w:val="22"/>
          <w:highlight w:val="none"/>
        </w:rPr>
      </w:pPr>
    </w:p>
    <w:p w14:paraId="1A9A0338">
      <w:pPr>
        <w:spacing w:line="420" w:lineRule="exact"/>
        <w:ind w:left="2113" w:leftChars="27" w:hanging="2056" w:hangingChars="931"/>
        <w:rPr>
          <w:rFonts w:hint="default" w:ascii="Times New Roman" w:hAnsi="Times New Roman" w:cs="Times New Roman"/>
          <w:b/>
          <w:bCs/>
          <w:color w:val="auto"/>
          <w:sz w:val="22"/>
          <w:szCs w:val="22"/>
          <w:highlight w:val="none"/>
          <w:u w:val="dotted"/>
        </w:rPr>
      </w:pPr>
      <w:r>
        <w:rPr>
          <w:rFonts w:hint="default" w:ascii="Times New Roman" w:hAnsi="Times New Roman" w:cs="Times New Roman"/>
          <w:b/>
          <w:bCs/>
          <w:color w:val="auto"/>
          <w:sz w:val="22"/>
          <w:szCs w:val="22"/>
          <w:highlight w:val="none"/>
        </w:rPr>
        <w:t xml:space="preserve">91.2  </w:t>
      </w:r>
      <w:r>
        <w:rPr>
          <w:rFonts w:hint="default" w:ascii="Times New Roman" w:hAnsi="Times New Roman" w:cs="Times New Roman"/>
          <w:b/>
          <w:bCs/>
          <w:color w:val="auto"/>
          <w:sz w:val="22"/>
          <w:szCs w:val="22"/>
          <w:highlight w:val="none"/>
          <w:u w:val="dotted"/>
        </w:rPr>
        <w:t xml:space="preserve">                                                                                </w:t>
      </w:r>
    </w:p>
    <w:p w14:paraId="4F01A03D">
      <w:pPr>
        <w:adjustRightInd w:val="0"/>
        <w:snapToGrid w:val="0"/>
        <w:spacing w:line="420" w:lineRule="exact"/>
        <w:ind w:left="214" w:leftChars="102"/>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81152" behindDoc="0" locked="0" layoutInCell="1" allowOverlap="1">
                <wp:simplePos x="0" y="0"/>
                <wp:positionH relativeFrom="column">
                  <wp:posOffset>-114300</wp:posOffset>
                </wp:positionH>
                <wp:positionV relativeFrom="paragraph">
                  <wp:posOffset>13335</wp:posOffset>
                </wp:positionV>
                <wp:extent cx="914400" cy="415925"/>
                <wp:effectExtent l="0" t="0" r="0" b="0"/>
                <wp:wrapNone/>
                <wp:docPr id="412" name="文本框 412"/>
                <wp:cNvGraphicFramePr/>
                <a:graphic xmlns:a="http://schemas.openxmlformats.org/drawingml/2006/main">
                  <a:graphicData uri="http://schemas.microsoft.com/office/word/2010/wordprocessingShape">
                    <wps:wsp>
                      <wps:cNvSpPr txBox="1"/>
                      <wps:spPr>
                        <a:xfrm>
                          <a:off x="0" y="0"/>
                          <a:ext cx="914400" cy="415925"/>
                        </a:xfrm>
                        <a:prstGeom prst="rect">
                          <a:avLst/>
                        </a:prstGeom>
                        <a:noFill/>
                        <a:ln>
                          <a:noFill/>
                        </a:ln>
                        <a:effectLst/>
                      </wps:spPr>
                      <wps:txbx>
                        <w:txbxContent>
                          <w:p w14:paraId="12D87744">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发包人责任承担费用</w:t>
                            </w:r>
                          </w:p>
                        </w:txbxContent>
                      </wps:txbx>
                      <wps:bodyPr wrap="square" upright="1"/>
                    </wps:wsp>
                  </a:graphicData>
                </a:graphic>
              </wp:anchor>
            </w:drawing>
          </mc:Choice>
          <mc:Fallback>
            <w:pict>
              <v:shape id="_x0000_s1026" o:spid="_x0000_s1026" o:spt="202" type="#_x0000_t202" style="position:absolute;left:0pt;margin-left:-9pt;margin-top:1.05pt;height:32.75pt;width:72pt;z-index:252081152;mso-width-relative:page;mso-height-relative:page;" filled="f" stroked="f" coordsize="21600,21600" o:gfxdata="UEsDBAoAAAAAAIdO4kAAAAAAAAAAAAAAAAAEAAAAZHJzL1BLAwQUAAAACACHTuJAnEyWpNUAAAAI&#10;AQAADwAAAGRycy9kb3ducmV2LnhtbE2PwU7DMBBE70j9B2srcWvtRBDakE0PrbiCaAGpNzfeJhHx&#10;OordJvw97gmOoxnNvCk2k+3ElQbfOkZIlgoEceVMyzXCx+FlsQLhg2ajO8eE8EMeNuXsrtC5cSO/&#10;03UfahFL2OcaoQmhz6X0VUNW+6XriaN3doPVIcqhlmbQYyy3nUyVyqTVLceFRve0baj63l8swufr&#10;+fj1oN7qnX3sRzcpyXYtEe/niXoGEWgKf2G44Ud0KCPTyV3YeNEhLJJV/BIQ0gTEzU+zqE8I2VMG&#10;sizk/wPlL1BLAwQUAAAACACHTuJAW9Urq7wBAABtAwAADgAAAGRycy9lMm9Eb2MueG1srVPNjtMw&#10;EL4j8Q6W7zRJ1UVs1HQlVC0XBEgLD+A6k8aS//C4TfoC8AacuHDnufocjJ1sd1kue+DijOfn83zf&#10;TNY3o9HsCAGVsw2vFiVnYKVrld03/Mvn21dvOMMobCu0s9DwEyC/2bx8sR58DUvXO91CYARisR58&#10;w/sYfV0UKHswAhfOg6Vg54IRka5hX7RBDIRudLEsy9fF4ELrg5OASN7tFOQzYngOoOs6JWHr5MGA&#10;jRNqAC0iUcJeeeSb3G3XgYwfuw4hMt1wYhrzSY+QvUtnsVmLeh+E75WcWxDPaeEJJyOUpUcvUFsR&#10;BTsE9Q+UUTI4dF1cSGeKiUhWhFhU5RNt7nrhIXMhqdFfRMf/Bys/HD8FptqGr6olZ1YYGvn5x/fz&#10;z9/nX99YcpJEg8eaMu885cbxrRtpce79SM7EfOyCSV/ixChOAp8uAsMYmSTndbValRSRFFpVV9fL&#10;q4RSPBT7gPEdOMOS0fBA88uyiuN7jFPqfUp6y7pbpXWeobZ/OQhz8kBegrk68Zj6TVYcd+NMbufa&#10;E3EbaBEajl8PIgBnBx/Uvqc2MtcildAUcr/zxqQxP76T/fgv2fw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nEyWpNUAAAAIAQAADwAAAAAAAAABACAAAAAiAAAAZHJzL2Rvd25yZXYueG1sUEsBAhQA&#10;FAAAAAgAh07iQFvVK6u8AQAAbQMAAA4AAAAAAAAAAQAgAAAAJAEAAGRycy9lMm9Eb2MueG1sUEsF&#10;BgAAAAAGAAYAWQEAAFIFAAAAAA==&#10;">
                <v:fill on="f" focussize="0,0"/>
                <v:stroke on="f"/>
                <v:imagedata o:title=""/>
                <o:lock v:ext="edit" aspectratio="f"/>
                <v:textbox>
                  <w:txbxContent>
                    <w:p w14:paraId="12D87744">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发包人责任承担费用</w:t>
                      </w:r>
                    </w:p>
                  </w:txbxContent>
                </v:textbox>
              </v:shape>
            </w:pict>
          </mc:Fallback>
        </mc:AlternateContent>
      </w:r>
      <w:r>
        <w:rPr>
          <w:rFonts w:hint="default" w:ascii="Times New Roman" w:hAnsi="Times New Roman" w:cs="Times New Roman"/>
          <w:color w:val="auto"/>
          <w:sz w:val="22"/>
          <w:szCs w:val="22"/>
          <w:highlight w:val="none"/>
        </w:rPr>
        <w:t xml:space="preserve">            发包人向承包人的索赔不成立时，发包人应赔偿承包人由此发生的费用。</w:t>
      </w:r>
    </w:p>
    <w:p w14:paraId="072FE50A">
      <w:pPr>
        <w:adjustRightInd w:val="0"/>
        <w:snapToGrid w:val="0"/>
        <w:spacing w:line="420" w:lineRule="exact"/>
        <w:rPr>
          <w:rFonts w:hint="default" w:ascii="Times New Roman" w:hAnsi="Times New Roman" w:cs="Times New Roman"/>
          <w:b/>
          <w:bCs/>
          <w:color w:val="auto"/>
          <w:sz w:val="22"/>
          <w:szCs w:val="22"/>
          <w:highlight w:val="none"/>
          <w:u w:val="dotted"/>
        </w:rPr>
      </w:pPr>
    </w:p>
    <w:p w14:paraId="0E5BDCBA">
      <w:pPr>
        <w:spacing w:line="420" w:lineRule="exact"/>
        <w:ind w:left="210" w:leftChars="100"/>
        <w:outlineLvl w:val="2"/>
        <w:rPr>
          <w:rFonts w:hint="default" w:ascii="Times New Roman" w:hAnsi="Times New Roman" w:cs="Times New Roman"/>
          <w:b/>
          <w:bCs/>
          <w:color w:val="auto"/>
          <w:sz w:val="22"/>
          <w:szCs w:val="22"/>
          <w:highlight w:val="none"/>
        </w:rPr>
      </w:pPr>
      <w:bookmarkStart w:id="287" w:name="_Toc5288"/>
      <w:bookmarkStart w:id="288" w:name="_Toc489260631"/>
      <w:r>
        <w:rPr>
          <w:rFonts w:hint="default" w:ascii="Times New Roman" w:hAnsi="Times New Roman" w:cs="Times New Roman"/>
          <w:color w:val="auto"/>
          <w:sz w:val="22"/>
          <w:szCs w:val="22"/>
          <w:highlight w:val="none"/>
        </w:rPr>
        <w:t>★</w:t>
      </w:r>
      <w:r>
        <w:rPr>
          <w:rFonts w:hint="default" w:ascii="Times New Roman" w:hAnsi="Times New Roman" w:cs="Times New Roman"/>
          <w:b/>
          <w:bCs/>
          <w:color w:val="auto"/>
          <w:sz w:val="22"/>
          <w:szCs w:val="22"/>
          <w:highlight w:val="none"/>
        </w:rPr>
        <w:t>92  除外责任</w:t>
      </w:r>
      <w:bookmarkEnd w:id="287"/>
      <w:bookmarkEnd w:id="288"/>
    </w:p>
    <w:p w14:paraId="6026D7A5">
      <w:pPr>
        <w:adjustRightInd w:val="0"/>
        <w:snapToGrid w:val="0"/>
        <w:spacing w:line="420" w:lineRule="exact"/>
        <w:ind w:firstLine="880" w:firstLineChars="4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82176" behindDoc="0" locked="0" layoutInCell="1" allowOverlap="1">
                <wp:simplePos x="0" y="0"/>
                <wp:positionH relativeFrom="column">
                  <wp:posOffset>-114300</wp:posOffset>
                </wp:positionH>
                <wp:positionV relativeFrom="paragraph">
                  <wp:posOffset>15875</wp:posOffset>
                </wp:positionV>
                <wp:extent cx="914400" cy="396240"/>
                <wp:effectExtent l="0" t="0" r="0" b="0"/>
                <wp:wrapNone/>
                <wp:docPr id="413" name="文本框 413"/>
                <wp:cNvGraphicFramePr/>
                <a:graphic xmlns:a="http://schemas.openxmlformats.org/drawingml/2006/main">
                  <a:graphicData uri="http://schemas.microsoft.com/office/word/2010/wordprocessingShape">
                    <wps:wsp>
                      <wps:cNvSpPr txBox="1"/>
                      <wps:spPr>
                        <a:xfrm>
                          <a:off x="0" y="0"/>
                          <a:ext cx="914400" cy="396240"/>
                        </a:xfrm>
                        <a:prstGeom prst="rect">
                          <a:avLst/>
                        </a:prstGeom>
                        <a:noFill/>
                        <a:ln>
                          <a:noFill/>
                        </a:ln>
                        <a:effectLst/>
                      </wps:spPr>
                      <wps:txbx>
                        <w:txbxContent>
                          <w:p w14:paraId="0EBD3275">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非发、承包人责任</w:t>
                            </w:r>
                          </w:p>
                        </w:txbxContent>
                      </wps:txbx>
                      <wps:bodyPr wrap="square" upright="1"/>
                    </wps:wsp>
                  </a:graphicData>
                </a:graphic>
              </wp:anchor>
            </w:drawing>
          </mc:Choice>
          <mc:Fallback>
            <w:pict>
              <v:shape id="_x0000_s1026" o:spid="_x0000_s1026" o:spt="202" type="#_x0000_t202" style="position:absolute;left:0pt;margin-left:-9pt;margin-top:1.25pt;height:31.2pt;width:72pt;z-index:252082176;mso-width-relative:page;mso-height-relative:page;" filled="f" stroked="f" coordsize="21600,21600" o:gfxdata="UEsDBAoAAAAAAIdO4kAAAAAAAAAAAAAAAAAEAAAAZHJzL1BLAwQUAAAACACHTuJAD8/wcNUAAAAI&#10;AQAADwAAAGRycy9kb3ducmV2LnhtbE2PwW7CMBBE75X6D9ZW4gZ2IoggzYZDq16pSmml3ky8JFHj&#10;dRQbkv59zQmOoxnNvCm2k+3EhQbfOkZIFgoEceVMyzXC4fNtvgbhg2ajO8eE8EcetuXjQ6Fz40b+&#10;oMs+1CKWsM81QhNCn0vpq4as9gvXE0fv5AarQ5RDLc2gx1huO5kqlUmrW44Lje7ppaHqd3+2CF+7&#10;08/3Ur3Xr3bVj25Sku1GIs6eEvUMItAUbmG44kd0KCPT0Z3ZeNEhzJN1/BIQ0hWIq59mUR8RsuUG&#10;ZFnI+wPlP1BLAwQUAAAACACHTuJAXxk7Tr0BAABtAwAADgAAAGRycy9lMm9Eb2MueG1srVNLbtsw&#10;EN0XyB0I7mPJjhE0guUAhZFsgrZA2gPQ1MgiwF85tCVfoL1BV91033P5HB1Sipummyy6oYbzeZz3&#10;ZrS6HYxmBwionK35fFZyBla6RtldzT9/urt8yxlGYRuhnYWaHwH57frizar3FSxc53QDgRGIxar3&#10;Ne9i9FVRoOzACJw5D5aCrQtGRLqGXdEE0RO60cWiLK+L3oXGBycBkbybMcgnxPAaQNe2SsLGyb0B&#10;G0fUAFpEooSd8sjXudu2BRk/tC1CZLrmxDTmkx4he5vOYr0S1S4I3yk5tSBe08ILTkYoS4+eoTYi&#10;CrYP6h8oo2Rw6No4k84UI5GsCLGYly+0eeyEh8yFpEZ/Fh3/H6x8f/gYmGpqvpxfcWaFoZGfvn87&#10;/fh1+vmVJSdJ1HusKPPRU24c3rmBFufJj+RMzIc2mPQlToziJPDxLDAMkUly3syXy5IikkJXN9eL&#10;ZR5A8afYB4z34AxLRs0DzS/LKg4PGKkRSn1KSW9Zd6e0zjPU9i8HJY4eyEswVSceY7/JisN2mMht&#10;XXMkbj0tQs3xy14E4Gzvg9p11EbmWqQSmkJuYtqYNObnd7Kf/yXr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A/P8HDVAAAACAEAAA8AAAAAAAAAAQAgAAAAIgAAAGRycy9kb3ducmV2LnhtbFBLAQIU&#10;ABQAAAAIAIdO4kBfGTtOvQEAAG0DAAAOAAAAAAAAAAEAIAAAACQBAABkcnMvZTJvRG9jLnhtbFBL&#10;BQYAAAAABgAGAFkBAABTBQAAAAA=&#10;">
                <v:fill on="f" focussize="0,0"/>
                <v:stroke on="f"/>
                <v:imagedata o:title=""/>
                <o:lock v:ext="edit" aspectratio="f"/>
                <v:textbox>
                  <w:txbxContent>
                    <w:p w14:paraId="0EBD3275">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非发、承包人责任</w:t>
                      </w:r>
                    </w:p>
                  </w:txbxContent>
                </v:textbox>
              </v:shape>
            </w:pict>
          </mc:Fallback>
        </mc:AlternateContent>
      </w:r>
      <w:r>
        <w:rPr>
          <w:rFonts w:hint="default" w:ascii="Times New Roman" w:hAnsi="Times New Roman" w:cs="Times New Roman"/>
          <w:color w:val="auto"/>
          <w:sz w:val="22"/>
          <w:szCs w:val="22"/>
          <w:highlight w:val="none"/>
        </w:rPr>
        <w:t xml:space="preserve">      非承包人的原因，且承包人无过错，而产生的各类损失，承包人不承担赔偿责任。</w:t>
      </w:r>
    </w:p>
    <w:p w14:paraId="356E1234">
      <w:pPr>
        <w:adjustRightInd w:val="0"/>
        <w:snapToGrid w:val="0"/>
        <w:spacing w:line="420" w:lineRule="exact"/>
        <w:ind w:left="1556" w:leftChars="74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因不可抗力导致本合同全部或部分不能履行时，双方各自承担其因此而造成的损失、损害。</w:t>
      </w:r>
    </w:p>
    <w:p w14:paraId="48A4DD24">
      <w:pPr>
        <w:pStyle w:val="15"/>
        <w:adjustRightInd w:val="0"/>
        <w:snapToGrid w:val="0"/>
        <w:spacing w:line="420" w:lineRule="exact"/>
        <w:ind w:right="-238"/>
        <w:rPr>
          <w:rFonts w:hint="default" w:ascii="Times New Roman" w:hAnsi="Times New Roman" w:cs="Times New Roman"/>
          <w:color w:val="auto"/>
          <w:sz w:val="22"/>
          <w:szCs w:val="22"/>
          <w:highlight w:val="none"/>
          <w:u w:val="single"/>
        </w:rPr>
      </w:pPr>
      <w:r>
        <w:rPr>
          <w:rFonts w:hint="default" w:ascii="Times New Roman" w:hAnsi="Times New Roman" w:cs="Times New Roman"/>
          <w:color w:val="auto"/>
          <w:sz w:val="22"/>
          <w:szCs w:val="22"/>
          <w:highlight w:val="none"/>
          <w:u w:val="single"/>
        </w:rPr>
        <w:t xml:space="preserve">                                                                                 </w:t>
      </w:r>
    </w:p>
    <w:p w14:paraId="0E46F858">
      <w:pPr>
        <w:pStyle w:val="15"/>
        <w:adjustRightInd w:val="0"/>
        <w:snapToGrid w:val="0"/>
        <w:spacing w:line="420" w:lineRule="exact"/>
        <w:ind w:right="-238"/>
        <w:jc w:val="center"/>
        <w:outlineLvl w:val="1"/>
        <w:rPr>
          <w:rFonts w:hint="default" w:ascii="Times New Roman" w:hAnsi="Times New Roman" w:eastAsia="方正小标宋_GBK" w:cs="Times New Roman"/>
          <w:b/>
          <w:bCs/>
          <w:color w:val="auto"/>
          <w:sz w:val="24"/>
          <w:szCs w:val="24"/>
          <w:highlight w:val="none"/>
        </w:rPr>
      </w:pPr>
      <w:bookmarkStart w:id="289" w:name="_Toc469384074"/>
      <w:bookmarkStart w:id="290" w:name="_Toc1675393924"/>
      <w:r>
        <w:rPr>
          <w:rFonts w:hint="default" w:ascii="Times New Roman" w:hAnsi="Times New Roman" w:eastAsia="方正小标宋_GBK" w:cs="Times New Roman"/>
          <w:b/>
          <w:bCs/>
          <w:color w:val="auto"/>
          <w:sz w:val="24"/>
          <w:szCs w:val="24"/>
          <w:highlight w:val="none"/>
        </w:rPr>
        <w:t>九、其  他</w:t>
      </w:r>
      <w:bookmarkEnd w:id="289"/>
      <w:bookmarkEnd w:id="290"/>
    </w:p>
    <w:p w14:paraId="2DEEE43A">
      <w:pPr>
        <w:pStyle w:val="15"/>
        <w:tabs>
          <w:tab w:val="left" w:pos="540"/>
        </w:tabs>
        <w:adjustRightInd w:val="0"/>
        <w:snapToGrid w:val="0"/>
        <w:spacing w:before="240" w:beforeLines="100" w:line="420" w:lineRule="exact"/>
        <w:outlineLvl w:val="2"/>
        <w:rPr>
          <w:rFonts w:hint="default" w:ascii="Times New Roman" w:hAnsi="Times New Roman" w:cs="Times New Roman"/>
          <w:b/>
          <w:bCs/>
          <w:color w:val="auto"/>
          <w:sz w:val="22"/>
          <w:szCs w:val="22"/>
          <w:highlight w:val="none"/>
        </w:rPr>
      </w:pPr>
      <w:bookmarkStart w:id="291" w:name="_Toc1921"/>
      <w:bookmarkStart w:id="292" w:name="_Toc469384075"/>
      <w:r>
        <w:rPr>
          <w:rFonts w:hint="default" w:ascii="Times New Roman" w:hAnsi="Times New Roman" w:cs="Times New Roman"/>
          <w:b/>
          <w:bCs/>
          <w:color w:val="auto"/>
          <w:sz w:val="22"/>
          <w:szCs w:val="22"/>
          <w:highlight w:val="none"/>
        </w:rPr>
        <w:t>93  缴纳税费</w:t>
      </w:r>
      <w:bookmarkEnd w:id="291"/>
      <w:bookmarkEnd w:id="292"/>
    </w:p>
    <w:p w14:paraId="0E3DB768">
      <w:pPr>
        <w:pStyle w:val="15"/>
        <w:tabs>
          <w:tab w:val="left" w:pos="1320"/>
        </w:tabs>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93.1      </w:t>
      </w:r>
    </w:p>
    <w:p w14:paraId="618EDAE6">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合同双方当事人</w:t>
      </w: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61696" behindDoc="0" locked="0" layoutInCell="1" allowOverlap="1">
                <wp:simplePos x="0" y="0"/>
                <wp:positionH relativeFrom="column">
                  <wp:posOffset>-114300</wp:posOffset>
                </wp:positionH>
                <wp:positionV relativeFrom="paragraph">
                  <wp:posOffset>635</wp:posOffset>
                </wp:positionV>
                <wp:extent cx="914400" cy="484505"/>
                <wp:effectExtent l="0" t="0" r="0" b="0"/>
                <wp:wrapNone/>
                <wp:docPr id="399" name="文本框 399"/>
                <wp:cNvGraphicFramePr/>
                <a:graphic xmlns:a="http://schemas.openxmlformats.org/drawingml/2006/main">
                  <a:graphicData uri="http://schemas.microsoft.com/office/word/2010/wordprocessingShape">
                    <wps:wsp>
                      <wps:cNvSpPr txBox="1"/>
                      <wps:spPr>
                        <a:xfrm>
                          <a:off x="0" y="0"/>
                          <a:ext cx="914400" cy="484505"/>
                        </a:xfrm>
                        <a:prstGeom prst="rect">
                          <a:avLst/>
                        </a:prstGeom>
                        <a:noFill/>
                        <a:ln>
                          <a:noFill/>
                        </a:ln>
                        <a:effectLst/>
                      </wps:spPr>
                      <wps:txbx>
                        <w:txbxContent>
                          <w:p w14:paraId="707244CD">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约定缴纳一切税费</w:t>
                            </w:r>
                          </w:p>
                        </w:txbxContent>
                      </wps:txbx>
                      <wps:bodyPr wrap="square" upright="1"/>
                    </wps:wsp>
                  </a:graphicData>
                </a:graphic>
              </wp:anchor>
            </w:drawing>
          </mc:Choice>
          <mc:Fallback>
            <w:pict>
              <v:shape id="_x0000_s1026" o:spid="_x0000_s1026" o:spt="202" type="#_x0000_t202" style="position:absolute;left:0pt;margin-left:-9pt;margin-top:0.05pt;height:38.15pt;width:72pt;z-index:252061696;mso-width-relative:page;mso-height-relative:page;" filled="f" stroked="f" coordsize="21600,21600" o:gfxdata="UEsDBAoAAAAAAIdO4kAAAAAAAAAAAAAAAAAEAAAAZHJzL1BLAwQUAAAACACHTuJAgCloK9QAAAAH&#10;AQAADwAAAGRycy9kb3ducmV2LnhtbE2PwU7DMBBE70j9B2uRuLV2qpK2aZweiriCKBSJ2zbeJhHx&#10;OordJvw9zgmOo7eaeZvvR9uKG/W+cawhWSgQxKUzDVcaPt6f5xsQPiAbbB2Thh/ysC9mdzlmxg38&#10;RrdjqEQsYZ+hhjqELpPSlzVZ9AvXEUd2cb3FEGNfSdPjEMttK5dKpdJiw3Ghxo4ONZXfx6vVcHq5&#10;fH2u1Gv1ZB+7wY1Kst1KrR/uE7UDEWgMf8cw6Ud1KKLT2V3ZeNFqmCeb+EuYgJjwMo3xrGGdrkAW&#10;ufzvX/wCUEsDBBQAAAAIAIdO4kB0hfp+vQEAAG0DAAAOAAAAZHJzL2Uyb0RvYy54bWytU0tu2zAQ&#10;3RfoHQjua8qpU8SC5QCFkW6KtkCaA9DUyCLAXzm0JV+gvUFX3XTfc/kcHUqKmyabLLKhhvN5nPdm&#10;tLrurWEHiKi9q/h8VnAGTvlau13F777evLniDJN0tTTeQcWPgPx6/frVqgslXPjWmxoiIxCHZRcq&#10;3qYUSiFQtWAlznwAR8HGRysTXeNO1FF2hG6NuCiKd6LzsQ7RK0Ak72YM8gkxPgfQN41WsPFqb8Gl&#10;ETWCkYkoYasD8vXQbdOASp+bBiExU3FimoaTHiF7m0+xXslyF2VotZpakM9p4REnK7WjR89QG5kk&#10;20f9BMpqFT36Js2Ut2IkMihCLObFI21uWxlg4EJSYziLji8Hqz4dvkSm64q/XS45c9LSyE8/f5x+&#10;/Tn9/s6ykyTqApaUeRsoN/XvfU+Lc+9HcmbmfRNt/hInRnES+HgWGPrEFDmX88WioIii0OJqcVlc&#10;ZhTxrzhETB/AW5aNikea3yCrPHzENKbep+S3nL/RxgwzNO4/B2GOHhiWYKrOPMZ+s5X6bT+R2/r6&#10;SNw6WoSK47e9jMDZPkS9a6mNgavIJTSFod9pY/KYH97JfviXrP8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gCloK9QAAAAHAQAADwAAAAAAAAABACAAAAAiAAAAZHJzL2Rvd25yZXYueG1sUEsBAhQA&#10;FAAAAAgAh07iQHSF+n69AQAAbQMAAA4AAAAAAAAAAQAgAAAAIwEAAGRycy9lMm9Eb2MueG1sUEsF&#10;BgAAAAAGAAYAWQEAAFIFAAAAAA==&#10;">
                <v:fill on="f" focussize="0,0"/>
                <v:stroke on="f"/>
                <v:imagedata o:title=""/>
                <o:lock v:ext="edit" aspectratio="f"/>
                <v:textbox>
                  <w:txbxContent>
                    <w:p w14:paraId="707244CD">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约定缴纳一切税费</w:t>
                      </w:r>
                    </w:p>
                  </w:txbxContent>
                </v:textbox>
              </v:shape>
            </w:pict>
          </mc:Fallback>
        </mc:AlternateContent>
      </w:r>
      <w:r>
        <w:rPr>
          <w:rFonts w:hint="default" w:ascii="Times New Roman" w:hAnsi="Times New Roman" w:cs="Times New Roman"/>
          <w:color w:val="auto"/>
          <w:sz w:val="22"/>
          <w:szCs w:val="22"/>
          <w:highlight w:val="none"/>
        </w:rPr>
        <w:t>应按照国家现行税法和有关部门现行规定缴纳合同工程需缴的一切税费。</w:t>
      </w:r>
    </w:p>
    <w:p w14:paraId="23C2F573">
      <w:pPr>
        <w:pStyle w:val="15"/>
        <w:tabs>
          <w:tab w:val="left" w:pos="1320"/>
        </w:tabs>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93.2  </w:t>
      </w:r>
      <w:r>
        <w:rPr>
          <w:rFonts w:hint="default" w:ascii="Times New Roman" w:hAnsi="Times New Roman" w:cs="Times New Roman"/>
          <w:b/>
          <w:bCs/>
          <w:color w:val="auto"/>
          <w:sz w:val="22"/>
          <w:szCs w:val="22"/>
          <w:highlight w:val="none"/>
          <w:u w:val="dotted"/>
        </w:rPr>
        <w:t xml:space="preserve">                                                                                                        </w:t>
      </w:r>
    </w:p>
    <w:p w14:paraId="12B1D984">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62720" behindDoc="0" locked="0" layoutInCell="1" allowOverlap="1">
                <wp:simplePos x="0" y="0"/>
                <wp:positionH relativeFrom="column">
                  <wp:posOffset>-114300</wp:posOffset>
                </wp:positionH>
                <wp:positionV relativeFrom="paragraph">
                  <wp:posOffset>32385</wp:posOffset>
                </wp:positionV>
                <wp:extent cx="914400" cy="396240"/>
                <wp:effectExtent l="0" t="0" r="0" b="0"/>
                <wp:wrapNone/>
                <wp:docPr id="400" name="文本框 400"/>
                <wp:cNvGraphicFramePr/>
                <a:graphic xmlns:a="http://schemas.openxmlformats.org/drawingml/2006/main">
                  <a:graphicData uri="http://schemas.microsoft.com/office/word/2010/wordprocessingShape">
                    <wps:wsp>
                      <wps:cNvSpPr txBox="1"/>
                      <wps:spPr>
                        <a:xfrm>
                          <a:off x="0" y="0"/>
                          <a:ext cx="914400" cy="396240"/>
                        </a:xfrm>
                        <a:prstGeom prst="rect">
                          <a:avLst/>
                        </a:prstGeom>
                        <a:noFill/>
                        <a:ln>
                          <a:noFill/>
                        </a:ln>
                        <a:effectLst/>
                      </wps:spPr>
                      <wps:txbx>
                        <w:txbxContent>
                          <w:p w14:paraId="178DCC7F">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没交或少交税费的责任</w:t>
                            </w:r>
                          </w:p>
                        </w:txbxContent>
                      </wps:txbx>
                      <wps:bodyPr wrap="square" upright="1"/>
                    </wps:wsp>
                  </a:graphicData>
                </a:graphic>
              </wp:anchor>
            </w:drawing>
          </mc:Choice>
          <mc:Fallback>
            <w:pict>
              <v:shape id="_x0000_s1026" o:spid="_x0000_s1026" o:spt="202" type="#_x0000_t202" style="position:absolute;left:0pt;margin-left:-9pt;margin-top:2.55pt;height:31.2pt;width:72pt;z-index:252062720;mso-width-relative:page;mso-height-relative:page;" filled="f" stroked="f" coordsize="21600,21600" o:gfxdata="UEsDBAoAAAAAAIdO4kAAAAAAAAAAAAAAAAAEAAAAZHJzL1BLAwQUAAAACACHTuJA6qPyM9UAAAAI&#10;AQAADwAAAGRycy9kb3ducmV2LnhtbE2PzW7CMBCE75V4B2srcQM7iKQQsuFA1Wur0h+pNxMvSdR4&#10;HcWGpG9fc2qPoxnNfFPsJ9uJKw2+dYyQLBUI4sqZlmuE97enxQaED5qN7hwTwg952Jezu0Lnxo38&#10;StdjqEUsYZ9rhCaEPpfSVw1Z7ZeuJ47e2Q1WhyiHWppBj7HcdnKlVCatbjkuNLqnQ0PV9/FiET6e&#10;z1+fa/VSP9q0H92kJNutRJzfJ2oHItAU/sJww4/oUEamk7uw8aJDWCSb+CUgpAmIm7/Koj4hZA8p&#10;yLKQ/w+Uv1BLAwQUAAAACACHTuJAx05Cw7sBAABtAwAADgAAAGRycy9lMm9Eb2MueG1srVNLjtsw&#10;DN0XmDsI2k/spMGgY8QZoAimm6ItMO0BFJmKBVifikrsXKC9QVfddN9z5RylZE/mt5lFNzJFUo98&#10;j/TqZjAdO0BA7WzN57OSM7DSNdruav7t6+3lO84wCtuIzlmo+RGQ36wv3qx6X8HCta5rIDACsVj1&#10;vuZtjL4qCpQtGIEz58FSULlgRKRr2BVNED2hm65YlOVV0bvQ+OAkIJJ3Mwb5hBheA+iU0hI2Tu4N&#10;2DiiBuhEJErYao98nbtVCmT8rBRCZF3NiWnMJxUhe5vOYr0S1S4I32o5tSBe08IzTkZoS0XPUBsR&#10;BdsH/QLKaBkcOhVn0pliJJIVIRbz8pk2d63wkLmQ1OjPouP/g5WfDl8C003NlyVpYoWhkZ9+/Tz9&#10;/nv684MlJ0nUe6wo885Tbhzeu4EW596P5EzMBxVM+hInRnECO54FhiEySc7r+TKXkRR6e321WGb0&#10;4uGxDxg/gDMsGTUPNL8sqzh8xEiNUOp9Sqpl3a3uujzDzj5xUOLogbwE0+vEY+w3WXHYDhO5rWuO&#10;xK2nRag5ft+LAJztfdC7ltrIXIv0hKaQm5g2Jo358Z3sx3/J+h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qo/Iz1QAAAAgBAAAPAAAAAAAAAAEAIAAAACIAAABkcnMvZG93bnJldi54bWxQSwECFAAU&#10;AAAACACHTuJAx05Cw7sBAABtAwAADgAAAAAAAAABACAAAAAkAQAAZHJzL2Uyb0RvYy54bWxQSwUG&#10;AAAAAAYABgBZAQAAUQUAAAAA&#10;">
                <v:fill on="f" focussize="0,0"/>
                <v:stroke on="f"/>
                <v:imagedata o:title=""/>
                <o:lock v:ext="edit" aspectratio="f"/>
                <v:textbox>
                  <w:txbxContent>
                    <w:p w14:paraId="178DCC7F">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没交或少交税费的责任</w:t>
                      </w:r>
                    </w:p>
                  </w:txbxContent>
                </v:textbox>
              </v:shape>
            </w:pict>
          </mc:Fallback>
        </mc:AlternateContent>
      </w:r>
      <w:r>
        <w:rPr>
          <w:rFonts w:hint="default" w:ascii="Times New Roman" w:hAnsi="Times New Roman" w:cs="Times New Roman"/>
          <w:color w:val="auto"/>
          <w:sz w:val="22"/>
          <w:szCs w:val="22"/>
          <w:highlight w:val="none"/>
        </w:rPr>
        <w:t>合同任何一方当事人没交或少交合同工程需缴税费的，违法方应足额补交，并承担相应的法律责任；给另一方当事人造成损失的，违法方应赔偿损失。</w:t>
      </w:r>
    </w:p>
    <w:p w14:paraId="5D833D78">
      <w:pPr>
        <w:pStyle w:val="15"/>
        <w:adjustRightInd w:val="0"/>
        <w:snapToGrid w:val="0"/>
        <w:spacing w:line="420" w:lineRule="exact"/>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25F7EB40">
      <w:pPr>
        <w:pStyle w:val="15"/>
        <w:tabs>
          <w:tab w:val="left" w:pos="540"/>
        </w:tabs>
        <w:adjustRightInd w:val="0"/>
        <w:snapToGrid w:val="0"/>
        <w:spacing w:before="240" w:beforeLines="100" w:line="420" w:lineRule="exact"/>
        <w:outlineLvl w:val="2"/>
        <w:rPr>
          <w:rFonts w:hint="default" w:ascii="Times New Roman" w:hAnsi="Times New Roman" w:cs="Times New Roman"/>
          <w:b/>
          <w:bCs/>
          <w:color w:val="auto"/>
          <w:sz w:val="22"/>
          <w:szCs w:val="22"/>
          <w:highlight w:val="none"/>
        </w:rPr>
      </w:pPr>
      <w:bookmarkStart w:id="293" w:name="_Toc31484"/>
      <w:bookmarkStart w:id="294" w:name="_Toc469384076"/>
      <w:r>
        <w:rPr>
          <w:rFonts w:hint="default" w:ascii="Times New Roman" w:hAnsi="Times New Roman" w:cs="Times New Roman"/>
          <w:b/>
          <w:bCs/>
          <w:color w:val="auto"/>
          <w:sz w:val="22"/>
          <w:szCs w:val="22"/>
          <w:highlight w:val="none"/>
        </w:rPr>
        <w:t>94  保密要求</w:t>
      </w:r>
      <w:bookmarkEnd w:id="293"/>
      <w:bookmarkEnd w:id="294"/>
    </w:p>
    <w:p w14:paraId="06CAD728">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94.1    </w:t>
      </w:r>
    </w:p>
    <w:p w14:paraId="511AFB58">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63744" behindDoc="0" locked="0" layoutInCell="1" allowOverlap="1">
                <wp:simplePos x="0" y="0"/>
                <wp:positionH relativeFrom="column">
                  <wp:posOffset>-114300</wp:posOffset>
                </wp:positionH>
                <wp:positionV relativeFrom="paragraph">
                  <wp:posOffset>34290</wp:posOffset>
                </wp:positionV>
                <wp:extent cx="914400" cy="594360"/>
                <wp:effectExtent l="0" t="0" r="0" b="0"/>
                <wp:wrapNone/>
                <wp:docPr id="401" name="文本框 401"/>
                <wp:cNvGraphicFramePr/>
                <a:graphic xmlns:a="http://schemas.openxmlformats.org/drawingml/2006/main">
                  <a:graphicData uri="http://schemas.microsoft.com/office/word/2010/wordprocessingShape">
                    <wps:wsp>
                      <wps:cNvSpPr txBox="1"/>
                      <wps:spPr>
                        <a:xfrm>
                          <a:off x="0" y="0"/>
                          <a:ext cx="914400" cy="594360"/>
                        </a:xfrm>
                        <a:prstGeom prst="rect">
                          <a:avLst/>
                        </a:prstGeom>
                        <a:noFill/>
                        <a:ln>
                          <a:noFill/>
                        </a:ln>
                        <a:effectLst/>
                      </wps:spPr>
                      <wps:txbx>
                        <w:txbxContent>
                          <w:p w14:paraId="32A46F44">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提供保密信息和履行保密义务</w:t>
                            </w:r>
                          </w:p>
                        </w:txbxContent>
                      </wps:txbx>
                      <wps:bodyPr wrap="square" upright="1"/>
                    </wps:wsp>
                  </a:graphicData>
                </a:graphic>
              </wp:anchor>
            </w:drawing>
          </mc:Choice>
          <mc:Fallback>
            <w:pict>
              <v:shape id="_x0000_s1026" o:spid="_x0000_s1026" o:spt="202" type="#_x0000_t202" style="position:absolute;left:0pt;margin-left:-9pt;margin-top:2.7pt;height:46.8pt;width:72pt;z-index:252063744;mso-width-relative:page;mso-height-relative:page;" filled="f" stroked="f" coordsize="21600,21600" o:gfxdata="UEsDBAoAAAAAAIdO4kAAAAAAAAAAAAAAAAAEAAAAZHJzL1BLAwQUAAAACACHTuJAG2a19dUAAAAI&#10;AQAADwAAAGRycy9kb3ducmV2LnhtbE2PwW7CMBBE75X4B2uRuIEdBIik2XCg6pWqlFbqzcRLEhGv&#10;o9iQ9O9rTu1xNKOZN/lutK24U+8bxwjJQoEgLp1puEI4fbzOtyB80Gx065gQfsjDrpg85TozbuB3&#10;uh9DJWIJ+0wj1CF0mZS+rMlqv3AdcfQurrc6RNlX0vR6iOW2lUulNtLqhuNCrTva11RejzeL8Hm4&#10;fH+t1Fv1Ytfd4EYl2aYScTZN1DOIQGP4C8MDP6JDEZnO7sbGixZhnmzjl4CwXoF4+MtN1GeENFUg&#10;i1z+P1D8AlBLAwQUAAAACACHTuJAoIeMDL4BAABtAwAADgAAAGRycy9lMm9Eb2MueG1srVNLbtsw&#10;EN0XyB0I7mPJqRs0guUAgZFsgrZA2gPQ1MgiwF85tCVfoL1BV91033P5HB1SipummyyyoYbzeZz3&#10;ZrS8HoxmewionK35fFZyBla6Rtltzb98vj1/zxlGYRuhnYWaHwD59erszbL3FVy4zukGAiMQi1Xv&#10;a97F6KuiQNmBEThzHiwFWxeMiHQN26IJoid0o4uLsrwsehcaH5wERPKuxyCfEMNLAF3bKglrJ3cG&#10;bBxRA2gRiRJ2yiNf5W7bFmT82LYIkemaE9OYT3qE7E06i9VSVNsgfKfk1IJ4SQvPOBmhLD16glqL&#10;KNguqP+gjJLBoWvjTDpTjESyIsRiXj7T5qETHjIXkhr9SXR8PVj5Yf8pMNXUfFHOObPC0MiPP74f&#10;f/4+/vrGkpMk6j1WlPngKTcON26gxXn0IzkT86ENJn2JE6M4CXw4CQxDZJKcV/PFoqSIpNC7q8Xb&#10;yzyA4m+xDxjvwBmWjJoHml+WVezvMVIjlPqYkt6y7lZpnWeo7T8OShw9kJdgqk48xn6TFYfNMJHb&#10;uOZA3HpahJrj150IwNnOB7XtqI3MtUglNIXcxLQxacxP72Q//UtWf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bZrX11QAAAAgBAAAPAAAAAAAAAAEAIAAAACIAAABkcnMvZG93bnJldi54bWxQSwEC&#10;FAAUAAAACACHTuJAoIeMDL4BAABtAwAADgAAAAAAAAABACAAAAAkAQAAZHJzL2Uyb0RvYy54bWxQ&#10;SwUGAAAAAAYABgBZAQAAVAUAAAAA&#10;">
                <v:fill on="f" focussize="0,0"/>
                <v:stroke on="f"/>
                <v:imagedata o:title=""/>
                <o:lock v:ext="edit" aspectratio="f"/>
                <v:textbox>
                  <w:txbxContent>
                    <w:p w14:paraId="32A46F44">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提供保密信息和履行保密义务</w:t>
                      </w:r>
                    </w:p>
                  </w:txbxContent>
                </v:textbox>
              </v:shape>
            </w:pict>
          </mc:Fallback>
        </mc:AlternateContent>
      </w:r>
      <w:r>
        <w:rPr>
          <w:rFonts w:hint="default" w:ascii="Times New Roman" w:hAnsi="Times New Roman" w:cs="Times New Roman"/>
          <w:color w:val="auto"/>
          <w:sz w:val="22"/>
          <w:szCs w:val="22"/>
          <w:highlight w:val="none"/>
        </w:rPr>
        <w:t>合同双方当事人应在专用条款约定期限内提供保密信息。自收到对方当事人提供的保密信息之日起，合同双方当事人应履行保密义务。合同双方当事人履行保密义务，并不因本合同终止而结束。</w:t>
      </w:r>
    </w:p>
    <w:p w14:paraId="713D8E2B">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94.2  </w:t>
      </w:r>
      <w:r>
        <w:rPr>
          <w:rFonts w:hint="default" w:ascii="Times New Roman" w:hAnsi="Times New Roman" w:cs="Times New Roman"/>
          <w:b/>
          <w:bCs/>
          <w:color w:val="auto"/>
          <w:sz w:val="22"/>
          <w:szCs w:val="22"/>
          <w:highlight w:val="none"/>
          <w:u w:val="dotted"/>
        </w:rPr>
        <w:t xml:space="preserve">                                                                                                        </w:t>
      </w:r>
    </w:p>
    <w:p w14:paraId="18F1DE62">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64768" behindDoc="0" locked="0" layoutInCell="1" allowOverlap="1">
                <wp:simplePos x="0" y="0"/>
                <wp:positionH relativeFrom="column">
                  <wp:posOffset>-114300</wp:posOffset>
                </wp:positionH>
                <wp:positionV relativeFrom="paragraph">
                  <wp:posOffset>68580</wp:posOffset>
                </wp:positionV>
                <wp:extent cx="914400" cy="495300"/>
                <wp:effectExtent l="0" t="0" r="0" b="0"/>
                <wp:wrapNone/>
                <wp:docPr id="402" name="文本框 402"/>
                <wp:cNvGraphicFramePr/>
                <a:graphic xmlns:a="http://schemas.openxmlformats.org/drawingml/2006/main">
                  <a:graphicData uri="http://schemas.microsoft.com/office/word/2010/wordprocessingShape">
                    <wps:wsp>
                      <wps:cNvSpPr txBox="1"/>
                      <wps:spPr>
                        <a:xfrm>
                          <a:off x="0" y="0"/>
                          <a:ext cx="914400" cy="495300"/>
                        </a:xfrm>
                        <a:prstGeom prst="rect">
                          <a:avLst/>
                        </a:prstGeom>
                        <a:noFill/>
                        <a:ln>
                          <a:noFill/>
                        </a:ln>
                        <a:effectLst/>
                      </wps:spPr>
                      <wps:txbx>
                        <w:txbxContent>
                          <w:p w14:paraId="45E7240C">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保密信息知悉权限</w:t>
                            </w:r>
                          </w:p>
                        </w:txbxContent>
                      </wps:txbx>
                      <wps:bodyPr wrap="square" upright="1"/>
                    </wps:wsp>
                  </a:graphicData>
                </a:graphic>
              </wp:anchor>
            </w:drawing>
          </mc:Choice>
          <mc:Fallback>
            <w:pict>
              <v:shape id="_x0000_s1026" o:spid="_x0000_s1026" o:spt="202" type="#_x0000_t202" style="position:absolute;left:0pt;margin-left:-9pt;margin-top:5.4pt;height:39pt;width:72pt;z-index:252064768;mso-width-relative:page;mso-height-relative:page;" filled="f" stroked="f" coordsize="21600,21600" o:gfxdata="UEsDBAoAAAAAAIdO4kAAAAAAAAAAAAAAAAAEAAAAZHJzL1BLAwQUAAAACACHTuJAwFigu9UAAAAJ&#10;AQAADwAAAGRycy9kb3ducmV2LnhtbE2PwU7DMBBE75X4B2uRemvtVKUyIU4PIK6taAGJmxtvk4h4&#10;HcVuE/6e7QmOOzOanVdsJ9+JKw6xDWQgWyoQSFVwLdUG3o+vCw0iJkvOdoHQwA9G2JZ3s8LmLoz0&#10;htdDqgWXUMytgSalPpcyVg16G5ehR2LvHAZvE59DLd1gRy73nVwptZHetsQfGtvjc4PV9+HiDXzs&#10;zl+fa7WvX/xDP4ZJSfKP0pj5faaeQCSc0l8YbvN5OpS86RQu5KLoDCwyzSyJDcUIt8Bqw8LJgNYa&#10;ZFnI/wTlL1BLAwQUAAAACACHTuJAVw3PVLwBAABtAwAADgAAAGRycy9lMm9Eb2MueG1srVNLbtsw&#10;EN0XyB0I7mPJjls0guUAhZFsirZAmgPQ1NAiwF85tCVfoL1BV91033P5HB1Kipummyy6oYbzeZz3&#10;ZrS66a1hB4iovav5fFZyBk76RrtdzR8+316+5QyTcI0w3kHNj4D8Zn3xatWFCha+9aaByAjEYdWF&#10;mrcphaooULZgBc58AEdB5aMVia5xVzRRdIRuTbEoyzdF52MTopeASN7NGOQTYnwJoFdKS9h4ubfg&#10;0ogawYhElLDVAfl66FYpkOmjUgiJmZoT0zSc9AjZ23wW65WodlGEVsupBfGSFp5xskI7evQMtRFJ&#10;sH3U/0BZLaNHr9JMeluMRAZFiMW8fKbNfSsCDFxIagxn0fH/wcoPh0+R6abmy3LBmROWRn76/u30&#10;49fp51eWnSRRF7CizPtAual/53tanEc/kjMz71W0+UucGMVJ4ONZYOgTk+S8ni+XJUUkhZbXr6/I&#10;JvTiT3GImO7AW5aNmkea3yCrOLzHNKY+puS3nL/VxgwzNO4vB2GOHhiWYKrOPMZ+s5X6bT+R2/rm&#10;SNw6WoSa45e9iMDZPkS9a6mNgWuRS2gKQ7/TxuQxP72T/fQvWf8G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wFigu9UAAAAJAQAADwAAAAAAAAABACAAAAAiAAAAZHJzL2Rvd25yZXYueG1sUEsBAhQA&#10;FAAAAAgAh07iQFcNz1S8AQAAbQMAAA4AAAAAAAAAAQAgAAAAJAEAAGRycy9lMm9Eb2MueG1sUEsF&#10;BgAAAAAGAAYAWQEAAFIFAAAAAA==&#10;">
                <v:fill on="f" focussize="0,0"/>
                <v:stroke on="f"/>
                <v:imagedata o:title=""/>
                <o:lock v:ext="edit" aspectratio="f"/>
                <v:textbox>
                  <w:txbxContent>
                    <w:p w14:paraId="45E7240C">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保密信息知悉权限</w:t>
                      </w:r>
                    </w:p>
                  </w:txbxContent>
                </v:textbox>
              </v:shape>
            </w:pict>
          </mc:Fallback>
        </mc:AlternateContent>
      </w:r>
      <w:r>
        <w:rPr>
          <w:rFonts w:hint="default" w:ascii="Times New Roman" w:hAnsi="Times New Roman" w:cs="Times New Roman"/>
          <w:color w:val="auto"/>
          <w:sz w:val="22"/>
          <w:szCs w:val="22"/>
          <w:highlight w:val="none"/>
        </w:rPr>
        <w:t>合同双方当事人仅允许因履行本合同而使用另一方当事人提供的保密信息。除合同双方当事人书面委派履行本合同应知悉保密信息的人员外，合同任何一方当事人不得将另一方当事人相关的或属于另一方当事人所有的保密信息泄露或提供给第三方，也不得超出允许范围从另一方当事人复制、摘录或转移任何保密信息。任何保密信息的公布，均应事先征得提供方的书面同意。</w:t>
      </w:r>
    </w:p>
    <w:p w14:paraId="580C15A4">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94.3  </w:t>
      </w:r>
      <w:r>
        <w:rPr>
          <w:rFonts w:hint="default" w:ascii="Times New Roman" w:hAnsi="Times New Roman" w:cs="Times New Roman"/>
          <w:b/>
          <w:bCs/>
          <w:color w:val="auto"/>
          <w:sz w:val="22"/>
          <w:szCs w:val="22"/>
          <w:highlight w:val="none"/>
          <w:u w:val="dotted"/>
        </w:rPr>
        <w:t xml:space="preserve">                                                                                                       </w:t>
      </w:r>
    </w:p>
    <w:p w14:paraId="67D6E989">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65792" behindDoc="0" locked="0" layoutInCell="1" allowOverlap="1">
                <wp:simplePos x="0" y="0"/>
                <wp:positionH relativeFrom="column">
                  <wp:posOffset>-114300</wp:posOffset>
                </wp:positionH>
                <wp:positionV relativeFrom="paragraph">
                  <wp:posOffset>3175</wp:posOffset>
                </wp:positionV>
                <wp:extent cx="1028700" cy="300990"/>
                <wp:effectExtent l="0" t="0" r="0" b="0"/>
                <wp:wrapNone/>
                <wp:docPr id="403" name="文本框 403"/>
                <wp:cNvGraphicFramePr/>
                <a:graphic xmlns:a="http://schemas.openxmlformats.org/drawingml/2006/main">
                  <a:graphicData uri="http://schemas.microsoft.com/office/word/2010/wordprocessingShape">
                    <wps:wsp>
                      <wps:cNvSpPr txBox="1"/>
                      <wps:spPr>
                        <a:xfrm>
                          <a:off x="0" y="0"/>
                          <a:ext cx="1028700" cy="300990"/>
                        </a:xfrm>
                        <a:prstGeom prst="rect">
                          <a:avLst/>
                        </a:prstGeom>
                        <a:noFill/>
                        <a:ln>
                          <a:noFill/>
                        </a:ln>
                        <a:effectLst/>
                      </wps:spPr>
                      <wps:txbx>
                        <w:txbxContent>
                          <w:p w14:paraId="59EB82A9">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签订保密协议</w:t>
                            </w:r>
                          </w:p>
                        </w:txbxContent>
                      </wps:txbx>
                      <wps:bodyPr wrap="square" upright="1"/>
                    </wps:wsp>
                  </a:graphicData>
                </a:graphic>
              </wp:anchor>
            </w:drawing>
          </mc:Choice>
          <mc:Fallback>
            <w:pict>
              <v:shape id="_x0000_s1026" o:spid="_x0000_s1026" o:spt="202" type="#_x0000_t202" style="position:absolute;left:0pt;margin-left:-9pt;margin-top:0.25pt;height:23.7pt;width:81pt;z-index:252065792;mso-width-relative:page;mso-height-relative:page;" filled="f" stroked="f" coordsize="21600,21600" o:gfxdata="UEsDBAoAAAAAAIdO4kAAAAAAAAAAAAAAAAAEAAAAZHJzL1BLAwQUAAAACACHTuJALnJgqNQAAAAH&#10;AQAADwAAAGRycy9kb3ducmV2LnhtbE2PzU7DMBCE70i8g7VI3Fo7KIU2ZNMDiCuI8iNxc+NtEhGv&#10;o9htwtuzPcFxNKOZb8rt7Ht1ojF2gRGypQFFXAfXcYPw/va0WIOKybKzfWBC+KEI2+ryorSFCxO/&#10;0mmXGiUlHAuL0KY0FFrHuiVv4zIMxOIdwuhtEjk22o12knLf6xtjbrW3HctCawd6aKn+3h09wsfz&#10;4eszNy/No18NU5iNZr/RiNdXmbkHlWhOf2E44ws6VMK0D0d2UfUIi2wtXxLCCtTZznORe4T8bgO6&#10;KvV//uoXUEsDBBQAAAAIAIdO4kDeyPY9vQEAAG4DAAAOAAAAZHJzL2Uyb0RvYy54bWytU82O0zAQ&#10;viPxDpbv1N4ugt2o6UqoWi4IkBYewHUmjaX4B4/bpC8Ab8CJC3eeq8/B2MmWZbnsgYsznp/P830z&#10;Wd2MtmcHiGi8q/nFQnIGTvvGuF3NP3+6fXHFGSblGtV7BzU/AvKb9fNnqyFUsPSd7xuIjEAcVkOo&#10;eZdSqIRA3YFVuPABHAVbH61KdI070UQ1ELrtxVLKV2LwsQnRa0Ak72YK8hkxPgXQt63RsPF6b8Gl&#10;CTVCrxJRws4E5OvSbduCTh/aFiGxvubENJWTHiF7m0+xXqlqF1XojJ5bUE9p4REnq4yjR89QG5UU&#10;20fzD5Q1Onr0bVpob8VEpChCLC7kI23uOhWgcCGpMZxFx/8Hq98fPkZmmpq/lJecOWVp5Kfv304/&#10;fp1+fmXZSRINASvKvAuUm8Y3fqTFufcjOTPzsY02f4kTozgJfDwLDGNiOhfJ5dVrSSFNsUspr6/L&#10;BMSf6hAxvQVvWTZqHmmARVd1eIeJOqHU+5T8mPO3pu/LEHv3l4MSJw+ULZirM5Gp4WylcTvO7La+&#10;ORK5gTah5vhlryJwtg/R7Dpqo5AVuYTGUJqYVybP+eGd7Ie/yfo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LnJgqNQAAAAHAQAADwAAAAAAAAABACAAAAAiAAAAZHJzL2Rvd25yZXYueG1sUEsBAhQA&#10;FAAAAAgAh07iQN7I9j29AQAAbgMAAA4AAAAAAAAAAQAgAAAAIwEAAGRycy9lMm9Eb2MueG1sUEsF&#10;BgAAAAAGAAYAWQEAAFIFAAAAAA==&#10;">
                <v:fill on="f" focussize="0,0"/>
                <v:stroke on="f"/>
                <v:imagedata o:title=""/>
                <o:lock v:ext="edit" aspectratio="f"/>
                <v:textbox>
                  <w:txbxContent>
                    <w:p w14:paraId="59EB82A9">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签订保密协议</w:t>
                      </w:r>
                    </w:p>
                  </w:txbxContent>
                </v:textbox>
              </v:shape>
            </w:pict>
          </mc:Fallback>
        </mc:AlternateContent>
      </w:r>
      <w:r>
        <w:rPr>
          <w:rFonts w:hint="default" w:ascii="Times New Roman" w:hAnsi="Times New Roman" w:cs="Times New Roman"/>
          <w:color w:val="auto"/>
          <w:sz w:val="22"/>
          <w:szCs w:val="22"/>
          <w:highlight w:val="none"/>
        </w:rPr>
        <w:t>合同双方当事人应与履行本合同知悉保密信息的人员签订保密协议，并将其中一份及时提交给另一方当事人。合同双方当事人应以保护自身秘密的谨慎态度采取有效措施保护另一方当事人的保密信息，避免保密信息被不当公开或使用。合同任何一方当事人发现有第三方盗用或滥用另一方当事人保密信息的，应及时通知另一方当事人。</w:t>
      </w:r>
    </w:p>
    <w:p w14:paraId="5CFFD7D8">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94.4  </w:t>
      </w:r>
      <w:r>
        <w:rPr>
          <w:rFonts w:hint="default" w:ascii="Times New Roman" w:hAnsi="Times New Roman" w:cs="Times New Roman"/>
          <w:b/>
          <w:bCs/>
          <w:color w:val="auto"/>
          <w:sz w:val="22"/>
          <w:szCs w:val="22"/>
          <w:highlight w:val="none"/>
          <w:u w:val="dotted"/>
        </w:rPr>
        <w:t xml:space="preserve">                                                                                                      </w:t>
      </w:r>
    </w:p>
    <w:p w14:paraId="6798F746">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66816" behindDoc="0" locked="0" layoutInCell="1" allowOverlap="1">
                <wp:simplePos x="0" y="0"/>
                <wp:positionH relativeFrom="column">
                  <wp:posOffset>-114300</wp:posOffset>
                </wp:positionH>
                <wp:positionV relativeFrom="paragraph">
                  <wp:posOffset>65405</wp:posOffset>
                </wp:positionV>
                <wp:extent cx="914400" cy="727710"/>
                <wp:effectExtent l="0" t="0" r="0" b="0"/>
                <wp:wrapNone/>
                <wp:docPr id="404" name="文本框 404"/>
                <wp:cNvGraphicFramePr/>
                <a:graphic xmlns:a="http://schemas.openxmlformats.org/drawingml/2006/main">
                  <a:graphicData uri="http://schemas.microsoft.com/office/word/2010/wordprocessingShape">
                    <wps:wsp>
                      <wps:cNvSpPr txBox="1"/>
                      <wps:spPr>
                        <a:xfrm>
                          <a:off x="0" y="0"/>
                          <a:ext cx="914400" cy="727710"/>
                        </a:xfrm>
                        <a:prstGeom prst="rect">
                          <a:avLst/>
                        </a:prstGeom>
                        <a:noFill/>
                        <a:ln>
                          <a:noFill/>
                        </a:ln>
                        <a:effectLst/>
                      </wps:spPr>
                      <wps:txbx>
                        <w:txbxContent>
                          <w:p w14:paraId="22576CEE">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配合政府要求并做好保密工作</w:t>
                            </w:r>
                          </w:p>
                        </w:txbxContent>
                      </wps:txbx>
                      <wps:bodyPr wrap="square" upright="1"/>
                    </wps:wsp>
                  </a:graphicData>
                </a:graphic>
              </wp:anchor>
            </w:drawing>
          </mc:Choice>
          <mc:Fallback>
            <w:pict>
              <v:shape id="_x0000_s1026" o:spid="_x0000_s1026" o:spt="202" type="#_x0000_t202" style="position:absolute;left:0pt;margin-left:-9pt;margin-top:5.15pt;height:57.3pt;width:72pt;z-index:252066816;mso-width-relative:page;mso-height-relative:page;" filled="f" stroked="f" coordsize="21600,21600" o:gfxdata="UEsDBAoAAAAAAIdO4kAAAAAAAAAAAAAAAAAEAAAAZHJzL1BLAwQUAAAACACHTuJAiehvZ9YAAAAK&#10;AQAADwAAAGRycy9kb3ducmV2LnhtbE2PQW/CMAyF75P4D5GRdoOkjCEoTTmAdt002CbtFhrTVjRO&#10;1QTa/fu5p+1m+z09fy/bDa4Rd+xC7UlDMlcgkApvayo1fJxeZmsQIRqypvGEGn4wwC6fPGQmtb6n&#10;d7wfYyk4hEJqNFQxtqmUoajQmTD3LRJrF985E3ntSmk703O4a+RCqZV0pib+UJkW9xUW1+PNafh8&#10;vXx/LdVbeXDPbe8HJcltpNaP00RtQUQc4p8ZRnxGh5yZzv5GNohGwyxZc5fIgnoCMRoWKz6cx2G5&#10;AZln8n+F/BdQSwMEFAAAAAgAh07iQIJGnGy9AQAAbQMAAA4AAABkcnMvZTJvRG9jLnhtbK1TS27b&#10;MBDdF8gdCO5jyYZRt4LlAIWRbIK2QNoD0NTIIsBfObQlX6C9QVfddN9z+RwdUoqbppssuqGG83mc&#10;92a0vhmMZkcIqJyt+XxWcgZWukbZfc0/f7q9fsMZRmEboZ2Fmp8A+c3m6tW69xUsXOd0A4ERiMWq&#10;9zXvYvRVUaDswAicOQ+Wgq0LRkS6hn3RBNETutHFoixfF70LjQ9OAiJ5t2OQT4jhJYCubZWErZMH&#10;AzaOqAG0iEQJO+WRb3K3bQsyfmhbhMh0zYlpzCc9QvYuncVmLap9EL5TcmpBvKSFZ5yMUJYevUBt&#10;RRTsENQ/UEbJ4NC1cSadKUYiWRFiMS+fafPQCQ+ZC0mN/iI6/j9Y+f74MTDV1HxZLjmzwtDIz9+/&#10;nX/8Ov/8ypKTJOo9VpT54Ck3Du/cQIvz6EdyJuZDG0z6EidGcRL4dBEYhsgkOd/Ol8uSIpJCq8Vq&#10;Nc8DKP4U+4DxDpxhyah5oPllWcXxHiM1QqmPKekt626V1nmG2v7loMTRA3kJpurEY+w3WXHYDRO5&#10;nWtOxK2nRag5fjmIAJwdfFD7jtrIXItUQlPITUwbk8b89E72079k8x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J6G9n1gAAAAoBAAAPAAAAAAAAAAEAIAAAACIAAABkcnMvZG93bnJldi54bWxQSwEC&#10;FAAUAAAACACHTuJAgkacbL0BAABtAwAADgAAAAAAAAABACAAAAAlAQAAZHJzL2Uyb0RvYy54bWxQ&#10;SwUGAAAAAAYABgBZAQAAVAUAAAAA&#10;">
                <v:fill on="f" focussize="0,0"/>
                <v:stroke on="f"/>
                <v:imagedata o:title=""/>
                <o:lock v:ext="edit" aspectratio="f"/>
                <v:textbox>
                  <w:txbxContent>
                    <w:p w14:paraId="22576CEE">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配合政府要求并做好保密工作</w:t>
                      </w:r>
                    </w:p>
                  </w:txbxContent>
                </v:textbox>
              </v:shape>
            </w:pict>
          </mc:Fallback>
        </mc:AlternateContent>
      </w:r>
      <w:r>
        <w:rPr>
          <w:rFonts w:hint="default" w:ascii="Times New Roman" w:hAnsi="Times New Roman" w:cs="Times New Roman"/>
          <w:color w:val="auto"/>
          <w:sz w:val="22"/>
          <w:szCs w:val="22"/>
          <w:highlight w:val="none"/>
        </w:rPr>
        <w:t>如果法律或政府执法、监督管理等有要求，合同双方当事人应予配合和支持，并提供需要的保密信息。需提供另一方当事人保密信息的，应立即书面通知另一方当事人，以便另一方当事人及时履行义务。若另一方当事人未能及时作出回应的，除依法应提供另一方当事人信息外，应积极维护另一方当事人合法权益。</w:t>
      </w:r>
    </w:p>
    <w:p w14:paraId="3168DC74">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94.5  </w:t>
      </w:r>
      <w:r>
        <w:rPr>
          <w:rFonts w:hint="default" w:ascii="Times New Roman" w:hAnsi="Times New Roman" w:cs="Times New Roman"/>
          <w:b/>
          <w:bCs/>
          <w:color w:val="auto"/>
          <w:sz w:val="22"/>
          <w:szCs w:val="22"/>
          <w:highlight w:val="none"/>
          <w:u w:val="dotted"/>
        </w:rPr>
        <w:t xml:space="preserve">                                                                                                        </w:t>
      </w:r>
    </w:p>
    <w:p w14:paraId="2E8FB9CD">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67840" behindDoc="0" locked="0" layoutInCell="1" allowOverlap="1">
                <wp:simplePos x="0" y="0"/>
                <wp:positionH relativeFrom="column">
                  <wp:posOffset>-114300</wp:posOffset>
                </wp:positionH>
                <wp:positionV relativeFrom="paragraph">
                  <wp:posOffset>22225</wp:posOffset>
                </wp:positionV>
                <wp:extent cx="914400" cy="495300"/>
                <wp:effectExtent l="0" t="0" r="0" b="0"/>
                <wp:wrapNone/>
                <wp:docPr id="405" name="文本框 405"/>
                <wp:cNvGraphicFramePr/>
                <a:graphic xmlns:a="http://schemas.openxmlformats.org/drawingml/2006/main">
                  <a:graphicData uri="http://schemas.microsoft.com/office/word/2010/wordprocessingShape">
                    <wps:wsp>
                      <wps:cNvSpPr txBox="1"/>
                      <wps:spPr>
                        <a:xfrm>
                          <a:off x="0" y="0"/>
                          <a:ext cx="914400" cy="495300"/>
                        </a:xfrm>
                        <a:prstGeom prst="rect">
                          <a:avLst/>
                        </a:prstGeom>
                        <a:noFill/>
                        <a:ln>
                          <a:noFill/>
                        </a:ln>
                        <a:effectLst/>
                      </wps:spPr>
                      <wps:txbx>
                        <w:txbxContent>
                          <w:p w14:paraId="38DF72BF">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书面说明保密程度</w:t>
                            </w:r>
                          </w:p>
                        </w:txbxContent>
                      </wps:txbx>
                      <wps:bodyPr wrap="square" upright="1"/>
                    </wps:wsp>
                  </a:graphicData>
                </a:graphic>
              </wp:anchor>
            </w:drawing>
          </mc:Choice>
          <mc:Fallback>
            <w:pict>
              <v:shape id="_x0000_s1026" o:spid="_x0000_s1026" o:spt="202" type="#_x0000_t202" style="position:absolute;left:0pt;margin-left:-9pt;margin-top:1.75pt;height:39pt;width:72pt;z-index:252067840;mso-width-relative:page;mso-height-relative:page;" filled="f" stroked="f" coordsize="21600,21600" o:gfxdata="UEsDBAoAAAAAAIdO4kAAAAAAAAAAAAAAAAAEAAAAZHJzL1BLAwQUAAAACACHTuJA2BSM6NUAAAAI&#10;AQAADwAAAGRycy9kb3ducmV2LnhtbE2PzW7CMBCE75V4B2uRegM7tEFpmg0HUK9FpT9SbyZekqjx&#10;OooNCW9fc2qPoxnNfFNsJtuJCw2+dYyQLBUI4sqZlmuEj/eXRQbCB81Gd44J4UoeNuXsrtC5cSO/&#10;0eUQahFL2OcaoQmhz6X0VUNW+6XriaN3coPVIcqhlmbQYyy3nVwptZZWtxwXGt3TtqHq53C2CJ+v&#10;p++vR7WvdzbtRzcpyfZJIt7PE/UMItAU/sJww4/oUEamozuz8aJDWCRZ/BIQHlIQN3+1jvqIkCUp&#10;yLKQ/w+Uv1BLAwQUAAAACACHTuJASvgQz7wBAABtAwAADgAAAGRycy9lMm9Eb2MueG1srVNLbtsw&#10;EN0XyB0I7mPKqVM0guUAgZFsgrZA2gPQ1NAiIH7KoS35Au0Nuuqm+57L5+hQUtw03WSRDTWcz+O8&#10;N6PldW9btoeIxruKz2cFZ+CUr43bVvzL59vz95xhkq6WrXdQ8QMgv16dvVl2oYQL3/i2hsgIxGHZ&#10;hYo3KYVSCFQNWIkzH8BRUPtoZaJr3Io6yo7QbSsuiuKd6HysQ/QKEMm7HoN8QowvAfRaGwVrr3YW&#10;XBpRI7QyESVsTEC+GrrVGlT6qDVCYm3FiWkaTnqE7E0+xWopy22UoTFqakG+pIVnnKw0jh49Qa1l&#10;kmwXzX9Q1qjo0es0U96KkcigCLGYF8+0eWhkgIELSY3hJDq+Hqz6sP8UmakrviguOXPS0siPP74f&#10;f/4+/vrGspMk6gKWlPkQKDf1N76nxXn0Izkz815Hm7/EiVGcBD6cBIY+MUXOq/liUVBEUWhxdfmW&#10;bEIXf4tDxHQH3rJsVDzS/AZZ5f4e05j6mJLfcv7WtO0ww9b94yDM0QPDEkzVmcfYb7ZSv+knchtf&#10;H4hbR4tQcfy6kxE424Votg21MXAVuYSmMPQ7bUwe89M72U//ktU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2BSM6NUAAAAIAQAADwAAAAAAAAABACAAAAAiAAAAZHJzL2Rvd25yZXYueG1sUEsBAhQA&#10;FAAAAAgAh07iQEr4EM+8AQAAbQMAAA4AAAAAAAAAAQAgAAAAJAEAAGRycy9lMm9Eb2MueG1sUEsF&#10;BgAAAAAGAAYAWQEAAFIFAAAAAA==&#10;">
                <v:fill on="f" focussize="0,0"/>
                <v:stroke on="f"/>
                <v:imagedata o:title=""/>
                <o:lock v:ext="edit" aspectratio="f"/>
                <v:textbox>
                  <w:txbxContent>
                    <w:p w14:paraId="38DF72BF">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书面说明保密程度</w:t>
                      </w:r>
                    </w:p>
                  </w:txbxContent>
                </v:textbox>
              </v:shape>
            </w:pict>
          </mc:Fallback>
        </mc:AlternateContent>
      </w:r>
      <w:r>
        <w:rPr>
          <w:rFonts w:hint="default" w:ascii="Times New Roman" w:hAnsi="Times New Roman" w:cs="Times New Roman"/>
          <w:color w:val="auto"/>
          <w:sz w:val="22"/>
          <w:szCs w:val="22"/>
          <w:highlight w:val="none"/>
        </w:rPr>
        <w:t>保密信息应由提供方以书面形式说明保密程度；以口头形式提供的，则提供方应在提供后28天内以书面形式予以确认。保密信息不但包括合同双方当事人确认的信息，还包括与材料和工程设备产品、价格、工程设计、图纸、技术、工艺和财务等相关信息。但不包括下述信息：</w:t>
      </w:r>
    </w:p>
    <w:p w14:paraId="2C08141E">
      <w:pPr>
        <w:pStyle w:val="15"/>
        <w:numPr>
          <w:ilvl w:val="0"/>
          <w:numId w:val="29"/>
        </w:numPr>
        <w:tabs>
          <w:tab w:val="left" w:pos="1620"/>
          <w:tab w:val="left" w:pos="2340"/>
          <w:tab w:val="left" w:pos="2700"/>
        </w:tabs>
        <w:adjustRightInd w:val="0"/>
        <w:snapToGrid w:val="0"/>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提供前已由合同双方当事人所持有的；</w:t>
      </w:r>
    </w:p>
    <w:p w14:paraId="1551A09F">
      <w:pPr>
        <w:pStyle w:val="15"/>
        <w:numPr>
          <w:ilvl w:val="0"/>
          <w:numId w:val="29"/>
        </w:numPr>
        <w:tabs>
          <w:tab w:val="left" w:pos="1620"/>
          <w:tab w:val="left" w:pos="2340"/>
          <w:tab w:val="left" w:pos="2700"/>
        </w:tabs>
        <w:adjustRightInd w:val="0"/>
        <w:snapToGrid w:val="0"/>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已公开发表或非对方当事人原因向公众公开的；</w:t>
      </w:r>
    </w:p>
    <w:p w14:paraId="492F2565">
      <w:pPr>
        <w:pStyle w:val="15"/>
        <w:numPr>
          <w:ilvl w:val="0"/>
          <w:numId w:val="29"/>
        </w:numPr>
        <w:tabs>
          <w:tab w:val="left" w:pos="1620"/>
          <w:tab w:val="left" w:pos="2340"/>
          <w:tab w:val="left" w:pos="2700"/>
        </w:tabs>
        <w:adjustRightInd w:val="0"/>
        <w:snapToGrid w:val="0"/>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已由各相关方书面同意其公开的；</w:t>
      </w:r>
    </w:p>
    <w:p w14:paraId="3F38452F">
      <w:pPr>
        <w:pStyle w:val="15"/>
        <w:numPr>
          <w:ilvl w:val="0"/>
          <w:numId w:val="29"/>
        </w:numPr>
        <w:tabs>
          <w:tab w:val="left" w:pos="1620"/>
          <w:tab w:val="left" w:pos="2340"/>
          <w:tab w:val="left" w:pos="2700"/>
        </w:tabs>
        <w:adjustRightInd w:val="0"/>
        <w:snapToGrid w:val="0"/>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在未获取保密信息前由对方当事人独立开发的；</w:t>
      </w:r>
    </w:p>
    <w:p w14:paraId="6F968BE6">
      <w:pPr>
        <w:pStyle w:val="15"/>
        <w:numPr>
          <w:ilvl w:val="0"/>
          <w:numId w:val="29"/>
        </w:numPr>
        <w:tabs>
          <w:tab w:val="left" w:pos="1620"/>
          <w:tab w:val="left" w:pos="2340"/>
          <w:tab w:val="left" w:pos="2700"/>
        </w:tabs>
        <w:adjustRightInd w:val="0"/>
        <w:snapToGrid w:val="0"/>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对方当事人从对保密信息不承担保密义务的第三方处合法获得的。</w:t>
      </w:r>
    </w:p>
    <w:p w14:paraId="6E031412">
      <w:pPr>
        <w:pStyle w:val="15"/>
        <w:tabs>
          <w:tab w:val="left" w:pos="1620"/>
        </w:tabs>
        <w:adjustRightInd w:val="0"/>
        <w:snapToGrid w:val="0"/>
        <w:spacing w:line="420" w:lineRule="exact"/>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5714FC49">
      <w:pPr>
        <w:pStyle w:val="15"/>
        <w:tabs>
          <w:tab w:val="left" w:pos="540"/>
        </w:tabs>
        <w:adjustRightInd w:val="0"/>
        <w:snapToGrid w:val="0"/>
        <w:spacing w:before="240" w:beforeLines="100" w:line="420" w:lineRule="exact"/>
        <w:outlineLvl w:val="2"/>
        <w:rPr>
          <w:rFonts w:hint="default" w:ascii="Times New Roman" w:hAnsi="Times New Roman" w:cs="Times New Roman"/>
          <w:b/>
          <w:bCs/>
          <w:color w:val="auto"/>
          <w:sz w:val="22"/>
          <w:szCs w:val="22"/>
          <w:highlight w:val="none"/>
        </w:rPr>
      </w:pPr>
      <w:bookmarkStart w:id="295" w:name="_Toc469384077"/>
      <w:bookmarkStart w:id="296" w:name="_Toc6948"/>
      <w:r>
        <w:rPr>
          <w:rFonts w:hint="default" w:ascii="Times New Roman" w:hAnsi="Times New Roman" w:cs="Times New Roman"/>
          <w:b/>
          <w:bCs/>
          <w:color w:val="auto"/>
          <w:sz w:val="22"/>
          <w:szCs w:val="22"/>
          <w:highlight w:val="none"/>
        </w:rPr>
        <w:t>95 廉政建设</w:t>
      </w:r>
      <w:bookmarkEnd w:id="295"/>
      <w:bookmarkEnd w:id="296"/>
    </w:p>
    <w:p w14:paraId="3669A59D">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95.1     </w:t>
      </w:r>
    </w:p>
    <w:p w14:paraId="047D8A4C">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68864" behindDoc="0" locked="0" layoutInCell="1" allowOverlap="1">
                <wp:simplePos x="0" y="0"/>
                <wp:positionH relativeFrom="column">
                  <wp:posOffset>-114300</wp:posOffset>
                </wp:positionH>
                <wp:positionV relativeFrom="paragraph">
                  <wp:posOffset>15875</wp:posOffset>
                </wp:positionV>
                <wp:extent cx="800100" cy="297180"/>
                <wp:effectExtent l="0" t="0" r="0" b="0"/>
                <wp:wrapNone/>
                <wp:docPr id="406" name="文本框 406"/>
                <wp:cNvGraphicFramePr/>
                <a:graphic xmlns:a="http://schemas.openxmlformats.org/drawingml/2006/main">
                  <a:graphicData uri="http://schemas.microsoft.com/office/word/2010/wordprocessingShape">
                    <wps:wsp>
                      <wps:cNvSpPr txBox="1"/>
                      <wps:spPr>
                        <a:xfrm>
                          <a:off x="0" y="0"/>
                          <a:ext cx="800100" cy="297180"/>
                        </a:xfrm>
                        <a:prstGeom prst="rect">
                          <a:avLst/>
                        </a:prstGeom>
                        <a:noFill/>
                        <a:ln>
                          <a:noFill/>
                        </a:ln>
                        <a:effectLst/>
                      </wps:spPr>
                      <wps:txbx>
                        <w:txbxContent>
                          <w:p w14:paraId="356A1E51">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廉政建设</w:t>
                            </w:r>
                          </w:p>
                        </w:txbxContent>
                      </wps:txbx>
                      <wps:bodyPr wrap="square" upright="1"/>
                    </wps:wsp>
                  </a:graphicData>
                </a:graphic>
              </wp:anchor>
            </w:drawing>
          </mc:Choice>
          <mc:Fallback>
            <w:pict>
              <v:shape id="_x0000_s1026" o:spid="_x0000_s1026" o:spt="202" type="#_x0000_t202" style="position:absolute;left:0pt;margin-left:-9pt;margin-top:1.25pt;height:23.4pt;width:63pt;z-index:252068864;mso-width-relative:page;mso-height-relative:page;" filled="f" stroked="f" coordsize="21600,21600" o:gfxdata="UEsDBAoAAAAAAIdO4kAAAAAAAAAAAAAAAAAEAAAAZHJzL1BLAwQUAAAACACHTuJARYdskdUAAAAI&#10;AQAADwAAAGRycy9kb3ducmV2LnhtbE2PzU7DMBCE70i8g7VIvbV2+qc2zaYHEFcQbUHqzY23SUS8&#10;jmK3CW+Pc4LjaEYz32T7wTbiTp2vHSMkMwWCuHCm5hLhdHydbkD4oNnoxjEh/JCHff74kOnUuJ4/&#10;6H4IpYgl7FONUIXQplL6oiKr/cy1xNG7us7qEGVXStPpPpbbRs6VWkura44LlW7puaLi+3CzCJ9v&#10;1/PXUr2XL3bV9m5Qku1WIk6eErUDEWgIf2EY8SM65JHp4m5svGgQpskmfgkI8xWI0VejviAstwuQ&#10;eSb/H8h/AVBLAwQUAAAACACHTuJAI5xbh7wBAABtAwAADgAAAGRycy9lMm9Eb2MueG1srVNLbtsw&#10;EN0X6B0I7mPJRpC6guUAgZFuiqZA2gPQ1MgiwF84tCVfIL1BV91033P5HB1Sipummyy6oYbzeZz3&#10;ZrS6HoxmBwionK35fFZyBla6Rtldzb9+ub1YcoZR2EZoZ6HmR0B+vX77ZtX7Chauc7qBwAjEYtX7&#10;mncx+qooUHZgBM6cB0vB1gUjIl3DrmiC6And6GJRlldF70Ljg5OASN7NGOQTYngNoGtbJWHj5N6A&#10;jSNqAC0iUcJOeeTr3G3bgox3bYsQma45MY35pEfI3qazWK9EtQvCd0pOLYjXtPCCkxHK0qNnqI2I&#10;gu2D+gfKKBkcujbOpDPFSCQrQizm5Qtt7jvhIXMhqdGfRcf/Bys/HT4HppqaX5ZXnFlhaOSn799O&#10;P36dfj6y5CSJeo8VZd57yo3DjRtocZ78SM7EfGiDSV/ixChOAh/PAsMQmSTnsiSSFJEUWrx/N1/m&#10;ARR/in3A+AGcYcmoeaD5ZVnF4SNGaoRSn1LSW9bdKq3zDLX9y0GJowfyEkzVicfYb7LisB0mclvX&#10;HIlbT4tQc3zYiwCc7X1Qu47ayFyLVEJTyE1MG5PG/PxO9vO/ZP0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RYdskdUAAAAIAQAADwAAAAAAAAABACAAAAAiAAAAZHJzL2Rvd25yZXYueG1sUEsBAhQA&#10;FAAAAAgAh07iQCOcW4e8AQAAbQMAAA4AAAAAAAAAAQAgAAAAJAEAAGRycy9lMm9Eb2MueG1sUEsF&#10;BgAAAAAGAAYAWQEAAFIFAAAAAA==&#10;">
                <v:fill on="f" focussize="0,0"/>
                <v:stroke on="f"/>
                <v:imagedata o:title=""/>
                <o:lock v:ext="edit" aspectratio="f"/>
                <v:textbox>
                  <w:txbxContent>
                    <w:p w14:paraId="356A1E51">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廉政建设</w:t>
                      </w:r>
                    </w:p>
                  </w:txbxContent>
                </v:textbox>
              </v:shape>
            </w:pict>
          </mc:Fallback>
        </mc:AlternateContent>
      </w:r>
      <w:r>
        <w:rPr>
          <w:rFonts w:hint="default" w:ascii="Times New Roman" w:hAnsi="Times New Roman" w:cs="Times New Roman"/>
          <w:color w:val="auto"/>
          <w:sz w:val="22"/>
          <w:szCs w:val="22"/>
          <w:highlight w:val="none"/>
        </w:rPr>
        <w:t>合同双方当事人在签订本合同时，应同时签订廉政合同，作为本合同的附件。合同双方当事人在合同履行期间应遵守国家和政府有关廉政方面的规定和要求，禁止任何腐败行为。</w:t>
      </w:r>
    </w:p>
    <w:p w14:paraId="5D6F3308">
      <w:pPr>
        <w:pStyle w:val="15"/>
        <w:adjustRightInd w:val="0"/>
        <w:snapToGrid w:val="0"/>
        <w:spacing w:line="420" w:lineRule="exact"/>
        <w:rPr>
          <w:rFonts w:hint="default" w:ascii="Times New Roman" w:hAnsi="Times New Roman" w:cs="Times New Roman"/>
          <w:b/>
          <w:bCs/>
          <w:color w:val="auto"/>
          <w:sz w:val="22"/>
          <w:szCs w:val="22"/>
          <w:highlight w:val="none"/>
          <w:u w:val="dotted"/>
        </w:rPr>
      </w:pPr>
      <w:r>
        <w:rPr>
          <w:rFonts w:hint="default" w:ascii="Times New Roman" w:hAnsi="Times New Roman" w:cs="Times New Roman"/>
          <w:b/>
          <w:bCs/>
          <w:color w:val="auto"/>
          <w:sz w:val="22"/>
          <w:szCs w:val="22"/>
          <w:highlight w:val="none"/>
        </w:rPr>
        <w:t xml:space="preserve">95.2  </w:t>
      </w:r>
      <w:r>
        <w:rPr>
          <w:rFonts w:hint="default" w:ascii="Times New Roman" w:hAnsi="Times New Roman" w:cs="Times New Roman"/>
          <w:b/>
          <w:bCs/>
          <w:color w:val="auto"/>
          <w:sz w:val="22"/>
          <w:szCs w:val="22"/>
          <w:highlight w:val="none"/>
          <w:u w:val="dotted"/>
        </w:rPr>
        <w:t xml:space="preserve">                                                                                                       </w:t>
      </w:r>
    </w:p>
    <w:p w14:paraId="0B8EDA26">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69888" behindDoc="0" locked="0" layoutInCell="1" allowOverlap="1">
                <wp:simplePos x="0" y="0"/>
                <wp:positionH relativeFrom="column">
                  <wp:posOffset>-114300</wp:posOffset>
                </wp:positionH>
                <wp:positionV relativeFrom="paragraph">
                  <wp:posOffset>53975</wp:posOffset>
                </wp:positionV>
                <wp:extent cx="800100" cy="316865"/>
                <wp:effectExtent l="0" t="0" r="0" b="0"/>
                <wp:wrapNone/>
                <wp:docPr id="417" name="文本框 417"/>
                <wp:cNvGraphicFramePr/>
                <a:graphic xmlns:a="http://schemas.openxmlformats.org/drawingml/2006/main">
                  <a:graphicData uri="http://schemas.microsoft.com/office/word/2010/wordprocessingShape">
                    <wps:wsp>
                      <wps:cNvSpPr txBox="1"/>
                      <wps:spPr>
                        <a:xfrm>
                          <a:off x="0" y="0"/>
                          <a:ext cx="800100" cy="316865"/>
                        </a:xfrm>
                        <a:prstGeom prst="rect">
                          <a:avLst/>
                        </a:prstGeom>
                        <a:noFill/>
                        <a:ln>
                          <a:noFill/>
                        </a:ln>
                        <a:effectLst/>
                      </wps:spPr>
                      <wps:txbx>
                        <w:txbxContent>
                          <w:p w14:paraId="19AFEAE6">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违反责任</w:t>
                            </w:r>
                          </w:p>
                        </w:txbxContent>
                      </wps:txbx>
                      <wps:bodyPr wrap="square" upright="1"/>
                    </wps:wsp>
                  </a:graphicData>
                </a:graphic>
              </wp:anchor>
            </w:drawing>
          </mc:Choice>
          <mc:Fallback>
            <w:pict>
              <v:shape id="_x0000_s1026" o:spid="_x0000_s1026" o:spt="202" type="#_x0000_t202" style="position:absolute;left:0pt;margin-left:-9pt;margin-top:4.25pt;height:24.95pt;width:63pt;z-index:252069888;mso-width-relative:page;mso-height-relative:page;" filled="f" stroked="f" coordsize="21600,21600" o:gfxdata="UEsDBAoAAAAAAIdO4kAAAAAAAAAAAAAAAAAEAAAAZHJzL1BLAwQUAAAACACHTuJA1zHYJ9QAAAAI&#10;AQAADwAAAGRycy9kb3ducmV2LnhtbE2PzW6DMBCE75XyDtZWyi2xqUJFCEsOqXpt1PRH6s3BG0DF&#10;a4SdQN++5tQeRzOa+abYT7YTNxp86xghWSsQxJUzLdcI72/PqwyED5qN7hwTwg952JeLu0Lnxo38&#10;SrdTqEUsYZ9rhCaEPpfSVw1Z7deuJ47exQ1WhyiHWppBj7HcdvJBqUdpdctxodE9HRqqvk9Xi/Dx&#10;cvn63Khj/WTTfnSTkmy3EnF5n6gdiEBT+AvDjB/RoYxMZ3dl40WHsEqy+CUgZCmI2VezPiOk2QZk&#10;Wcj/B8pfUEsDBBQAAAAIAIdO4kDY4l9BvAEAAG0DAAAOAAAAZHJzL2Uyb0RvYy54bWytU0tu2zAQ&#10;3RfoHQjuY8pJ6xqC5QCFkW6KtkCaA9DU0CIgfsqhLfkC7Q266qb7nsvn6FBSnE83WXRDDefzOO/N&#10;aHXd25YdIKLxruLzWcEZOOVr43YVv/t6c7HkDJN0tWy9g4ofAfn1+vWrVRdKuPSNb2uIjEAcll2o&#10;eJNSKIVA1YCVOPMBHAW1j1YmusadqKPsCN224rIoFqLzsQ7RK0Ak72YM8gkxvgTQa20UbLzaW3Bp&#10;RI3QykSUsDEB+XroVmtQ6bPWCIm1FSemaTjpEbK3+RTrlSx3UYbGqKkF+ZIWnnGy0jh69Ay1kUmy&#10;fTT/QFmjokev00x5K0YigyLEYl480+a2kQEGLiQ1hrPo+P9g1afDl8hMXfE383ecOWlp5KefP06/&#10;/px+f2fZSRJ1AUvKvA2Um/r3vqfFufcjOTPzXkebv8SJUZwEPp4Fhj4xRc5lQSQpoih0NV8sF28z&#10;ingoDhHTB/CWZaPikeY3yCoPHzGNqfcp+S3nb0zbDjNs3RMHYY4eGJZgqs48xn6zlfptP5Hb+vpI&#10;3DpahIrjt72MwNk+RLNrqI2Bq8glNIWh32lj8pgf38l+/Jes/w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XMdgn1AAAAAgBAAAPAAAAAAAAAAEAIAAAACIAAABkcnMvZG93bnJldi54bWxQSwECFAAU&#10;AAAACACHTuJA2OJfQbwBAABtAwAADgAAAAAAAAABACAAAAAjAQAAZHJzL2Uyb0RvYy54bWxQSwUG&#10;AAAAAAYABgBZAQAAUQUAAAAA&#10;">
                <v:fill on="f" focussize="0,0"/>
                <v:stroke on="f"/>
                <v:imagedata o:title=""/>
                <o:lock v:ext="edit" aspectratio="f"/>
                <v:textbox>
                  <w:txbxContent>
                    <w:p w14:paraId="19AFEAE6">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违反责任</w:t>
                      </w:r>
                    </w:p>
                  </w:txbxContent>
                </v:textbox>
              </v:shape>
            </w:pict>
          </mc:Fallback>
        </mc:AlternateContent>
      </w:r>
      <w:r>
        <w:rPr>
          <w:rFonts w:hint="default" w:ascii="Times New Roman" w:hAnsi="Times New Roman" w:cs="Times New Roman"/>
          <w:color w:val="auto"/>
          <w:sz w:val="22"/>
          <w:szCs w:val="22"/>
          <w:highlight w:val="none"/>
        </w:rPr>
        <w:t>如果承包人违反廉政建设有关规定，采用不正当手段，贿赂或变相贿赂了包括监理工程师、造价工程师在内的发包人工作人员，以求获得或已获得不当利益的，则发包人除保留追究其工作人员责任外，因承包人上述行为造成发包人损失或工程损害的，承包人应予赔偿，并承担相应的法律责任。发包人有权按照第87.3款规定解除合同，并按照第88.3款规定办理合同解除的支付。</w:t>
      </w:r>
    </w:p>
    <w:p w14:paraId="3F8D1D18">
      <w:pPr>
        <w:pStyle w:val="15"/>
        <w:adjustRightInd w:val="0"/>
        <w:snapToGrid w:val="0"/>
        <w:spacing w:line="420" w:lineRule="exact"/>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31891D87">
      <w:pPr>
        <w:pStyle w:val="15"/>
        <w:tabs>
          <w:tab w:val="left" w:pos="540"/>
        </w:tabs>
        <w:adjustRightInd w:val="0"/>
        <w:snapToGrid w:val="0"/>
        <w:spacing w:before="240" w:beforeLines="100" w:line="420" w:lineRule="exact"/>
        <w:outlineLvl w:val="2"/>
        <w:rPr>
          <w:rFonts w:hint="default" w:ascii="Times New Roman" w:hAnsi="Times New Roman" w:cs="Times New Roman"/>
          <w:b/>
          <w:bCs/>
          <w:color w:val="auto"/>
          <w:sz w:val="22"/>
          <w:szCs w:val="22"/>
          <w:highlight w:val="none"/>
        </w:rPr>
      </w:pPr>
      <w:bookmarkStart w:id="297" w:name="_Toc469384078"/>
      <w:bookmarkStart w:id="298" w:name="_Toc28373"/>
      <w:r>
        <w:rPr>
          <w:rFonts w:hint="default" w:ascii="Times New Roman" w:hAnsi="Times New Roman" w:cs="Times New Roman"/>
          <w:b/>
          <w:bCs/>
          <w:color w:val="auto"/>
          <w:sz w:val="22"/>
          <w:szCs w:val="22"/>
          <w:highlight w:val="none"/>
        </w:rPr>
        <w:t>96  禁止转让</w:t>
      </w:r>
      <w:bookmarkEnd w:id="297"/>
      <w:bookmarkEnd w:id="298"/>
    </w:p>
    <w:p w14:paraId="46D84ACC">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96.1     </w:t>
      </w:r>
    </w:p>
    <w:p w14:paraId="28180E8B">
      <w:pPr>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70912" behindDoc="0" locked="0" layoutInCell="1" allowOverlap="1">
                <wp:simplePos x="0" y="0"/>
                <wp:positionH relativeFrom="column">
                  <wp:posOffset>-114300</wp:posOffset>
                </wp:positionH>
                <wp:positionV relativeFrom="paragraph">
                  <wp:posOffset>15875</wp:posOffset>
                </wp:positionV>
                <wp:extent cx="800100" cy="297180"/>
                <wp:effectExtent l="0" t="0" r="0" b="0"/>
                <wp:wrapNone/>
                <wp:docPr id="418" name="文本框 418"/>
                <wp:cNvGraphicFramePr/>
                <a:graphic xmlns:a="http://schemas.openxmlformats.org/drawingml/2006/main">
                  <a:graphicData uri="http://schemas.microsoft.com/office/word/2010/wordprocessingShape">
                    <wps:wsp>
                      <wps:cNvSpPr txBox="1"/>
                      <wps:spPr>
                        <a:xfrm>
                          <a:off x="0" y="0"/>
                          <a:ext cx="800100" cy="297180"/>
                        </a:xfrm>
                        <a:prstGeom prst="rect">
                          <a:avLst/>
                        </a:prstGeom>
                        <a:noFill/>
                        <a:ln>
                          <a:noFill/>
                        </a:ln>
                        <a:effectLst/>
                      </wps:spPr>
                      <wps:txbx>
                        <w:txbxContent>
                          <w:p w14:paraId="4CC11D2B">
                            <w:pPr>
                              <w:spacing w:line="240" w:lineRule="exact"/>
                              <w:rPr>
                                <w:rFonts w:ascii="宋体" w:cs="Times New Roman"/>
                                <w:b/>
                                <w:bCs/>
                                <w:sz w:val="18"/>
                                <w:szCs w:val="18"/>
                              </w:rPr>
                            </w:pPr>
                            <w:r>
                              <w:rPr>
                                <w:rFonts w:hint="eastAsia" w:ascii="楷体_GB2312" w:hAnsi="宋体" w:eastAsia="楷体_GB2312" w:cs="楷体_GB2312"/>
                                <w:b/>
                                <w:bCs/>
                                <w:sz w:val="18"/>
                                <w:szCs w:val="18"/>
                              </w:rPr>
                              <w:t>履行合同</w:t>
                            </w:r>
                          </w:p>
                        </w:txbxContent>
                      </wps:txbx>
                      <wps:bodyPr wrap="square" upright="1"/>
                    </wps:wsp>
                  </a:graphicData>
                </a:graphic>
              </wp:anchor>
            </w:drawing>
          </mc:Choice>
          <mc:Fallback>
            <w:pict>
              <v:shape id="_x0000_s1026" o:spid="_x0000_s1026" o:spt="202" type="#_x0000_t202" style="position:absolute;left:0pt;margin-left:-9pt;margin-top:1.25pt;height:23.4pt;width:63pt;z-index:252070912;mso-width-relative:page;mso-height-relative:page;" filled="f" stroked="f" coordsize="21600,21600" o:gfxdata="UEsDBAoAAAAAAIdO4kAAAAAAAAAAAAAAAAAEAAAAZHJzL1BLAwQUAAAACACHTuJARYdskdUAAAAI&#10;AQAADwAAAGRycy9kb3ducmV2LnhtbE2PzU7DMBCE70i8g7VIvbV2+qc2zaYHEFcQbUHqzY23SUS8&#10;jmK3CW+Pc4LjaEYz32T7wTbiTp2vHSMkMwWCuHCm5hLhdHydbkD4oNnoxjEh/JCHff74kOnUuJ4/&#10;6H4IpYgl7FONUIXQplL6oiKr/cy1xNG7us7qEGVXStPpPpbbRs6VWkura44LlW7puaLi+3CzCJ9v&#10;1/PXUr2XL3bV9m5Qku1WIk6eErUDEWgIf2EY8SM65JHp4m5svGgQpskmfgkI8xWI0VejviAstwuQ&#10;eSb/H8h/AVBLAwQUAAAACACHTuJAlyHaOLwBAABtAwAADgAAAGRycy9lMm9Eb2MueG1srVNLbtsw&#10;EN0X6B0I7mvJRtG6guUAgZFuirZAkgPQ1NAiIH7KoS35Au0Nuuqm+5zL58iQUpw03WSRDTWcz+O8&#10;N6PVxWA6doCA2tmaz2clZ2Cla7Td1fz25urdkjOMwjaicxZqfgTkF+u3b1a9r2DhWtc1EBiBWKx6&#10;X/M2Rl8VBcoWjMCZ82ApqFwwItI17IomiJ7QTVcsyvJD0bvQ+OAkIJJ3Mwb5hBheAuiU0hI2Tu4N&#10;2DiiBuhEJErYao98nbtVCmT8phRCZF3NiWnMJz1C9jadxXolql0QvtVyakG8pIVnnIzQlh49Q21E&#10;FGwf9H9QRsvg0Kk4k84UI5GsCLGYl8+0uW6Fh8yFpEZ/Fh1fD1Z+PXwPTDc1fz+nwVthaOSn379O&#10;f+5Of3+y5CSJeo8VZV57yo3DpRtocR78SM7EfFDBpC9xYhQngY9ngWGITJJzWRJJikgKLT59nC/z&#10;AIrHYh8wfgZnWDJqHmh+WVZx+IKRGqHUh5T0lnVXuuvyDDv7j4MSRw/kJZiqE4+x32TFYTtM5Lau&#10;ORK3nhah5vhjLwJwtvdB71pqI3MtUglNITcxbUwa89M72U//kvU9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RYdskdUAAAAIAQAADwAAAAAAAAABACAAAAAiAAAAZHJzL2Rvd25yZXYueG1sUEsBAhQA&#10;FAAAAAgAh07iQJch2ji8AQAAbQMAAA4AAAAAAAAAAQAgAAAAJAEAAGRycy9lMm9Eb2MueG1sUEsF&#10;BgAAAAAGAAYAWQEAAFIFAAAAAA==&#10;">
                <v:fill on="f" focussize="0,0"/>
                <v:stroke on="f"/>
                <v:imagedata o:title=""/>
                <o:lock v:ext="edit" aspectratio="f"/>
                <v:textbox>
                  <w:txbxContent>
                    <w:p w14:paraId="4CC11D2B">
                      <w:pPr>
                        <w:spacing w:line="240" w:lineRule="exact"/>
                        <w:rPr>
                          <w:rFonts w:ascii="宋体" w:cs="Times New Roman"/>
                          <w:b/>
                          <w:bCs/>
                          <w:sz w:val="18"/>
                          <w:szCs w:val="18"/>
                        </w:rPr>
                      </w:pPr>
                      <w:r>
                        <w:rPr>
                          <w:rFonts w:hint="eastAsia" w:ascii="楷体_GB2312" w:hAnsi="宋体" w:eastAsia="楷体_GB2312" w:cs="楷体_GB2312"/>
                          <w:b/>
                          <w:bCs/>
                          <w:sz w:val="18"/>
                          <w:szCs w:val="18"/>
                        </w:rPr>
                        <w:t>履行合同</w:t>
                      </w:r>
                    </w:p>
                  </w:txbxContent>
                </v:textbox>
              </v:shape>
            </w:pict>
          </mc:Fallback>
        </mc:AlternateContent>
      </w:r>
      <w:r>
        <w:rPr>
          <w:rFonts w:hint="default" w:ascii="Times New Roman" w:hAnsi="Times New Roman" w:cs="Times New Roman"/>
          <w:color w:val="auto"/>
          <w:sz w:val="22"/>
          <w:szCs w:val="22"/>
          <w:highlight w:val="none"/>
        </w:rPr>
        <w:t>本合同一经签署，合同双方当事人均应按照本合同规定行使各自的权利、履行各自的义务。</w:t>
      </w:r>
    </w:p>
    <w:p w14:paraId="02FC86E8">
      <w:pPr>
        <w:pStyle w:val="15"/>
        <w:adjustRightInd w:val="0"/>
        <w:snapToGrid w:val="0"/>
        <w:spacing w:line="420" w:lineRule="exact"/>
        <w:rPr>
          <w:rFonts w:hint="default" w:ascii="Times New Roman" w:hAnsi="Times New Roman" w:cs="Times New Roman"/>
          <w:b/>
          <w:bCs/>
          <w:color w:val="auto"/>
          <w:sz w:val="22"/>
          <w:szCs w:val="22"/>
          <w:highlight w:val="none"/>
          <w:u w:val="dotted"/>
        </w:rPr>
      </w:pPr>
      <w:r>
        <w:rPr>
          <w:rFonts w:hint="default" w:ascii="Times New Roman" w:hAnsi="Times New Roman" w:cs="Times New Roman"/>
          <w:b/>
          <w:bCs/>
          <w:color w:val="auto"/>
          <w:sz w:val="22"/>
          <w:szCs w:val="22"/>
          <w:highlight w:val="none"/>
        </w:rPr>
        <w:t xml:space="preserve">96.2  </w:t>
      </w:r>
      <w:r>
        <w:rPr>
          <w:rFonts w:hint="default" w:ascii="Times New Roman" w:hAnsi="Times New Roman" w:cs="Times New Roman"/>
          <w:b/>
          <w:bCs/>
          <w:color w:val="auto"/>
          <w:sz w:val="22"/>
          <w:szCs w:val="22"/>
          <w:highlight w:val="none"/>
          <w:u w:val="dotted"/>
        </w:rPr>
        <w:t xml:space="preserve">                                                                                                       </w:t>
      </w:r>
    </w:p>
    <w:p w14:paraId="5B9B56D2">
      <w:pPr>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71936" behindDoc="0" locked="0" layoutInCell="1" allowOverlap="1">
                <wp:simplePos x="0" y="0"/>
                <wp:positionH relativeFrom="column">
                  <wp:posOffset>-114300</wp:posOffset>
                </wp:positionH>
                <wp:positionV relativeFrom="paragraph">
                  <wp:posOffset>98425</wp:posOffset>
                </wp:positionV>
                <wp:extent cx="800100" cy="297180"/>
                <wp:effectExtent l="0" t="0" r="0" b="0"/>
                <wp:wrapNone/>
                <wp:docPr id="419" name="文本框 419"/>
                <wp:cNvGraphicFramePr/>
                <a:graphic xmlns:a="http://schemas.openxmlformats.org/drawingml/2006/main">
                  <a:graphicData uri="http://schemas.microsoft.com/office/word/2010/wordprocessingShape">
                    <wps:wsp>
                      <wps:cNvSpPr txBox="1"/>
                      <wps:spPr>
                        <a:xfrm>
                          <a:off x="0" y="0"/>
                          <a:ext cx="800100" cy="297180"/>
                        </a:xfrm>
                        <a:prstGeom prst="rect">
                          <a:avLst/>
                        </a:prstGeom>
                        <a:noFill/>
                        <a:ln>
                          <a:noFill/>
                        </a:ln>
                        <a:effectLst/>
                      </wps:spPr>
                      <wps:txbx>
                        <w:txbxContent>
                          <w:p w14:paraId="59869EFA">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不得转让</w:t>
                            </w:r>
                          </w:p>
                        </w:txbxContent>
                      </wps:txbx>
                      <wps:bodyPr wrap="square" upright="1"/>
                    </wps:wsp>
                  </a:graphicData>
                </a:graphic>
              </wp:anchor>
            </w:drawing>
          </mc:Choice>
          <mc:Fallback>
            <w:pict>
              <v:shape id="_x0000_s1026" o:spid="_x0000_s1026" o:spt="202" type="#_x0000_t202" style="position:absolute;left:0pt;margin-left:-9pt;margin-top:7.75pt;height:23.4pt;width:63pt;z-index:252071936;mso-width-relative:page;mso-height-relative:page;" filled="f" stroked="f" coordsize="21600,21600" o:gfxdata="UEsDBAoAAAAAAIdO4kAAAAAAAAAAAAAAAAAEAAAAZHJzL1BLAwQUAAAACACHTuJAAEeyaNYAAAAJ&#10;AQAADwAAAGRycy9kb3ducmV2LnhtbE2PzW7CMBCE75X6DtZW4gZ2aINoGocDqFdQ6Y/U2xIvSdR4&#10;HcWGhLevc2qPOzOa/SbfjLYVV+p941hDslAgiEtnGq40fLy/ztcgfEA22DomDTfysCnu73LMjBv4&#10;ja7HUIlYwj5DDXUIXSalL2uy6BeuI47e2fUWQzz7Spoeh1huW7lUaiUtNhw/1NjRtqby53ixGj73&#10;5++vJ3WodjbtBjcqyfZZaj17SNQLiEBj+AvDhB/RoYhMJ3dh40WrYZ6s45YQjTQFMQXUJJw0rJaP&#10;IItc/l9Q/AJQSwMEFAAAAAgAh07iQGXeGMS9AQAAbQMAAA4AAABkcnMvZTJvRG9jLnhtbK1TS27b&#10;MBDdF+gdCO5jyUbQOILlAIGRboqmQNoD0NTQIiB+wqEt+QLtDbrqpvuey+fokFLcNN1k0Q01nM/j&#10;vDej1c1gOnaAgNrZms9nJWdgpWu03dX8y+e7iyVnGIVtROcs1PwIyG/Wb9+sel/BwrWuayAwArFY&#10;9b7mbYy+KgqULRiBM+fBUlC5YESka9gVTRA9oZuuWJTlu6J3ofHBSUAk72YM8gkxvAbQKaUlbJzc&#10;G7BxRA3QiUiUsNUe+Tp3qxTIeK8UQmRdzYlpzCc9QvY2ncV6JapdEL7VcmpBvKaFF5yM0JYePUNt&#10;RBRsH/Q/UEbL4NCpOJPOFCORrAixmJcvtHlohYfMhaRGfxYd/x+s/Hj4FJhuan45v+bMCkMjP33/&#10;dvrx6/TzK0tOkqj3WFHmg6fcONy6gRbnyY/kTMwHFUz6EidGcRL4eBYYhsgkOZclkaSIpNDi+mq+&#10;zAMo/hT7gPE9OMOSUfNA88uyisMHjNQIpT6lpLesu9Ndl2fY2b8clDh6IC/BVJ14jP0mKw7bYSK3&#10;dc2RuPW0CDXHx70IwNneB71rqY3MtUglNIXcxLQxaczP72Q//0v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AR7Jo1gAAAAkBAAAPAAAAAAAAAAEAIAAAACIAAABkcnMvZG93bnJldi54bWxQSwEC&#10;FAAUAAAACACHTuJAZd4YxL0BAABtAwAADgAAAAAAAAABACAAAAAlAQAAZHJzL2Uyb0RvYy54bWxQ&#10;SwUGAAAAAAYABgBZAQAAVAUAAAAA&#10;">
                <v:fill on="f" focussize="0,0"/>
                <v:stroke on="f"/>
                <v:imagedata o:title=""/>
                <o:lock v:ext="edit" aspectratio="f"/>
                <v:textbox>
                  <w:txbxContent>
                    <w:p w14:paraId="59869EFA">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不得转让</w:t>
                      </w:r>
                    </w:p>
                  </w:txbxContent>
                </v:textbox>
              </v:shape>
            </w:pict>
          </mc:Fallback>
        </mc:AlternateContent>
      </w:r>
      <w:r>
        <w:rPr>
          <w:rFonts w:hint="default" w:ascii="Times New Roman" w:hAnsi="Times New Roman" w:cs="Times New Roman"/>
          <w:color w:val="auto"/>
          <w:sz w:val="22"/>
          <w:szCs w:val="22"/>
          <w:highlight w:val="none"/>
        </w:rPr>
        <w:t>除合同另有约定外，未经另一方当事人同意，合同一方当事人不得将本合同的全部或部分权利、义务转让给第三方。</w:t>
      </w:r>
    </w:p>
    <w:p w14:paraId="63EB0ABA">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u w:val="single"/>
        </w:rPr>
        <w:t xml:space="preserve">                                                                                </w:t>
      </w:r>
    </w:p>
    <w:p w14:paraId="5BCFADC6">
      <w:pPr>
        <w:pStyle w:val="15"/>
        <w:tabs>
          <w:tab w:val="left" w:pos="540"/>
        </w:tabs>
        <w:adjustRightInd w:val="0"/>
        <w:snapToGrid w:val="0"/>
        <w:spacing w:before="240" w:beforeLines="100" w:line="420" w:lineRule="exact"/>
        <w:outlineLvl w:val="2"/>
        <w:rPr>
          <w:rFonts w:hint="default" w:ascii="Times New Roman" w:hAnsi="Times New Roman" w:cs="Times New Roman"/>
          <w:b/>
          <w:bCs/>
          <w:color w:val="auto"/>
          <w:sz w:val="22"/>
          <w:szCs w:val="22"/>
          <w:highlight w:val="none"/>
        </w:rPr>
      </w:pPr>
      <w:bookmarkStart w:id="299" w:name="_Toc11132"/>
      <w:bookmarkStart w:id="300" w:name="_Toc469384079"/>
      <w:r>
        <w:rPr>
          <w:rFonts w:hint="default" w:ascii="Times New Roman" w:hAnsi="Times New Roman" w:cs="Times New Roman"/>
          <w:b/>
          <w:bCs/>
          <w:color w:val="auto"/>
          <w:sz w:val="22"/>
          <w:szCs w:val="22"/>
          <w:highlight w:val="none"/>
        </w:rPr>
        <w:t>97  合同份数</w:t>
      </w:r>
      <w:bookmarkEnd w:id="299"/>
      <w:bookmarkEnd w:id="300"/>
    </w:p>
    <w:p w14:paraId="4E4FCEAE">
      <w:pPr>
        <w:pStyle w:val="15"/>
        <w:adjustRightInd w:val="0"/>
        <w:snapToGrid w:val="0"/>
        <w:spacing w:line="420" w:lineRule="exact"/>
        <w:ind w:left="1449" w:hanging="1444" w:hangingChars="656"/>
        <w:rPr>
          <w:rFonts w:hint="default" w:ascii="Times New Roman" w:hAnsi="Times New Roman" w:cs="Times New Roman"/>
          <w:b/>
          <w:bCs/>
          <w:color w:val="auto"/>
          <w:sz w:val="22"/>
          <w:szCs w:val="22"/>
          <w:highlight w:val="none"/>
        </w:rPr>
      </w:pPr>
    </w:p>
    <w:p w14:paraId="6C104404">
      <w:pPr>
        <w:pStyle w:val="15"/>
        <w:adjustRightInd w:val="0"/>
        <w:snapToGrid w:val="0"/>
        <w:spacing w:line="420" w:lineRule="exact"/>
        <w:ind w:left="1449" w:hanging="1444" w:hangingChars="656"/>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rPr>
        <w:t xml:space="preserve">97.1        </w:t>
      </w:r>
    </w:p>
    <w:p w14:paraId="23343865">
      <w:pPr>
        <w:pStyle w:val="15"/>
        <w:adjustRightInd w:val="0"/>
        <w:snapToGrid w:val="0"/>
        <w:spacing w:line="420" w:lineRule="exact"/>
        <w:ind w:left="1682" w:leftChars="800" w:hanging="2"/>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72960" behindDoc="0" locked="0" layoutInCell="1" allowOverlap="1">
                <wp:simplePos x="0" y="0"/>
                <wp:positionH relativeFrom="column">
                  <wp:posOffset>-66675</wp:posOffset>
                </wp:positionH>
                <wp:positionV relativeFrom="paragraph">
                  <wp:posOffset>10160</wp:posOffset>
                </wp:positionV>
                <wp:extent cx="914400" cy="396240"/>
                <wp:effectExtent l="0" t="0" r="0" b="0"/>
                <wp:wrapNone/>
                <wp:docPr id="420" name="文本框 420"/>
                <wp:cNvGraphicFramePr/>
                <a:graphic xmlns:a="http://schemas.openxmlformats.org/drawingml/2006/main">
                  <a:graphicData uri="http://schemas.microsoft.com/office/word/2010/wordprocessingShape">
                    <wps:wsp>
                      <wps:cNvSpPr txBox="1"/>
                      <wps:spPr>
                        <a:xfrm>
                          <a:off x="0" y="0"/>
                          <a:ext cx="914400" cy="396240"/>
                        </a:xfrm>
                        <a:prstGeom prst="rect">
                          <a:avLst/>
                        </a:prstGeom>
                        <a:noFill/>
                        <a:ln>
                          <a:noFill/>
                        </a:ln>
                        <a:effectLst/>
                      </wps:spPr>
                      <wps:txbx>
                        <w:txbxContent>
                          <w:p w14:paraId="671FC529">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约定提供合同文本</w:t>
                            </w:r>
                          </w:p>
                        </w:txbxContent>
                      </wps:txbx>
                      <wps:bodyPr wrap="square" upright="1"/>
                    </wps:wsp>
                  </a:graphicData>
                </a:graphic>
              </wp:anchor>
            </w:drawing>
          </mc:Choice>
          <mc:Fallback>
            <w:pict>
              <v:shape id="_x0000_s1026" o:spid="_x0000_s1026" o:spt="202" type="#_x0000_t202" style="position:absolute;left:0pt;margin-left:-5.25pt;margin-top:0.8pt;height:31.2pt;width:72pt;z-index:252072960;mso-width-relative:page;mso-height-relative:page;" filled="f" stroked="f" coordsize="21600,21600" o:gfxdata="UEsDBAoAAAAAAIdO4kAAAAAAAAAAAAAAAAAEAAAAZHJzL1BLAwQUAAAACACHTuJAAliH8dQAAAAI&#10;AQAADwAAAGRycy9kb3ducmV2LnhtbE2Py07DMBBF90j8gzVI7Fo7tI0gxOkCxBZEeUjspvE0iYjH&#10;Uew24e+ZrmB5da7unCm3s+/VicbYBbaQLQ0o4jq4jhsL729Pi1tQMSE77AOThR+KsK0uL0osXJj4&#10;lU671CgZ4VighTalodA61i15jMswEAs7hNFjkjg22o04ybjv9Y0xufbYsVxocaCHlurv3dFb+Hg+&#10;fH2uzUvz6DfDFGaj2d9pa6+vMnMPKtGc/spw1hd1qMRpH47souotLDKzkaqAHNSZr1aS9xbytQFd&#10;lfr/A9UvUEsDBBQAAAAIAIdO4kBZ7dxlvAEAAG0DAAAOAAAAZHJzL2Uyb0RvYy54bWytU0tu2zAQ&#10;3RfIHQjuY8muETSC5QCFkW6KtkDaA9DU0CIgfsqhLfkC7Q266qb7nsvn6JBSnN8mi26o4Xwe570Z&#10;rW4G07EDBNTO1nw+KzkDK12j7a7m377eXr7jDKOwjeichZofAfnN+uLNqvcVLFzrugYCIxCLVe9r&#10;3sboq6JA2YIROHMeLAWVC0ZEuoZd0QTRE7rpikVZXhW9C40PTgIieTdjkE+I4TWATiktYePk3oCN&#10;I2qATkSihK32yNe5W6VAxs9KIUTW1ZyYxnzSI2Rv01msV6LaBeFbLacWxGtaeMbJCG3p0TPURkTB&#10;9kG/gDJaBodOxZl0phiJZEWIxbx8ps1dKzxkLiQ1+rPo+P9g5afDl8B0U/PlgjSxwtDIT79+nn7/&#10;Pf35wZKTJOo9VpR55yk3Du/dQItz70dyJuaDCiZ9iROjOIEdzwLDEJkk5/V8uSwpIin09vpqsczo&#10;xUOxDxg/gDMsGTUPNL8sqzh8xEiNUOp9SnrLulvddXmGnX3ioMTRA3kJpurEY+w3WXHYDhO5rWuO&#10;xK2nRag5ft+LAJztfdC7ltrIXItUQlPITUwbk8b8+E72479k/Q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CWIfx1AAAAAgBAAAPAAAAAAAAAAEAIAAAACIAAABkcnMvZG93bnJldi54bWxQSwECFAAU&#10;AAAACACHTuJAWe3cZbwBAABtAwAADgAAAAAAAAABACAAAAAjAQAAZHJzL2Uyb0RvYy54bWxQSwUG&#10;AAAAAAYABgBZAQAAUQUAAAAA&#10;">
                <v:fill on="f" focussize="0,0"/>
                <v:stroke on="f"/>
                <v:imagedata o:title=""/>
                <o:lock v:ext="edit" aspectratio="f"/>
                <v:textbox>
                  <w:txbxContent>
                    <w:p w14:paraId="671FC529">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约定提供合同文本</w:t>
                      </w:r>
                    </w:p>
                  </w:txbxContent>
                </v:textbox>
              </v:shape>
            </w:pict>
          </mc:Fallback>
        </mc:AlternateContent>
      </w:r>
      <w:r>
        <w:rPr>
          <w:rFonts w:hint="default" w:ascii="Times New Roman" w:hAnsi="Times New Roman" w:cs="Times New Roman"/>
          <w:color w:val="auto"/>
          <w:sz w:val="22"/>
          <w:szCs w:val="22"/>
          <w:highlight w:val="none"/>
        </w:rPr>
        <w:t>除专用条款另有约定外，发包人应按照第94.2款规定的份数免费为承包人提供合同文本。</w:t>
      </w:r>
    </w:p>
    <w:p w14:paraId="24657ECB">
      <w:pPr>
        <w:pStyle w:val="15"/>
        <w:adjustRightInd w:val="0"/>
        <w:snapToGrid w:val="0"/>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b/>
          <w:bCs/>
          <w:color w:val="auto"/>
          <w:sz w:val="22"/>
          <w:szCs w:val="22"/>
          <w:highlight w:val="none"/>
        </w:rPr>
        <w:t xml:space="preserve">97.2  </w:t>
      </w:r>
      <w:r>
        <w:rPr>
          <w:rFonts w:hint="default" w:ascii="Times New Roman" w:hAnsi="Times New Roman" w:cs="Times New Roman"/>
          <w:b/>
          <w:bCs/>
          <w:color w:val="auto"/>
          <w:sz w:val="22"/>
          <w:szCs w:val="22"/>
          <w:highlight w:val="none"/>
          <w:u w:val="dotted"/>
        </w:rPr>
        <w:t xml:space="preserve"> </w:t>
      </w:r>
      <w:r>
        <w:rPr>
          <w:rFonts w:hint="default" w:ascii="Times New Roman" w:hAnsi="Times New Roman" w:cs="Times New Roman"/>
          <w:color w:val="auto"/>
          <w:sz w:val="22"/>
          <w:szCs w:val="22"/>
          <w:highlight w:val="none"/>
          <w:u w:val="dotted"/>
        </w:rPr>
        <w:t xml:space="preserve">                                                                                                       </w:t>
      </w:r>
    </w:p>
    <w:p w14:paraId="7A89C4C4">
      <w:pPr>
        <w:pStyle w:val="15"/>
        <w:adjustRightInd w:val="0"/>
        <w:snapToGrid w:val="0"/>
        <w:spacing w:line="420" w:lineRule="exact"/>
        <w:ind w:left="1619" w:leftChars="771"/>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73984" behindDoc="0" locked="0" layoutInCell="1" allowOverlap="1">
                <wp:simplePos x="0" y="0"/>
                <wp:positionH relativeFrom="column">
                  <wp:posOffset>-114300</wp:posOffset>
                </wp:positionH>
                <wp:positionV relativeFrom="paragraph">
                  <wp:posOffset>8255</wp:posOffset>
                </wp:positionV>
                <wp:extent cx="800100" cy="299720"/>
                <wp:effectExtent l="0" t="0" r="0" b="0"/>
                <wp:wrapNone/>
                <wp:docPr id="421" name="文本框 421"/>
                <wp:cNvGraphicFramePr/>
                <a:graphic xmlns:a="http://schemas.openxmlformats.org/drawingml/2006/main">
                  <a:graphicData uri="http://schemas.microsoft.com/office/word/2010/wordprocessingShape">
                    <wps:wsp>
                      <wps:cNvSpPr txBox="1"/>
                      <wps:spPr>
                        <a:xfrm>
                          <a:off x="0" y="0"/>
                          <a:ext cx="800100" cy="299720"/>
                        </a:xfrm>
                        <a:prstGeom prst="rect">
                          <a:avLst/>
                        </a:prstGeom>
                        <a:noFill/>
                        <a:ln>
                          <a:noFill/>
                        </a:ln>
                        <a:effectLst/>
                      </wps:spPr>
                      <wps:txbx>
                        <w:txbxContent>
                          <w:p w14:paraId="2ED7C126">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正副本效力</w:t>
                            </w:r>
                          </w:p>
                        </w:txbxContent>
                      </wps:txbx>
                      <wps:bodyPr wrap="square" upright="1"/>
                    </wps:wsp>
                  </a:graphicData>
                </a:graphic>
              </wp:anchor>
            </w:drawing>
          </mc:Choice>
          <mc:Fallback>
            <w:pict>
              <v:shape id="_x0000_s1026" o:spid="_x0000_s1026" o:spt="202" type="#_x0000_t202" style="position:absolute;left:0pt;margin-left:-9pt;margin-top:0.65pt;height:23.6pt;width:63pt;z-index:252073984;mso-width-relative:page;mso-height-relative:page;" filled="f" stroked="f" coordsize="21600,21600" o:gfxdata="UEsDBAoAAAAAAIdO4kAAAAAAAAAAAAAAAAAEAAAAZHJzL1BLAwQUAAAACACHTuJAjH92+tQAAAAI&#10;AQAADwAAAGRycy9kb3ducmV2LnhtbE2PwU7DMBBE70j8g7VI3Np1SlulIU4PRVxBtAWpNzfeJhHx&#10;OordJvw9zgmOo7eafZNvR9uKG/W+cawgmUsQxKUzDVcKjofXWQrCB81Gt45JwQ952Bb3d7nOjBv4&#10;g277UIlYwj7TCuoQugzRlzVZ7eeuI47s4nqrQ4x9habXQyy3LS6kXKPVDccPte5oV1P5vb9aBZ9v&#10;l9PXUr5XL3bVDW6UyHaDSj0+JPIZRKAx/B3DpB/VoYhOZ3dl40WrYJakcUuI4AnExOWUzwqW6Qqw&#10;yPH/gOIXUEsDBBQAAAAIAIdO4kC1WeBgvAEAAG0DAAAOAAAAZHJzL2Uyb0RvYy54bWytU0tu2zAQ&#10;3RfoHQjua8lC0SaC5QCFkW6KtkDSA9DU0CIgfsqhLfkCzQ2y6qb7nsvnyJBS3DTdZNENNZzP47w3&#10;o9XVaHp2gIDa2YYvFyVnYKVrtd01/Nvt9ZsLzjAK24reWWj4EZBfrV+/Wg2+hsp1rm8hMAKxWA++&#10;4V2Mvi4KlB0YgQvnwVJQuWBEpGvYFW0QA6GbvqjK8l0xuND64CQgknczBfmMGF4C6JTSEjZO7g3Y&#10;OKEG6EUkSthpj3ydu1UKZPyiFEJkfcOJacwnPUL2Np3FeiXqXRC+03JuQbykhWecjNCWHj1DbUQU&#10;bB/0P1BGy+DQqbiQzhQTkawIsViWz7S56YSHzIWkRn8WHf8frPx8+BqYbhv+tlpyZoWhkZ/u704/&#10;f59+/WDJSRINHmvKvPGUG8cPbqTFefQjORPzUQWTvsSJUZwEPp4FhjEySc6LkkhSRFKourx8X+UB&#10;FH+KfcD4EZxhyWh4oPllWcXhE0ZqhFIfU9Jb1l3rvs8z7O1fDkqcPJCXYK5OPKZ+kxXH7TiT27r2&#10;SNwGWoSG4/e9CMDZ3ge966iNzLVIJTSF3MS8MWnMT+9kP/1L1g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CMf3b61AAAAAgBAAAPAAAAAAAAAAEAIAAAACIAAABkcnMvZG93bnJldi54bWxQSwECFAAU&#10;AAAACACHTuJAtVngYLwBAABtAwAADgAAAAAAAAABACAAAAAjAQAAZHJzL2Uyb0RvYy54bWxQSwUG&#10;AAAAAAYABgBZAQAAUQUAAAAA&#10;">
                <v:fill on="f" focussize="0,0"/>
                <v:stroke on="f"/>
                <v:imagedata o:title=""/>
                <o:lock v:ext="edit" aspectratio="f"/>
                <v:textbox>
                  <w:txbxContent>
                    <w:p w14:paraId="2ED7C126">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正副本效力</w:t>
                      </w:r>
                    </w:p>
                  </w:txbxContent>
                </v:textbox>
              </v:shape>
            </w:pict>
          </mc:Fallback>
        </mc:AlternateContent>
      </w:r>
      <w:r>
        <w:rPr>
          <w:rFonts w:hint="default" w:ascii="Times New Roman" w:hAnsi="Times New Roman" w:cs="Times New Roman"/>
          <w:color w:val="auto"/>
          <w:sz w:val="22"/>
          <w:szCs w:val="22"/>
          <w:highlight w:val="none"/>
        </w:rPr>
        <w:t>本合同正、副本份数，由合同双方当事人根据需要在专用条款中约定。正本与副本具有同等效力，当正本与副本不一致时，以正本为准。</w:t>
      </w:r>
    </w:p>
    <w:p w14:paraId="3045DCAD">
      <w:pPr>
        <w:pStyle w:val="15"/>
        <w:adjustRightInd w:val="0"/>
        <w:snapToGrid w:val="0"/>
        <w:spacing w:line="420" w:lineRule="exact"/>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3D7EF05C">
      <w:pPr>
        <w:pStyle w:val="15"/>
        <w:adjustRightInd w:val="0"/>
        <w:snapToGrid w:val="0"/>
        <w:spacing w:line="420" w:lineRule="exact"/>
        <w:outlineLvl w:val="2"/>
        <w:rPr>
          <w:rFonts w:hint="default" w:ascii="Times New Roman" w:hAnsi="Times New Roman" w:cs="Times New Roman"/>
          <w:b/>
          <w:bCs/>
          <w:color w:val="auto"/>
          <w:sz w:val="22"/>
          <w:szCs w:val="22"/>
          <w:highlight w:val="none"/>
        </w:rPr>
      </w:pPr>
      <w:bookmarkStart w:id="301" w:name="_Toc469384080"/>
      <w:bookmarkStart w:id="302" w:name="_Toc4552"/>
      <w:r>
        <w:rPr>
          <w:rFonts w:hint="default" w:ascii="Times New Roman" w:hAnsi="Times New Roman" w:cs="Times New Roman"/>
          <w:b/>
          <w:bCs/>
          <w:color w:val="auto"/>
          <w:sz w:val="22"/>
          <w:szCs w:val="22"/>
          <w:highlight w:val="none"/>
        </w:rPr>
        <w:t>98  合同</w:t>
      </w:r>
      <w:bookmarkEnd w:id="301"/>
      <w:r>
        <w:rPr>
          <w:rFonts w:hint="default" w:ascii="Times New Roman" w:hAnsi="Times New Roman" w:cs="Times New Roman"/>
          <w:b/>
          <w:bCs/>
          <w:color w:val="auto"/>
          <w:sz w:val="22"/>
          <w:szCs w:val="22"/>
          <w:highlight w:val="none"/>
        </w:rPr>
        <w:t>管理</w:t>
      </w:r>
      <w:bookmarkEnd w:id="302"/>
    </w:p>
    <w:p w14:paraId="18E04D70">
      <w:pPr>
        <w:pStyle w:val="15"/>
        <w:adjustRightInd w:val="0"/>
        <w:snapToGrid w:val="0"/>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color w:val="auto"/>
          <w:sz w:val="22"/>
          <w:szCs w:val="22"/>
          <w:highlight w:val="none"/>
        </w:rPr>
        <mc:AlternateContent>
          <mc:Choice Requires="wps">
            <w:drawing>
              <wp:anchor distT="0" distB="0" distL="114300" distR="114300" simplePos="0" relativeHeight="252075008" behindDoc="0" locked="0" layoutInCell="1" allowOverlap="1">
                <wp:simplePos x="0" y="0"/>
                <wp:positionH relativeFrom="column">
                  <wp:posOffset>-114300</wp:posOffset>
                </wp:positionH>
                <wp:positionV relativeFrom="paragraph">
                  <wp:posOffset>208915</wp:posOffset>
                </wp:positionV>
                <wp:extent cx="1039495" cy="529590"/>
                <wp:effectExtent l="0" t="0" r="0" b="0"/>
                <wp:wrapNone/>
                <wp:docPr id="422" name="文本框 422"/>
                <wp:cNvGraphicFramePr/>
                <a:graphic xmlns:a="http://schemas.openxmlformats.org/drawingml/2006/main">
                  <a:graphicData uri="http://schemas.microsoft.com/office/word/2010/wordprocessingShape">
                    <wps:wsp>
                      <wps:cNvSpPr txBox="1"/>
                      <wps:spPr>
                        <a:xfrm>
                          <a:off x="0" y="0"/>
                          <a:ext cx="1039495" cy="529590"/>
                        </a:xfrm>
                        <a:prstGeom prst="rect">
                          <a:avLst/>
                        </a:prstGeom>
                        <a:noFill/>
                        <a:ln>
                          <a:noFill/>
                        </a:ln>
                        <a:effectLst/>
                      </wps:spPr>
                      <wps:txbx>
                        <w:txbxContent>
                          <w:p w14:paraId="2957607F">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合同管理</w:t>
                            </w:r>
                          </w:p>
                          <w:p w14:paraId="39C27F4E">
                            <w:pPr>
                              <w:spacing w:line="240" w:lineRule="exact"/>
                              <w:rPr>
                                <w:rFonts w:ascii="楷体_GB2312" w:hAnsi="宋体" w:eastAsia="楷体_GB2312" w:cs="Times New Roman"/>
                                <w:b/>
                                <w:bCs/>
                                <w:sz w:val="18"/>
                                <w:szCs w:val="18"/>
                              </w:rPr>
                            </w:pPr>
                          </w:p>
                        </w:txbxContent>
                      </wps:txbx>
                      <wps:bodyPr wrap="square" upright="1"/>
                    </wps:wsp>
                  </a:graphicData>
                </a:graphic>
              </wp:anchor>
            </w:drawing>
          </mc:Choice>
          <mc:Fallback>
            <w:pict>
              <v:shape id="_x0000_s1026" o:spid="_x0000_s1026" o:spt="202" type="#_x0000_t202" style="position:absolute;left:0pt;margin-left:-9pt;margin-top:16.45pt;height:41.7pt;width:81.85pt;z-index:252075008;mso-width-relative:page;mso-height-relative:page;" filled="f" stroked="f" coordsize="21600,21600" o:gfxdata="UEsDBAoAAAAAAIdO4kAAAAAAAAAAAAAAAAAEAAAAZHJzL1BLAwQUAAAACACHTuJAS7qs2NgAAAAK&#10;AQAADwAAAGRycy9kb3ducmV2LnhtbE2PS2/CMBCE75X4D9ZW6g3W4VVI43Cg4goqfUi9mXhJosbr&#10;KDYk/fc1J3qb1Yxmv8k2g23ElTpfO1aQTCQI4sKZmksFH++78QqED5qNbhyTgl/ysMlHD5lOjev5&#10;ja7HUIpYwj7VCqoQ2hTRFxVZ7SeuJY7e2XVWh3h2JZpO97HcNjiVcolW1xw/VLqlbUXFz/FiFXzu&#10;z99fc3koX+2i7d0gke0alXp6TOQLiEBDuIfhhh/RIY9MJ3dh40WjYJys4pagYDZdg7gF5otnEKco&#10;kuUMMM/w/4T8D1BLAwQUAAAACACHTuJAY5HSTr4BAABuAwAADgAAAGRycy9lMm9Eb2MueG1srVPN&#10;jtMwEL4j8Q6W79TZsEU0aroSqpYLAqSFB3CdSWMp/sHjNukLwBtw4sKd5+pzMHayZVkue+DijOfn&#10;83zfTNY3o+nZEQJqZ2t+tSg4A6tco+2+5p8/3b54zRlGaRvZOws1PwHym83zZ+vBV1C6zvUNBEYg&#10;FqvB17yL0VdCoOrASFw4D5aCrQtGRrqGvWiCHAjd9KIsildicKHxwSlAJO92CvIZMTwF0LWtVrB1&#10;6mDAxgk1QC8jUcJOe+Sb3G3bgoof2hYhsr7mxDTmkx4he5dOsVnLah+k77SaW5BPaeERJyO1pUcv&#10;UFsZJTsE/Q+U0So4dG1cKGfERCQrQiyuikfa3HXSQ+ZCUqO/iI7/D1a9P34MTDc1vy5Lzqw0NPLz&#10;92/nH7/OP7+y5CSJBo8VZd55yo3jGzfS4tz7kZyJ+dgGk77EiVGcBD5dBIYxMpWKiper69WSM0Wx&#10;ZblarvIExJ9qHzC+BWdYMmoeaIBZV3l8h5E6odT7lPSYdbe67/MQe/uXgxInD+QtmKsTkanhZMVx&#10;N87sdq45EbmBNqHm+OUgA3B28EHvO2ojkxWphMaQm5hXJs354Z3sh7/J5j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BLuqzY2AAAAAoBAAAPAAAAAAAAAAEAIAAAACIAAABkcnMvZG93bnJldi54bWxQ&#10;SwECFAAUAAAACACHTuJAY5HSTr4BAABuAwAADgAAAAAAAAABACAAAAAnAQAAZHJzL2Uyb0RvYy54&#10;bWxQSwUGAAAAAAYABgBZAQAAVwUAAAAA&#10;">
                <v:fill on="f" focussize="0,0"/>
                <v:stroke on="f"/>
                <v:imagedata o:title=""/>
                <o:lock v:ext="edit" aspectratio="f"/>
                <v:textbox>
                  <w:txbxContent>
                    <w:p w14:paraId="2957607F">
                      <w:pPr>
                        <w:spacing w:line="240" w:lineRule="exact"/>
                        <w:rPr>
                          <w:rFonts w:ascii="楷体_GB2312" w:hAnsi="宋体" w:eastAsia="楷体_GB2312" w:cs="Times New Roman"/>
                          <w:b/>
                          <w:bCs/>
                          <w:sz w:val="18"/>
                          <w:szCs w:val="18"/>
                        </w:rPr>
                      </w:pPr>
                      <w:r>
                        <w:rPr>
                          <w:rFonts w:hint="eastAsia" w:ascii="楷体_GB2312" w:hAnsi="宋体" w:eastAsia="楷体_GB2312" w:cs="楷体_GB2312"/>
                          <w:b/>
                          <w:bCs/>
                          <w:sz w:val="18"/>
                          <w:szCs w:val="18"/>
                        </w:rPr>
                        <w:t>合同管理</w:t>
                      </w:r>
                    </w:p>
                    <w:p w14:paraId="39C27F4E">
                      <w:pPr>
                        <w:spacing w:line="240" w:lineRule="exact"/>
                        <w:rPr>
                          <w:rFonts w:ascii="楷体_GB2312" w:hAnsi="宋体" w:eastAsia="楷体_GB2312" w:cs="Times New Roman"/>
                          <w:b/>
                          <w:bCs/>
                          <w:sz w:val="18"/>
                          <w:szCs w:val="18"/>
                        </w:rPr>
                      </w:pPr>
                    </w:p>
                  </w:txbxContent>
                </v:textbox>
              </v:shape>
            </w:pict>
          </mc:Fallback>
        </mc:AlternateContent>
      </w:r>
      <w:r>
        <w:rPr>
          <w:rFonts w:hint="default" w:ascii="Times New Roman" w:hAnsi="Times New Roman" w:cs="Times New Roman"/>
          <w:b/>
          <w:bCs/>
          <w:color w:val="auto"/>
          <w:sz w:val="22"/>
          <w:szCs w:val="22"/>
          <w:highlight w:val="none"/>
        </w:rPr>
        <w:t xml:space="preserve">98.1  </w:t>
      </w:r>
    </w:p>
    <w:p w14:paraId="6E2119D2">
      <w:pPr>
        <w:spacing w:line="420" w:lineRule="exact"/>
        <w:ind w:left="2054" w:leftChars="798" w:hanging="378" w:hangingChars="172"/>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合同双方当事人应按照第22条至第25条的职责划分，督促各自人员认真履行合同</w:t>
      </w:r>
    </w:p>
    <w:p w14:paraId="24FBEA84">
      <w:pPr>
        <w:spacing w:line="420" w:lineRule="exact"/>
        <w:ind w:firstLine="1540" w:firstLineChars="7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管理职责，加强合同管理。</w:t>
      </w:r>
    </w:p>
    <w:p w14:paraId="246C9741">
      <w:pPr>
        <w:spacing w:line="420" w:lineRule="exact"/>
        <w:ind w:left="1690" w:leftChars="700" w:hanging="220" w:hangingChars="1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 xml:space="preserve">  涉及国有资金投资的工程，建设行政主管部门、工程造价管理机构应依据建设行政主管部门存档合同实施合同监督管理；合同双方当事人应随时接受执法人员对本合同的监督管理，并为监督管理活动提供配合和协助。   </w:t>
      </w:r>
    </w:p>
    <w:p w14:paraId="1F7B54C9">
      <w:pPr>
        <w:pStyle w:val="15"/>
        <w:adjustRightInd w:val="0"/>
        <w:snapToGrid w:val="0"/>
        <w:spacing w:line="420" w:lineRule="exact"/>
        <w:jc w:val="left"/>
        <w:rPr>
          <w:rFonts w:hint="default" w:ascii="Times New Roman" w:hAnsi="Times New Roman" w:cs="Times New Roman"/>
          <w:b/>
          <w:bCs/>
          <w:color w:val="auto"/>
          <w:sz w:val="22"/>
          <w:szCs w:val="22"/>
          <w:highlight w:val="none"/>
          <w:u w:val="single"/>
        </w:rPr>
      </w:pPr>
      <w:r>
        <w:rPr>
          <w:rFonts w:hint="default" w:ascii="Times New Roman" w:hAnsi="Times New Roman" w:cs="Times New Roman"/>
          <w:b/>
          <w:bCs/>
          <w:color w:val="auto"/>
          <w:sz w:val="22"/>
          <w:szCs w:val="22"/>
          <w:highlight w:val="none"/>
          <w:u w:val="single"/>
        </w:rPr>
        <w:t xml:space="preserve">                                                                                                                                                              </w:t>
      </w:r>
    </w:p>
    <w:p w14:paraId="6A7FE64A">
      <w:pPr>
        <w:spacing w:line="420" w:lineRule="exact"/>
        <w:rPr>
          <w:rFonts w:hint="default" w:ascii="Times New Roman" w:hAnsi="Times New Roman" w:cs="Times New Roman"/>
          <w:b/>
          <w:bCs/>
          <w:color w:val="auto"/>
          <w:kern w:val="0"/>
          <w:sz w:val="22"/>
          <w:szCs w:val="22"/>
          <w:highlight w:val="none"/>
        </w:rPr>
      </w:pPr>
    </w:p>
    <w:p w14:paraId="5B758045">
      <w:pPr>
        <w:spacing w:line="420" w:lineRule="exact"/>
        <w:rPr>
          <w:rFonts w:hint="default" w:ascii="Times New Roman" w:hAnsi="Times New Roman" w:cs="Times New Roman"/>
          <w:b/>
          <w:bCs/>
          <w:color w:val="auto"/>
          <w:kern w:val="0"/>
          <w:sz w:val="22"/>
          <w:szCs w:val="22"/>
          <w:highlight w:val="none"/>
        </w:rPr>
      </w:pPr>
    </w:p>
    <w:p w14:paraId="3147DEE4">
      <w:pPr>
        <w:spacing w:line="420" w:lineRule="exact"/>
        <w:rPr>
          <w:rFonts w:hint="default" w:ascii="Times New Roman" w:hAnsi="Times New Roman" w:cs="Times New Roman"/>
          <w:b/>
          <w:bCs/>
          <w:color w:val="auto"/>
          <w:kern w:val="0"/>
          <w:sz w:val="22"/>
          <w:szCs w:val="22"/>
          <w:highlight w:val="none"/>
        </w:rPr>
      </w:pPr>
    </w:p>
    <w:p w14:paraId="49780C74">
      <w:pPr>
        <w:spacing w:line="420" w:lineRule="exact"/>
        <w:rPr>
          <w:rFonts w:hint="default" w:ascii="Times New Roman" w:hAnsi="Times New Roman" w:cs="Times New Roman"/>
          <w:b/>
          <w:bCs/>
          <w:color w:val="auto"/>
          <w:kern w:val="0"/>
          <w:sz w:val="22"/>
          <w:szCs w:val="22"/>
          <w:highlight w:val="none"/>
        </w:rPr>
      </w:pPr>
    </w:p>
    <w:p w14:paraId="086FEEA8">
      <w:pPr>
        <w:pStyle w:val="3"/>
        <w:numPr>
          <w:ilvl w:val="0"/>
          <w:numId w:val="0"/>
        </w:numPr>
        <w:tabs>
          <w:tab w:val="left" w:pos="576"/>
        </w:tabs>
        <w:jc w:val="center"/>
        <w:outlineLvl w:val="0"/>
        <w:rPr>
          <w:rFonts w:hint="default" w:ascii="Times New Roman" w:hAnsi="Times New Roman" w:eastAsia="方正黑体_GBK" w:cs="Times New Roman"/>
          <w:b/>
          <w:bCs/>
          <w:color w:val="auto"/>
          <w:sz w:val="28"/>
          <w:szCs w:val="28"/>
          <w:highlight w:val="none"/>
        </w:rPr>
      </w:pPr>
      <w:r>
        <w:rPr>
          <w:rFonts w:hint="default" w:ascii="Times New Roman" w:hAnsi="Times New Roman" w:cs="Times New Roman"/>
          <w:color w:val="auto"/>
          <w:highlight w:val="none"/>
        </w:rPr>
        <w:br w:type="page"/>
      </w:r>
      <w:bookmarkStart w:id="303" w:name="_Toc469384081"/>
      <w:r>
        <w:rPr>
          <w:rFonts w:hint="default" w:ascii="Times New Roman" w:hAnsi="Times New Roman" w:eastAsia="方正黑体_GBK" w:cs="Times New Roman"/>
          <w:b/>
          <w:bCs/>
          <w:color w:val="auto"/>
          <w:highlight w:val="none"/>
        </w:rPr>
        <w:t xml:space="preserve">   </w:t>
      </w:r>
      <w:bookmarkStart w:id="304" w:name="_Toc32717"/>
      <w:bookmarkStart w:id="305" w:name="_Toc1949060020"/>
      <w:r>
        <w:rPr>
          <w:rFonts w:hint="default" w:ascii="Times New Roman" w:hAnsi="Times New Roman" w:eastAsia="方正黑体_GBK" w:cs="Times New Roman"/>
          <w:b/>
          <w:bCs/>
          <w:color w:val="auto"/>
          <w:sz w:val="28"/>
          <w:szCs w:val="28"/>
          <w:highlight w:val="none"/>
          <w:lang w:eastAsia="zh-CN"/>
        </w:rPr>
        <w:t>第三部分</w:t>
      </w:r>
      <w:r>
        <w:rPr>
          <w:rFonts w:hint="default" w:ascii="Times New Roman" w:hAnsi="Times New Roman" w:eastAsia="方正黑体_GBK" w:cs="Times New Roman"/>
          <w:b/>
          <w:bCs/>
          <w:color w:val="auto"/>
          <w:sz w:val="28"/>
          <w:szCs w:val="28"/>
          <w:highlight w:val="none"/>
          <w:lang w:val="en-US" w:eastAsia="zh-CN"/>
        </w:rPr>
        <w:t xml:space="preserve">  </w:t>
      </w:r>
      <w:r>
        <w:rPr>
          <w:rFonts w:hint="default" w:ascii="Times New Roman" w:hAnsi="Times New Roman" w:eastAsia="方正黑体_GBK" w:cs="Times New Roman"/>
          <w:b/>
          <w:bCs/>
          <w:color w:val="auto"/>
          <w:sz w:val="28"/>
          <w:szCs w:val="28"/>
          <w:highlight w:val="none"/>
        </w:rPr>
        <w:t>专用条款</w:t>
      </w:r>
      <w:bookmarkEnd w:id="303"/>
      <w:bookmarkEnd w:id="304"/>
      <w:bookmarkEnd w:id="305"/>
    </w:p>
    <w:p w14:paraId="0ECE28F0">
      <w:pPr>
        <w:pStyle w:val="4"/>
        <w:numPr>
          <w:ilvl w:val="1"/>
          <w:numId w:val="0"/>
        </w:numPr>
        <w:tabs>
          <w:tab w:val="left" w:pos="360"/>
          <w:tab w:val="left" w:pos="864"/>
        </w:tabs>
        <w:ind w:left="864" w:hanging="864"/>
        <w:jc w:val="center"/>
        <w:rPr>
          <w:rFonts w:hint="default" w:ascii="Times New Roman" w:hAnsi="Times New Roman" w:cs="Times New Roman"/>
          <w:color w:val="auto"/>
          <w:highlight w:val="none"/>
        </w:rPr>
      </w:pPr>
      <w:bookmarkStart w:id="306" w:name="_Toc100474045"/>
      <w:bookmarkStart w:id="307" w:name="_Toc12783"/>
      <w:r>
        <w:rPr>
          <w:rFonts w:hint="default" w:ascii="Times New Roman" w:hAnsi="Times New Roman" w:cs="Times New Roman"/>
          <w:color w:val="auto"/>
          <w:highlight w:val="none"/>
        </w:rPr>
        <w:t>(一)设计部分</w:t>
      </w:r>
      <w:bookmarkEnd w:id="306"/>
      <w:bookmarkEnd w:id="307"/>
    </w:p>
    <w:p w14:paraId="40D1469E">
      <w:pPr>
        <w:spacing w:line="420" w:lineRule="exact"/>
        <w:ind w:left="42" w:leftChars="20"/>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lang w:val="en-US" w:eastAsia="zh-CN"/>
        </w:rPr>
        <w:t xml:space="preserve">1. </w:t>
      </w:r>
      <w:r>
        <w:rPr>
          <w:rFonts w:hint="default" w:ascii="Times New Roman" w:hAnsi="Times New Roman" w:cs="Times New Roman"/>
          <w:b/>
          <w:bCs/>
          <w:color w:val="auto"/>
          <w:sz w:val="22"/>
          <w:szCs w:val="22"/>
          <w:highlight w:val="none"/>
        </w:rPr>
        <w:t>本合同依据下列文件签订：</w:t>
      </w:r>
    </w:p>
    <w:p w14:paraId="38732F4E">
      <w:pPr>
        <w:spacing w:line="420" w:lineRule="exact"/>
        <w:ind w:left="42" w:leftChars="20"/>
        <w:rPr>
          <w:rFonts w:hint="default" w:ascii="Times New Roman" w:hAnsi="Times New Roman" w:cs="Times New Roman"/>
          <w:color w:val="auto"/>
          <w:sz w:val="22"/>
          <w:szCs w:val="22"/>
          <w:highlight w:val="none"/>
        </w:rPr>
      </w:pPr>
      <w:r>
        <w:rPr>
          <w:rFonts w:hint="default" w:ascii="Times New Roman" w:hAnsi="Times New Roman" w:cs="Times New Roman"/>
          <w:b/>
          <w:color w:val="auto"/>
          <w:sz w:val="22"/>
          <w:szCs w:val="22"/>
          <w:highlight w:val="none"/>
        </w:rPr>
        <w:t>1.1</w:t>
      </w:r>
      <w:r>
        <w:rPr>
          <w:rFonts w:hint="default" w:ascii="Times New Roman" w:hAnsi="Times New Roman" w:cs="Times New Roman"/>
          <w:color w:val="auto"/>
          <w:sz w:val="22"/>
          <w:szCs w:val="22"/>
          <w:highlight w:val="none"/>
        </w:rPr>
        <w:t>《中华人民共和国民法典》《中华人民共和国建筑法》《建设工程勘察设计管理条例》。</w:t>
      </w:r>
    </w:p>
    <w:p w14:paraId="07C0839B">
      <w:pPr>
        <w:spacing w:line="420" w:lineRule="exact"/>
        <w:ind w:left="42" w:leftChars="20"/>
        <w:rPr>
          <w:rFonts w:hint="default" w:ascii="Times New Roman" w:hAnsi="Times New Roman" w:cs="Times New Roman"/>
          <w:color w:val="auto"/>
          <w:sz w:val="22"/>
          <w:szCs w:val="22"/>
          <w:highlight w:val="none"/>
        </w:rPr>
      </w:pPr>
      <w:r>
        <w:rPr>
          <w:rFonts w:hint="default" w:ascii="Times New Roman" w:hAnsi="Times New Roman" w:cs="Times New Roman"/>
          <w:b/>
          <w:color w:val="auto"/>
          <w:sz w:val="22"/>
          <w:szCs w:val="22"/>
          <w:highlight w:val="none"/>
        </w:rPr>
        <w:t>1.2</w:t>
      </w:r>
      <w:r>
        <w:rPr>
          <w:rFonts w:hint="default" w:ascii="Times New Roman" w:hAnsi="Times New Roman" w:cs="Times New Roman"/>
          <w:color w:val="auto"/>
          <w:sz w:val="22"/>
          <w:szCs w:val="22"/>
          <w:highlight w:val="none"/>
        </w:rPr>
        <w:t>国家及地方有关建设工程勘察设计管理法规和规章。</w:t>
      </w:r>
    </w:p>
    <w:p w14:paraId="23B78937">
      <w:pPr>
        <w:tabs>
          <w:tab w:val="left" w:pos="422"/>
        </w:tabs>
        <w:spacing w:line="420" w:lineRule="exact"/>
        <w:ind w:left="42" w:leftChars="2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sz w:val="22"/>
          <w:szCs w:val="22"/>
          <w:highlight w:val="none"/>
        </w:rPr>
        <w:t xml:space="preserve">1.3 </w:t>
      </w:r>
      <w:r>
        <w:rPr>
          <w:rFonts w:hint="default" w:ascii="Times New Roman" w:hAnsi="Times New Roman" w:cs="Times New Roman"/>
          <w:color w:val="auto"/>
          <w:kern w:val="0"/>
          <w:sz w:val="22"/>
          <w:szCs w:val="22"/>
          <w:highlight w:val="none"/>
        </w:rPr>
        <w:t>建设工程批准文件。</w:t>
      </w:r>
    </w:p>
    <w:p w14:paraId="3E950583">
      <w:pPr>
        <w:spacing w:line="420" w:lineRule="exact"/>
        <w:ind w:left="42" w:leftChars="20"/>
        <w:jc w:val="left"/>
        <w:rPr>
          <w:rFonts w:hint="default" w:ascii="Times New Roman" w:hAnsi="Times New Roman" w:cs="Times New Roman"/>
          <w:b/>
          <w:bCs/>
          <w:color w:val="auto"/>
          <w:kern w:val="0"/>
          <w:sz w:val="22"/>
          <w:szCs w:val="22"/>
          <w:highlight w:val="none"/>
        </w:rPr>
      </w:pPr>
      <w:r>
        <w:rPr>
          <w:rFonts w:hint="default" w:ascii="Times New Roman" w:hAnsi="Times New Roman" w:cs="Times New Roman"/>
          <w:b/>
          <w:bCs/>
          <w:color w:val="auto"/>
          <w:kern w:val="0"/>
          <w:sz w:val="22"/>
          <w:szCs w:val="22"/>
          <w:highlight w:val="none"/>
          <w:lang w:val="en-US" w:eastAsia="zh-CN"/>
        </w:rPr>
        <w:t xml:space="preserve">2. </w:t>
      </w:r>
      <w:r>
        <w:rPr>
          <w:rFonts w:hint="default" w:ascii="Times New Roman" w:hAnsi="Times New Roman" w:cs="Times New Roman"/>
          <w:b/>
          <w:bCs/>
          <w:color w:val="auto"/>
          <w:kern w:val="0"/>
          <w:sz w:val="22"/>
          <w:szCs w:val="22"/>
          <w:highlight w:val="none"/>
        </w:rPr>
        <w:t>完成本项目的设计工作包括但不限于进行工程：</w:t>
      </w:r>
    </w:p>
    <w:p w14:paraId="63434A71">
      <w:pPr>
        <w:keepNext w:val="0"/>
        <w:keepLines w:val="0"/>
        <w:pageBreakBefore w:val="0"/>
        <w:widowControl w:val="0"/>
        <w:kinsoku/>
        <w:wordWrap/>
        <w:overflowPunct/>
        <w:topLinePunct w:val="0"/>
        <w:autoSpaceDE/>
        <w:autoSpaceDN/>
        <w:bidi w:val="0"/>
        <w:adjustRightInd/>
        <w:snapToGrid/>
        <w:spacing w:line="360" w:lineRule="auto"/>
        <w:ind w:left="0" w:leftChars="0" w:firstLine="440" w:firstLineChars="200"/>
        <w:jc w:val="left"/>
        <w:textAlignment w:val="auto"/>
        <w:rPr>
          <w:rFonts w:hint="default" w:ascii="Times New Roman" w:hAnsi="Times New Roman" w:cs="Times New Roman"/>
          <w:color w:val="auto"/>
          <w:sz w:val="22"/>
          <w:szCs w:val="22"/>
          <w:highlight w:val="none"/>
          <w:u w:val="single"/>
          <w:lang w:val="en-US" w:eastAsia="zh-CN"/>
        </w:rPr>
      </w:pPr>
      <w:r>
        <w:rPr>
          <w:rFonts w:hint="default" w:ascii="Times New Roman" w:hAnsi="Times New Roman" w:cs="Times New Roman"/>
          <w:color w:val="auto"/>
          <w:sz w:val="22"/>
          <w:szCs w:val="22"/>
          <w:highlight w:val="none"/>
          <w:u w:val="single"/>
          <w:lang w:val="en-US" w:eastAsia="zh-CN"/>
        </w:rPr>
        <w:t xml:space="preserve">                                                                                               </w:t>
      </w:r>
    </w:p>
    <w:p w14:paraId="3911FFCE">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default" w:ascii="Times New Roman" w:hAnsi="Times New Roman" w:cs="Times New Roman"/>
          <w:color w:val="auto"/>
          <w:sz w:val="22"/>
          <w:szCs w:val="22"/>
          <w:highlight w:val="none"/>
          <w:u w:val="single"/>
          <w:lang w:val="en-US" w:eastAsia="zh-CN"/>
        </w:rPr>
      </w:pPr>
      <w:r>
        <w:rPr>
          <w:rFonts w:hint="default" w:ascii="Times New Roman" w:hAnsi="Times New Roman" w:cs="Times New Roman"/>
          <w:color w:val="auto"/>
          <w:sz w:val="22"/>
          <w:szCs w:val="22"/>
          <w:highlight w:val="none"/>
          <w:u w:val="single"/>
          <w:lang w:val="en-US" w:eastAsia="zh-CN"/>
        </w:rPr>
        <w:t xml:space="preserve">                                                                                                </w:t>
      </w:r>
    </w:p>
    <w:p w14:paraId="325F3CFE">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sz w:val="22"/>
          <w:szCs w:val="22"/>
          <w:highlight w:val="none"/>
          <w:u w:val="single"/>
          <w:lang w:val="en-US" w:eastAsia="zh-CN"/>
        </w:rPr>
        <w:t xml:space="preserve">                                                                                             </w:t>
      </w:r>
    </w:p>
    <w:p w14:paraId="6376B039">
      <w:pPr>
        <w:spacing w:line="420" w:lineRule="exact"/>
        <w:ind w:left="42" w:leftChars="20" w:firstLine="440" w:firstLineChars="20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其中：</w:t>
      </w:r>
    </w:p>
    <w:p w14:paraId="2F3F18B7">
      <w:pPr>
        <w:spacing w:line="420" w:lineRule="exact"/>
        <w:ind w:left="42" w:leftChars="20" w:firstLine="440" w:firstLineChars="2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设计项目的内容、阶段、投资及设计费等见下表：</w:t>
      </w:r>
    </w:p>
    <w:tbl>
      <w:tblPr>
        <w:tblStyle w:val="2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800"/>
        <w:gridCol w:w="720"/>
        <w:gridCol w:w="1099"/>
        <w:gridCol w:w="673"/>
        <w:gridCol w:w="1118"/>
        <w:gridCol w:w="970"/>
        <w:gridCol w:w="1096"/>
        <w:gridCol w:w="1500"/>
      </w:tblGrid>
      <w:tr w14:paraId="5363A8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648" w:type="dxa"/>
            <w:vMerge w:val="restart"/>
            <w:noWrap w:val="0"/>
            <w:vAlign w:val="center"/>
          </w:tcPr>
          <w:p w14:paraId="2F9BBC41">
            <w:pPr>
              <w:spacing w:line="420" w:lineRule="exact"/>
              <w:ind w:left="42" w:leftChars="20"/>
              <w:jc w:val="center"/>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序号</w:t>
            </w:r>
          </w:p>
        </w:tc>
        <w:tc>
          <w:tcPr>
            <w:tcW w:w="1800" w:type="dxa"/>
            <w:vMerge w:val="restart"/>
            <w:noWrap w:val="0"/>
            <w:vAlign w:val="center"/>
          </w:tcPr>
          <w:p w14:paraId="5AE54F26">
            <w:pPr>
              <w:spacing w:line="420" w:lineRule="exact"/>
              <w:ind w:left="42" w:leftChars="20"/>
              <w:jc w:val="center"/>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分项目名称</w:t>
            </w:r>
          </w:p>
        </w:tc>
        <w:tc>
          <w:tcPr>
            <w:tcW w:w="1819" w:type="dxa"/>
            <w:gridSpan w:val="2"/>
            <w:noWrap w:val="0"/>
            <w:vAlign w:val="center"/>
          </w:tcPr>
          <w:p w14:paraId="1A749D07">
            <w:pPr>
              <w:spacing w:line="420" w:lineRule="exact"/>
              <w:ind w:left="42" w:leftChars="20"/>
              <w:jc w:val="center"/>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建设规模</w:t>
            </w:r>
          </w:p>
        </w:tc>
        <w:tc>
          <w:tcPr>
            <w:tcW w:w="2761" w:type="dxa"/>
            <w:gridSpan w:val="3"/>
            <w:noWrap w:val="0"/>
            <w:vAlign w:val="center"/>
          </w:tcPr>
          <w:p w14:paraId="63EB3D2E">
            <w:pPr>
              <w:spacing w:line="420" w:lineRule="exact"/>
              <w:ind w:left="42" w:leftChars="20"/>
              <w:jc w:val="center"/>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设计阶段及内容</w:t>
            </w:r>
          </w:p>
        </w:tc>
        <w:tc>
          <w:tcPr>
            <w:tcW w:w="1096" w:type="dxa"/>
            <w:vMerge w:val="restart"/>
            <w:noWrap w:val="0"/>
            <w:vAlign w:val="center"/>
          </w:tcPr>
          <w:p w14:paraId="39301ACC">
            <w:pPr>
              <w:spacing w:line="420" w:lineRule="exact"/>
              <w:ind w:left="42" w:leftChars="20"/>
              <w:jc w:val="center"/>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总投资</w:t>
            </w:r>
          </w:p>
          <w:p w14:paraId="2F3489E3">
            <w:pPr>
              <w:spacing w:line="420" w:lineRule="exact"/>
              <w:ind w:left="42" w:leftChars="20"/>
              <w:jc w:val="center"/>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（万元）</w:t>
            </w:r>
          </w:p>
        </w:tc>
        <w:tc>
          <w:tcPr>
            <w:tcW w:w="1500" w:type="dxa"/>
            <w:vMerge w:val="restart"/>
            <w:noWrap w:val="0"/>
            <w:vAlign w:val="center"/>
          </w:tcPr>
          <w:p w14:paraId="756266E0">
            <w:pPr>
              <w:spacing w:line="420" w:lineRule="exact"/>
              <w:ind w:left="42" w:leftChars="20"/>
              <w:jc w:val="center"/>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设计费</w:t>
            </w:r>
          </w:p>
          <w:p w14:paraId="4E43510D">
            <w:pPr>
              <w:spacing w:line="420" w:lineRule="exact"/>
              <w:ind w:left="42" w:leftChars="20"/>
              <w:jc w:val="center"/>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（万元）</w:t>
            </w:r>
          </w:p>
        </w:tc>
      </w:tr>
      <w:tr w14:paraId="664852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648" w:type="dxa"/>
            <w:vMerge w:val="continue"/>
            <w:noWrap w:val="0"/>
            <w:vAlign w:val="center"/>
          </w:tcPr>
          <w:p w14:paraId="179FEFD2">
            <w:pPr>
              <w:spacing w:line="420" w:lineRule="exact"/>
              <w:ind w:left="42" w:leftChars="20"/>
              <w:jc w:val="center"/>
              <w:rPr>
                <w:rFonts w:hint="default" w:ascii="Times New Roman" w:hAnsi="Times New Roman" w:cs="Times New Roman"/>
                <w:color w:val="auto"/>
                <w:sz w:val="22"/>
                <w:szCs w:val="22"/>
                <w:highlight w:val="none"/>
              </w:rPr>
            </w:pPr>
          </w:p>
        </w:tc>
        <w:tc>
          <w:tcPr>
            <w:tcW w:w="1800" w:type="dxa"/>
            <w:vMerge w:val="continue"/>
            <w:noWrap w:val="0"/>
            <w:vAlign w:val="center"/>
          </w:tcPr>
          <w:p w14:paraId="319C573C">
            <w:pPr>
              <w:spacing w:line="420" w:lineRule="exact"/>
              <w:ind w:left="42" w:leftChars="20"/>
              <w:jc w:val="center"/>
              <w:rPr>
                <w:rFonts w:hint="default" w:ascii="Times New Roman" w:hAnsi="Times New Roman" w:cs="Times New Roman"/>
                <w:color w:val="auto"/>
                <w:sz w:val="22"/>
                <w:szCs w:val="22"/>
                <w:highlight w:val="none"/>
              </w:rPr>
            </w:pPr>
          </w:p>
        </w:tc>
        <w:tc>
          <w:tcPr>
            <w:tcW w:w="720" w:type="dxa"/>
            <w:noWrap w:val="0"/>
            <w:vAlign w:val="center"/>
          </w:tcPr>
          <w:p w14:paraId="5A52D5FD">
            <w:pPr>
              <w:spacing w:line="420" w:lineRule="exact"/>
              <w:ind w:left="42" w:leftChars="20"/>
              <w:jc w:val="center"/>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层数</w:t>
            </w:r>
          </w:p>
        </w:tc>
        <w:tc>
          <w:tcPr>
            <w:tcW w:w="1099" w:type="dxa"/>
            <w:noWrap w:val="0"/>
            <w:vAlign w:val="center"/>
          </w:tcPr>
          <w:p w14:paraId="113FF597">
            <w:pPr>
              <w:spacing w:line="420" w:lineRule="exact"/>
              <w:ind w:left="42" w:leftChars="20"/>
              <w:jc w:val="center"/>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建筑面积（㎡）</w:t>
            </w:r>
          </w:p>
        </w:tc>
        <w:tc>
          <w:tcPr>
            <w:tcW w:w="673" w:type="dxa"/>
            <w:noWrap w:val="0"/>
            <w:vAlign w:val="center"/>
          </w:tcPr>
          <w:p w14:paraId="44FFF62F">
            <w:pPr>
              <w:spacing w:line="420" w:lineRule="exact"/>
              <w:ind w:left="42" w:leftChars="20"/>
              <w:jc w:val="center"/>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方案</w:t>
            </w:r>
          </w:p>
        </w:tc>
        <w:tc>
          <w:tcPr>
            <w:tcW w:w="1118" w:type="dxa"/>
            <w:noWrap w:val="0"/>
            <w:vAlign w:val="center"/>
          </w:tcPr>
          <w:p w14:paraId="7F4C21F8">
            <w:pPr>
              <w:spacing w:line="420" w:lineRule="exact"/>
              <w:ind w:left="42" w:leftChars="20"/>
              <w:jc w:val="center"/>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初步设计</w:t>
            </w:r>
          </w:p>
        </w:tc>
        <w:tc>
          <w:tcPr>
            <w:tcW w:w="970" w:type="dxa"/>
            <w:noWrap w:val="0"/>
            <w:vAlign w:val="center"/>
          </w:tcPr>
          <w:p w14:paraId="4056048A">
            <w:pPr>
              <w:spacing w:line="420" w:lineRule="exact"/>
              <w:ind w:left="42" w:leftChars="20"/>
              <w:jc w:val="center"/>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施工图</w:t>
            </w:r>
          </w:p>
        </w:tc>
        <w:tc>
          <w:tcPr>
            <w:tcW w:w="1096" w:type="dxa"/>
            <w:vMerge w:val="continue"/>
            <w:noWrap w:val="0"/>
            <w:vAlign w:val="center"/>
          </w:tcPr>
          <w:p w14:paraId="0BD84A9A">
            <w:pPr>
              <w:spacing w:line="420" w:lineRule="exact"/>
              <w:ind w:left="42" w:leftChars="20"/>
              <w:jc w:val="center"/>
              <w:rPr>
                <w:rFonts w:hint="default" w:ascii="Times New Roman" w:hAnsi="Times New Roman" w:cs="Times New Roman"/>
                <w:color w:val="auto"/>
                <w:sz w:val="22"/>
                <w:szCs w:val="22"/>
                <w:highlight w:val="none"/>
              </w:rPr>
            </w:pPr>
          </w:p>
        </w:tc>
        <w:tc>
          <w:tcPr>
            <w:tcW w:w="1500" w:type="dxa"/>
            <w:vMerge w:val="continue"/>
            <w:noWrap w:val="0"/>
            <w:vAlign w:val="center"/>
          </w:tcPr>
          <w:p w14:paraId="77D33028">
            <w:pPr>
              <w:spacing w:line="420" w:lineRule="exact"/>
              <w:ind w:left="42" w:leftChars="20"/>
              <w:jc w:val="center"/>
              <w:rPr>
                <w:rFonts w:hint="default" w:ascii="Times New Roman" w:hAnsi="Times New Roman" w:cs="Times New Roman"/>
                <w:color w:val="auto"/>
                <w:sz w:val="22"/>
                <w:szCs w:val="22"/>
                <w:highlight w:val="none"/>
              </w:rPr>
            </w:pPr>
          </w:p>
        </w:tc>
      </w:tr>
      <w:tr w14:paraId="5CEFF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648" w:type="dxa"/>
            <w:noWrap w:val="0"/>
            <w:vAlign w:val="center"/>
          </w:tcPr>
          <w:p w14:paraId="531CBCA5">
            <w:pPr>
              <w:spacing w:line="420" w:lineRule="exact"/>
              <w:ind w:left="42" w:leftChars="20"/>
              <w:jc w:val="center"/>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1</w:t>
            </w:r>
          </w:p>
        </w:tc>
        <w:tc>
          <w:tcPr>
            <w:tcW w:w="1800" w:type="dxa"/>
            <w:noWrap w:val="0"/>
            <w:vAlign w:val="center"/>
          </w:tcPr>
          <w:p w14:paraId="7BD6AEB2">
            <w:pPr>
              <w:spacing w:line="420" w:lineRule="exact"/>
              <w:ind w:left="42" w:leftChars="20"/>
              <w:jc w:val="center"/>
              <w:rPr>
                <w:rFonts w:hint="default" w:ascii="Times New Roman" w:hAnsi="Times New Roman" w:cs="Times New Roman"/>
                <w:color w:val="auto"/>
                <w:sz w:val="22"/>
                <w:szCs w:val="22"/>
                <w:highlight w:val="none"/>
              </w:rPr>
            </w:pPr>
          </w:p>
        </w:tc>
        <w:tc>
          <w:tcPr>
            <w:tcW w:w="720" w:type="dxa"/>
            <w:noWrap w:val="0"/>
            <w:vAlign w:val="center"/>
          </w:tcPr>
          <w:p w14:paraId="466474A0">
            <w:pPr>
              <w:spacing w:line="420" w:lineRule="exact"/>
              <w:ind w:left="42" w:leftChars="20"/>
              <w:jc w:val="center"/>
              <w:rPr>
                <w:rFonts w:hint="default" w:ascii="Times New Roman" w:hAnsi="Times New Roman" w:cs="Times New Roman"/>
                <w:color w:val="auto"/>
                <w:sz w:val="22"/>
                <w:szCs w:val="22"/>
                <w:highlight w:val="none"/>
              </w:rPr>
            </w:pPr>
          </w:p>
        </w:tc>
        <w:tc>
          <w:tcPr>
            <w:tcW w:w="1099" w:type="dxa"/>
            <w:noWrap w:val="0"/>
            <w:vAlign w:val="center"/>
          </w:tcPr>
          <w:p w14:paraId="39229C5C">
            <w:pPr>
              <w:spacing w:line="420" w:lineRule="exact"/>
              <w:ind w:left="42" w:leftChars="20"/>
              <w:jc w:val="center"/>
              <w:rPr>
                <w:rFonts w:hint="default" w:ascii="Times New Roman" w:hAnsi="Times New Roman" w:cs="Times New Roman"/>
                <w:color w:val="auto"/>
                <w:sz w:val="22"/>
                <w:szCs w:val="22"/>
                <w:highlight w:val="none"/>
              </w:rPr>
            </w:pPr>
          </w:p>
        </w:tc>
        <w:tc>
          <w:tcPr>
            <w:tcW w:w="673" w:type="dxa"/>
            <w:noWrap w:val="0"/>
            <w:vAlign w:val="center"/>
          </w:tcPr>
          <w:p w14:paraId="1016FE69">
            <w:pPr>
              <w:spacing w:line="420" w:lineRule="exact"/>
              <w:ind w:left="42" w:leftChars="20"/>
              <w:jc w:val="center"/>
              <w:rPr>
                <w:rFonts w:hint="default" w:ascii="Times New Roman" w:hAnsi="Times New Roman" w:cs="Times New Roman"/>
                <w:color w:val="auto"/>
                <w:sz w:val="22"/>
                <w:szCs w:val="22"/>
                <w:highlight w:val="none"/>
              </w:rPr>
            </w:pPr>
          </w:p>
        </w:tc>
        <w:tc>
          <w:tcPr>
            <w:tcW w:w="1118" w:type="dxa"/>
            <w:noWrap w:val="0"/>
            <w:vAlign w:val="center"/>
          </w:tcPr>
          <w:p w14:paraId="4961F7E0">
            <w:pPr>
              <w:spacing w:line="420" w:lineRule="exact"/>
              <w:ind w:left="42" w:leftChars="20"/>
              <w:jc w:val="center"/>
              <w:rPr>
                <w:rFonts w:hint="default" w:ascii="Times New Roman" w:hAnsi="Times New Roman" w:cs="Times New Roman"/>
                <w:color w:val="auto"/>
                <w:sz w:val="22"/>
                <w:szCs w:val="22"/>
                <w:highlight w:val="none"/>
              </w:rPr>
            </w:pPr>
          </w:p>
        </w:tc>
        <w:tc>
          <w:tcPr>
            <w:tcW w:w="970" w:type="dxa"/>
            <w:noWrap w:val="0"/>
            <w:vAlign w:val="center"/>
          </w:tcPr>
          <w:p w14:paraId="25EA60A4">
            <w:pPr>
              <w:spacing w:line="420" w:lineRule="exact"/>
              <w:ind w:left="42" w:leftChars="20"/>
              <w:jc w:val="center"/>
              <w:rPr>
                <w:rFonts w:hint="default" w:ascii="Times New Roman" w:hAnsi="Times New Roman" w:cs="Times New Roman"/>
                <w:color w:val="auto"/>
                <w:sz w:val="22"/>
                <w:szCs w:val="22"/>
                <w:highlight w:val="none"/>
              </w:rPr>
            </w:pPr>
          </w:p>
        </w:tc>
        <w:tc>
          <w:tcPr>
            <w:tcW w:w="1096" w:type="dxa"/>
            <w:noWrap w:val="0"/>
            <w:vAlign w:val="center"/>
          </w:tcPr>
          <w:p w14:paraId="616C1ABE">
            <w:pPr>
              <w:spacing w:line="420" w:lineRule="exact"/>
              <w:ind w:left="42" w:leftChars="20"/>
              <w:rPr>
                <w:rFonts w:hint="default" w:ascii="Times New Roman" w:hAnsi="Times New Roman" w:cs="Times New Roman"/>
                <w:color w:val="auto"/>
                <w:sz w:val="22"/>
                <w:szCs w:val="22"/>
                <w:highlight w:val="none"/>
              </w:rPr>
            </w:pPr>
          </w:p>
        </w:tc>
        <w:tc>
          <w:tcPr>
            <w:tcW w:w="1500" w:type="dxa"/>
            <w:noWrap w:val="0"/>
            <w:vAlign w:val="center"/>
          </w:tcPr>
          <w:p w14:paraId="06FD2AF9">
            <w:pPr>
              <w:spacing w:line="420" w:lineRule="exact"/>
              <w:ind w:left="42" w:leftChars="20"/>
              <w:jc w:val="center"/>
              <w:rPr>
                <w:rFonts w:hint="default" w:ascii="Times New Roman" w:hAnsi="Times New Roman" w:cs="Times New Roman"/>
                <w:color w:val="auto"/>
                <w:sz w:val="22"/>
                <w:szCs w:val="22"/>
                <w:highlight w:val="none"/>
              </w:rPr>
            </w:pPr>
          </w:p>
        </w:tc>
      </w:tr>
      <w:tr w14:paraId="69458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648" w:type="dxa"/>
            <w:noWrap w:val="0"/>
            <w:vAlign w:val="center"/>
          </w:tcPr>
          <w:p w14:paraId="50C84232">
            <w:pPr>
              <w:spacing w:line="420" w:lineRule="exact"/>
              <w:ind w:left="42" w:leftChars="20"/>
              <w:jc w:val="center"/>
              <w:rPr>
                <w:rFonts w:hint="default" w:ascii="Times New Roman" w:hAnsi="Times New Roman" w:eastAsia="宋体" w:cs="Times New Roman"/>
                <w:color w:val="auto"/>
                <w:sz w:val="22"/>
                <w:szCs w:val="22"/>
                <w:highlight w:val="none"/>
                <w:lang w:val="en-US" w:eastAsia="zh-CN"/>
              </w:rPr>
            </w:pPr>
            <w:r>
              <w:rPr>
                <w:rFonts w:hint="default" w:ascii="Times New Roman" w:hAnsi="Times New Roman" w:cs="Times New Roman"/>
                <w:color w:val="auto"/>
                <w:sz w:val="22"/>
                <w:szCs w:val="22"/>
                <w:highlight w:val="none"/>
                <w:lang w:val="en-US" w:eastAsia="zh-CN"/>
              </w:rPr>
              <w:t>2</w:t>
            </w:r>
          </w:p>
        </w:tc>
        <w:tc>
          <w:tcPr>
            <w:tcW w:w="1800" w:type="dxa"/>
            <w:noWrap w:val="0"/>
            <w:vAlign w:val="center"/>
          </w:tcPr>
          <w:p w14:paraId="4BCDBDF7">
            <w:pPr>
              <w:spacing w:line="420" w:lineRule="exact"/>
              <w:ind w:left="42" w:leftChars="20"/>
              <w:jc w:val="center"/>
              <w:rPr>
                <w:rFonts w:hint="default" w:ascii="Times New Roman" w:hAnsi="Times New Roman" w:cs="Times New Roman"/>
                <w:color w:val="auto"/>
                <w:sz w:val="22"/>
                <w:szCs w:val="22"/>
                <w:highlight w:val="none"/>
              </w:rPr>
            </w:pPr>
          </w:p>
        </w:tc>
        <w:tc>
          <w:tcPr>
            <w:tcW w:w="720" w:type="dxa"/>
            <w:noWrap w:val="0"/>
            <w:vAlign w:val="center"/>
          </w:tcPr>
          <w:p w14:paraId="57310E2C">
            <w:pPr>
              <w:spacing w:line="420" w:lineRule="exact"/>
              <w:ind w:left="42" w:leftChars="20"/>
              <w:jc w:val="center"/>
              <w:rPr>
                <w:rFonts w:hint="default" w:ascii="Times New Roman" w:hAnsi="Times New Roman" w:cs="Times New Roman"/>
                <w:color w:val="auto"/>
                <w:sz w:val="22"/>
                <w:szCs w:val="22"/>
                <w:highlight w:val="none"/>
              </w:rPr>
            </w:pPr>
          </w:p>
        </w:tc>
        <w:tc>
          <w:tcPr>
            <w:tcW w:w="1099" w:type="dxa"/>
            <w:noWrap w:val="0"/>
            <w:vAlign w:val="center"/>
          </w:tcPr>
          <w:p w14:paraId="7D19A20E">
            <w:pPr>
              <w:spacing w:line="420" w:lineRule="exact"/>
              <w:ind w:left="42" w:leftChars="20"/>
              <w:jc w:val="center"/>
              <w:rPr>
                <w:rFonts w:hint="default" w:ascii="Times New Roman" w:hAnsi="Times New Roman" w:cs="Times New Roman"/>
                <w:color w:val="auto"/>
                <w:sz w:val="22"/>
                <w:szCs w:val="22"/>
                <w:highlight w:val="none"/>
              </w:rPr>
            </w:pPr>
          </w:p>
        </w:tc>
        <w:tc>
          <w:tcPr>
            <w:tcW w:w="673" w:type="dxa"/>
            <w:noWrap w:val="0"/>
            <w:vAlign w:val="center"/>
          </w:tcPr>
          <w:p w14:paraId="56E08009">
            <w:pPr>
              <w:spacing w:line="420" w:lineRule="exact"/>
              <w:ind w:left="42" w:leftChars="20"/>
              <w:jc w:val="center"/>
              <w:rPr>
                <w:rFonts w:hint="default" w:ascii="Times New Roman" w:hAnsi="Times New Roman" w:cs="Times New Roman"/>
                <w:color w:val="auto"/>
                <w:sz w:val="22"/>
                <w:szCs w:val="22"/>
                <w:highlight w:val="none"/>
              </w:rPr>
            </w:pPr>
          </w:p>
        </w:tc>
        <w:tc>
          <w:tcPr>
            <w:tcW w:w="1118" w:type="dxa"/>
            <w:noWrap w:val="0"/>
            <w:vAlign w:val="center"/>
          </w:tcPr>
          <w:p w14:paraId="04F058D8">
            <w:pPr>
              <w:spacing w:line="420" w:lineRule="exact"/>
              <w:ind w:left="42" w:leftChars="20"/>
              <w:jc w:val="center"/>
              <w:rPr>
                <w:rFonts w:hint="default" w:ascii="Times New Roman" w:hAnsi="Times New Roman" w:cs="Times New Roman"/>
                <w:color w:val="auto"/>
                <w:sz w:val="22"/>
                <w:szCs w:val="22"/>
                <w:highlight w:val="none"/>
              </w:rPr>
            </w:pPr>
          </w:p>
        </w:tc>
        <w:tc>
          <w:tcPr>
            <w:tcW w:w="970" w:type="dxa"/>
            <w:noWrap w:val="0"/>
            <w:vAlign w:val="center"/>
          </w:tcPr>
          <w:p w14:paraId="739655B6">
            <w:pPr>
              <w:spacing w:line="420" w:lineRule="exact"/>
              <w:ind w:left="42" w:leftChars="20"/>
              <w:jc w:val="center"/>
              <w:rPr>
                <w:rFonts w:hint="default" w:ascii="Times New Roman" w:hAnsi="Times New Roman" w:cs="Times New Roman"/>
                <w:color w:val="auto"/>
                <w:sz w:val="22"/>
                <w:szCs w:val="22"/>
                <w:highlight w:val="none"/>
              </w:rPr>
            </w:pPr>
          </w:p>
        </w:tc>
        <w:tc>
          <w:tcPr>
            <w:tcW w:w="1096" w:type="dxa"/>
            <w:noWrap w:val="0"/>
            <w:vAlign w:val="center"/>
          </w:tcPr>
          <w:p w14:paraId="35C44C08">
            <w:pPr>
              <w:spacing w:line="420" w:lineRule="exact"/>
              <w:ind w:left="42" w:leftChars="20"/>
              <w:jc w:val="center"/>
              <w:rPr>
                <w:rFonts w:hint="default" w:ascii="Times New Roman" w:hAnsi="Times New Roman" w:cs="Times New Roman"/>
                <w:color w:val="auto"/>
                <w:sz w:val="22"/>
                <w:szCs w:val="22"/>
                <w:highlight w:val="none"/>
              </w:rPr>
            </w:pPr>
          </w:p>
        </w:tc>
        <w:tc>
          <w:tcPr>
            <w:tcW w:w="1500" w:type="dxa"/>
            <w:noWrap w:val="0"/>
            <w:vAlign w:val="center"/>
          </w:tcPr>
          <w:p w14:paraId="37935F5C">
            <w:pPr>
              <w:spacing w:line="420" w:lineRule="exact"/>
              <w:ind w:left="42" w:leftChars="20"/>
              <w:jc w:val="center"/>
              <w:rPr>
                <w:rFonts w:hint="default" w:ascii="Times New Roman" w:hAnsi="Times New Roman" w:cs="Times New Roman"/>
                <w:color w:val="auto"/>
                <w:sz w:val="22"/>
                <w:szCs w:val="22"/>
                <w:highlight w:val="none"/>
              </w:rPr>
            </w:pPr>
          </w:p>
        </w:tc>
      </w:tr>
      <w:tr w14:paraId="3AD6C5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8" w:hRule="atLeast"/>
          <w:jc w:val="center"/>
        </w:trPr>
        <w:tc>
          <w:tcPr>
            <w:tcW w:w="648" w:type="dxa"/>
            <w:noWrap w:val="0"/>
            <w:vAlign w:val="center"/>
          </w:tcPr>
          <w:p w14:paraId="0BE7E66A">
            <w:pPr>
              <w:spacing w:line="420" w:lineRule="exact"/>
              <w:ind w:left="42" w:leftChars="2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说</w:t>
            </w:r>
          </w:p>
          <w:p w14:paraId="6EAAF9C8">
            <w:pPr>
              <w:spacing w:line="420" w:lineRule="exact"/>
              <w:ind w:left="42" w:leftChars="20"/>
              <w:rPr>
                <w:rFonts w:hint="default" w:ascii="Times New Roman" w:hAnsi="Times New Roman" w:cs="Times New Roman"/>
                <w:color w:val="auto"/>
                <w:sz w:val="22"/>
                <w:szCs w:val="22"/>
                <w:highlight w:val="none"/>
              </w:rPr>
            </w:pPr>
          </w:p>
          <w:p w14:paraId="3EBA654B">
            <w:pPr>
              <w:spacing w:line="420" w:lineRule="exact"/>
              <w:ind w:left="42" w:leftChars="20"/>
              <w:rPr>
                <w:rFonts w:hint="default" w:ascii="Times New Roman" w:hAnsi="Times New Roman" w:cs="Times New Roman"/>
                <w:color w:val="auto"/>
                <w:sz w:val="22"/>
                <w:szCs w:val="22"/>
                <w:highlight w:val="none"/>
              </w:rPr>
            </w:pPr>
          </w:p>
          <w:p w14:paraId="486E3A3B">
            <w:pPr>
              <w:spacing w:line="420" w:lineRule="exact"/>
              <w:ind w:left="42" w:leftChars="20"/>
              <w:rPr>
                <w:rFonts w:hint="default" w:ascii="Times New Roman" w:hAnsi="Times New Roman" w:cs="Times New Roman"/>
                <w:color w:val="auto"/>
                <w:sz w:val="22"/>
                <w:szCs w:val="22"/>
                <w:highlight w:val="none"/>
              </w:rPr>
            </w:pPr>
          </w:p>
          <w:p w14:paraId="701E0B1A">
            <w:pPr>
              <w:spacing w:line="420" w:lineRule="exact"/>
              <w:ind w:left="42" w:leftChars="20"/>
              <w:rPr>
                <w:rFonts w:hint="default" w:ascii="Times New Roman" w:hAnsi="Times New Roman" w:cs="Times New Roman"/>
                <w:color w:val="auto"/>
                <w:sz w:val="22"/>
                <w:szCs w:val="22"/>
                <w:highlight w:val="none"/>
              </w:rPr>
            </w:pPr>
          </w:p>
          <w:p w14:paraId="6F88F8C5">
            <w:pPr>
              <w:spacing w:line="420" w:lineRule="exact"/>
              <w:ind w:left="42" w:leftChars="20"/>
              <w:rPr>
                <w:rFonts w:hint="default" w:ascii="Times New Roman" w:hAnsi="Times New Roman" w:cs="Times New Roman"/>
                <w:color w:val="auto"/>
                <w:sz w:val="22"/>
                <w:szCs w:val="22"/>
                <w:highlight w:val="none"/>
              </w:rPr>
            </w:pPr>
          </w:p>
          <w:p w14:paraId="77254DEB">
            <w:pPr>
              <w:spacing w:line="420" w:lineRule="exact"/>
              <w:ind w:left="42" w:leftChars="20"/>
              <w:rPr>
                <w:rFonts w:hint="default" w:ascii="Times New Roman" w:hAnsi="Times New Roman" w:cs="Times New Roman"/>
                <w:color w:val="auto"/>
                <w:sz w:val="22"/>
                <w:szCs w:val="22"/>
                <w:highlight w:val="none"/>
              </w:rPr>
            </w:pPr>
          </w:p>
          <w:p w14:paraId="09778ED7">
            <w:pPr>
              <w:spacing w:line="420" w:lineRule="exact"/>
              <w:ind w:left="42" w:leftChars="2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明</w:t>
            </w:r>
          </w:p>
        </w:tc>
        <w:tc>
          <w:tcPr>
            <w:tcW w:w="8976" w:type="dxa"/>
            <w:gridSpan w:val="8"/>
            <w:noWrap w:val="0"/>
            <w:vAlign w:val="center"/>
          </w:tcPr>
          <w:p w14:paraId="1D2D96A5">
            <w:pPr>
              <w:widowControl/>
              <w:tabs>
                <w:tab w:val="left" w:pos="105"/>
              </w:tabs>
              <w:spacing w:line="360" w:lineRule="auto"/>
              <w:jc w:val="left"/>
              <w:rPr>
                <w:rFonts w:hint="default" w:ascii="Times New Roman" w:hAnsi="Times New Roman" w:eastAsia="宋体" w:cs="Times New Roman"/>
                <w:color w:val="auto"/>
                <w:kern w:val="0"/>
                <w:sz w:val="22"/>
                <w:szCs w:val="22"/>
                <w:highlight w:val="none"/>
                <w:lang w:eastAsia="zh-CN"/>
              </w:rPr>
            </w:pPr>
            <w:r>
              <w:rPr>
                <w:rFonts w:hint="default" w:ascii="Times New Roman" w:hAnsi="Times New Roman" w:cs="Times New Roman"/>
                <w:color w:val="auto"/>
                <w:sz w:val="22"/>
                <w:szCs w:val="22"/>
                <w:highlight w:val="none"/>
              </w:rPr>
              <w:t>1.设计范围：</w:t>
            </w:r>
            <w:r>
              <w:rPr>
                <w:rFonts w:hint="default" w:ascii="Times New Roman" w:hAnsi="Times New Roman" w:cs="Times New Roman"/>
                <w:color w:val="auto"/>
                <w:sz w:val="22"/>
                <w:szCs w:val="22"/>
                <w:highlight w:val="none"/>
                <w:u w:val="single"/>
                <w:lang w:val="en-US" w:eastAsia="zh-CN"/>
              </w:rPr>
              <w:t xml:space="preserve">                                                                    </w:t>
            </w:r>
          </w:p>
          <w:p w14:paraId="3FCE7A34">
            <w:pPr>
              <w:widowControl/>
              <w:tabs>
                <w:tab w:val="left" w:pos="105"/>
              </w:tabs>
              <w:spacing w:line="360" w:lineRule="auto"/>
              <w:jc w:val="lef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2.投资总金额暂定为人民币</w:t>
            </w:r>
            <w:r>
              <w:rPr>
                <w:rFonts w:hint="default" w:ascii="Times New Roman" w:hAnsi="Times New Roman" w:cs="Times New Roman"/>
                <w:color w:val="auto"/>
                <w:highlight w:val="none"/>
                <w:u w:val="single"/>
              </w:rPr>
              <w:t xml:space="preserve"> </w:t>
            </w:r>
            <w:r>
              <w:rPr>
                <w:rFonts w:hint="default" w:ascii="Times New Roman" w:hAnsi="Times New Roman" w:cs="Times New Roman"/>
                <w:color w:val="auto"/>
                <w:highlight w:val="none"/>
                <w:u w:val="single"/>
                <w:lang w:val="en-US" w:eastAsia="zh-CN"/>
              </w:rPr>
              <w:t xml:space="preserve">            </w:t>
            </w:r>
            <w:r>
              <w:rPr>
                <w:rFonts w:hint="default" w:ascii="Times New Roman" w:hAnsi="Times New Roman" w:cs="Times New Roman"/>
                <w:color w:val="auto"/>
                <w:sz w:val="22"/>
                <w:szCs w:val="22"/>
                <w:highlight w:val="none"/>
                <w:u w:val="none"/>
              </w:rPr>
              <w:t>万元，工程费用暂定为人民币</w:t>
            </w:r>
            <w:r>
              <w:rPr>
                <w:rFonts w:hint="default" w:ascii="Times New Roman" w:hAnsi="Times New Roman" w:cs="Times New Roman"/>
                <w:color w:val="auto"/>
                <w:sz w:val="22"/>
                <w:szCs w:val="22"/>
                <w:highlight w:val="none"/>
                <w:u w:val="single"/>
                <w:lang w:val="en-US" w:eastAsia="zh-CN"/>
              </w:rPr>
              <w:t xml:space="preserve">            </w:t>
            </w:r>
            <w:r>
              <w:rPr>
                <w:rFonts w:hint="default" w:ascii="Times New Roman" w:hAnsi="Times New Roman" w:cs="Times New Roman"/>
                <w:color w:val="auto"/>
                <w:sz w:val="22"/>
                <w:szCs w:val="22"/>
                <w:highlight w:val="none"/>
                <w:u w:val="none"/>
              </w:rPr>
              <w:t>万元。</w:t>
            </w:r>
          </w:p>
          <w:p w14:paraId="1B9AA3B2">
            <w:pPr>
              <w:widowControl/>
              <w:tabs>
                <w:tab w:val="left" w:pos="105"/>
              </w:tabs>
              <w:spacing w:line="360" w:lineRule="auto"/>
              <w:jc w:val="left"/>
              <w:rPr>
                <w:rFonts w:hint="default" w:ascii="Times New Roman" w:hAnsi="Times New Roman" w:cs="Times New Roman"/>
                <w:color w:val="auto"/>
                <w:highlight w:val="none"/>
                <w:u w:val="none"/>
              </w:rPr>
            </w:pPr>
            <w:r>
              <w:rPr>
                <w:rFonts w:hint="default" w:ascii="Times New Roman" w:hAnsi="Times New Roman" w:cs="Times New Roman"/>
                <w:color w:val="auto"/>
                <w:sz w:val="22"/>
                <w:szCs w:val="22"/>
                <w:highlight w:val="none"/>
              </w:rPr>
              <w:t>3.</w:t>
            </w:r>
            <w:r>
              <w:rPr>
                <w:rFonts w:hint="default" w:ascii="Times New Roman" w:hAnsi="Times New Roman" w:cs="Times New Roman"/>
                <w:color w:val="auto"/>
                <w:highlight w:val="none"/>
              </w:rPr>
              <w:t>工程设计费包含施工图设计、施工图预算编制费、竣工图编制费，中标后，基本设计费以经相关部门审定的概算建筑安装工程费为计费基数，参考国家发展计划委员会、建设部2002年颁布的《勘察设计费收费标准》计取，并乘以</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1</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投标下浮率</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，作为结算的依据。</w:t>
            </w:r>
            <w:r>
              <w:rPr>
                <w:rFonts w:hint="default" w:ascii="Times New Roman" w:hAnsi="Times New Roman" w:cs="Times New Roman"/>
                <w:color w:val="auto"/>
                <w:highlight w:val="none"/>
                <w:u w:val="none"/>
              </w:rPr>
              <w:t>①施工图设计费是按经审定的基本设计费的</w:t>
            </w:r>
            <w:r>
              <w:rPr>
                <w:rFonts w:hint="default" w:ascii="Times New Roman" w:hAnsi="Times New Roman" w:cs="Times New Roman"/>
                <w:color w:val="auto"/>
                <w:highlight w:val="none"/>
                <w:u w:val="single"/>
                <w:lang w:val="en-US" w:eastAsia="zh-CN"/>
              </w:rPr>
              <w:t xml:space="preserve">      </w:t>
            </w:r>
            <w:r>
              <w:rPr>
                <w:rFonts w:hint="default" w:ascii="Times New Roman" w:hAnsi="Times New Roman" w:cs="Times New Roman"/>
                <w:color w:val="auto"/>
                <w:highlight w:val="none"/>
                <w:u w:val="none"/>
              </w:rPr>
              <w:t>计取，②施工图预算编制费按经审定的基本设计费的</w:t>
            </w:r>
            <w:r>
              <w:rPr>
                <w:rFonts w:hint="default" w:ascii="Times New Roman" w:hAnsi="Times New Roman" w:cs="Times New Roman"/>
                <w:color w:val="auto"/>
                <w:highlight w:val="none"/>
                <w:u w:val="single"/>
                <w:lang w:val="en-US" w:eastAsia="zh-CN"/>
              </w:rPr>
              <w:t xml:space="preserve">      </w:t>
            </w:r>
            <w:r>
              <w:rPr>
                <w:rFonts w:hint="default" w:ascii="Times New Roman" w:hAnsi="Times New Roman" w:cs="Times New Roman"/>
                <w:color w:val="auto"/>
                <w:highlight w:val="none"/>
                <w:u w:val="none"/>
              </w:rPr>
              <w:t>计取，③竣工图编制费用按经审定的基本设计费的</w:t>
            </w:r>
            <w:r>
              <w:rPr>
                <w:rFonts w:hint="default" w:ascii="Times New Roman" w:hAnsi="Times New Roman" w:cs="Times New Roman"/>
                <w:color w:val="auto"/>
                <w:highlight w:val="none"/>
                <w:u w:val="single"/>
                <w:lang w:val="en-US" w:eastAsia="zh-CN"/>
              </w:rPr>
              <w:t xml:space="preserve">      </w:t>
            </w:r>
            <w:r>
              <w:rPr>
                <w:rFonts w:hint="default" w:ascii="Times New Roman" w:hAnsi="Times New Roman" w:cs="Times New Roman"/>
                <w:color w:val="auto"/>
                <w:highlight w:val="none"/>
                <w:u w:val="none"/>
              </w:rPr>
              <w:t>计取；</w:t>
            </w:r>
          </w:p>
          <w:p w14:paraId="2ADC3F80">
            <w:pPr>
              <w:widowControl/>
              <w:tabs>
                <w:tab w:val="left" w:pos="105"/>
              </w:tabs>
              <w:spacing w:line="360" w:lineRule="auto"/>
              <w:jc w:val="left"/>
              <w:rPr>
                <w:rFonts w:hint="default" w:ascii="Times New Roman" w:hAnsi="Times New Roman" w:cs="Times New Roman"/>
                <w:color w:val="auto"/>
                <w:highlight w:val="none"/>
                <w:u w:val="single"/>
                <w:lang w:val="en-US" w:eastAsia="zh-CN"/>
              </w:rPr>
            </w:pPr>
            <w:r>
              <w:rPr>
                <w:rFonts w:hint="default" w:ascii="Times New Roman" w:hAnsi="Times New Roman" w:eastAsia="宋体" w:cs="Times New Roman"/>
                <w:color w:val="auto"/>
                <w:sz w:val="22"/>
                <w:szCs w:val="22"/>
                <w:highlight w:val="none"/>
                <w:lang w:val="en-US" w:eastAsia="zh-CN"/>
              </w:rPr>
              <w:t>4.其</w:t>
            </w:r>
            <w:r>
              <w:rPr>
                <w:rFonts w:hint="default" w:ascii="Times New Roman" w:hAnsi="Times New Roman" w:cs="Times New Roman"/>
                <w:color w:val="auto"/>
                <w:highlight w:val="none"/>
                <w:u w:val="none"/>
                <w:lang w:val="en-US" w:eastAsia="zh-CN"/>
              </w:rPr>
              <w:t>他：</w:t>
            </w:r>
            <w:r>
              <w:rPr>
                <w:rFonts w:hint="default" w:ascii="Times New Roman" w:hAnsi="Times New Roman" w:cs="Times New Roman"/>
                <w:color w:val="auto"/>
                <w:highlight w:val="none"/>
                <w:u w:val="single"/>
                <w:lang w:val="en-US" w:eastAsia="zh-CN"/>
              </w:rPr>
              <w:t xml:space="preserve">                                                                                   </w:t>
            </w:r>
          </w:p>
          <w:p w14:paraId="4C9D813F">
            <w:pPr>
              <w:widowControl/>
              <w:tabs>
                <w:tab w:val="left" w:pos="105"/>
              </w:tabs>
              <w:spacing w:line="360" w:lineRule="auto"/>
              <w:jc w:val="left"/>
              <w:rPr>
                <w:rFonts w:hint="default" w:ascii="Times New Roman" w:hAnsi="Times New Roman" w:cs="Times New Roman"/>
                <w:color w:val="auto"/>
                <w:sz w:val="22"/>
                <w:szCs w:val="22"/>
                <w:highlight w:val="none"/>
              </w:rPr>
            </w:pPr>
            <w:r>
              <w:rPr>
                <w:rFonts w:hint="default" w:ascii="Times New Roman" w:hAnsi="Times New Roman" w:cs="Times New Roman"/>
                <w:color w:val="auto"/>
                <w:highlight w:val="none"/>
                <w:u w:val="single"/>
                <w:lang w:val="en-US" w:eastAsia="zh-CN"/>
              </w:rPr>
              <w:t xml:space="preserve">                                                                                   </w:t>
            </w:r>
          </w:p>
        </w:tc>
      </w:tr>
    </w:tbl>
    <w:p w14:paraId="5DB3B782">
      <w:pPr>
        <w:spacing w:line="420" w:lineRule="exact"/>
        <w:ind w:left="42" w:leftChars="20"/>
        <w:rPr>
          <w:rFonts w:hint="default" w:ascii="Times New Roman" w:hAnsi="Times New Roman" w:cs="Times New Roman"/>
          <w:color w:val="auto"/>
          <w:kern w:val="0"/>
          <w:sz w:val="22"/>
          <w:szCs w:val="22"/>
          <w:highlight w:val="none"/>
        </w:rPr>
      </w:pPr>
    </w:p>
    <w:p w14:paraId="00B90407">
      <w:pPr>
        <w:numPr>
          <w:ilvl w:val="0"/>
          <w:numId w:val="0"/>
        </w:numPr>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lang w:val="en-US" w:eastAsia="zh-CN"/>
        </w:rPr>
        <w:t xml:space="preserve">3. </w:t>
      </w:r>
      <w:r>
        <w:rPr>
          <w:rFonts w:hint="default" w:ascii="Times New Roman" w:hAnsi="Times New Roman" w:cs="Times New Roman"/>
          <w:b/>
          <w:bCs/>
          <w:color w:val="auto"/>
          <w:sz w:val="22"/>
          <w:szCs w:val="22"/>
          <w:highlight w:val="none"/>
        </w:rPr>
        <w:t>发包人应向设计人提交的有关资料及文件：</w:t>
      </w:r>
    </w:p>
    <w:p w14:paraId="2D6D8EEC">
      <w:pPr>
        <w:keepNext w:val="0"/>
        <w:keepLines w:val="0"/>
        <w:pageBreakBefore w:val="0"/>
        <w:widowControl w:val="0"/>
        <w:kinsoku/>
        <w:wordWrap w:val="0"/>
        <w:overflowPunct/>
        <w:topLinePunct w:val="0"/>
        <w:autoSpaceDE/>
        <w:autoSpaceDN/>
        <w:bidi w:val="0"/>
        <w:adjustRightInd/>
        <w:snapToGrid/>
        <w:spacing w:line="420" w:lineRule="exact"/>
        <w:ind w:left="42" w:leftChars="20" w:firstLine="440" w:firstLineChars="200"/>
        <w:textAlignment w:val="auto"/>
        <w:rPr>
          <w:rFonts w:hint="default" w:ascii="Times New Roman" w:hAnsi="Times New Roman" w:cs="Times New Roman"/>
          <w:color w:val="auto"/>
          <w:sz w:val="22"/>
          <w:szCs w:val="22"/>
          <w:highlight w:val="none"/>
          <w:u w:val="single"/>
          <w:lang w:val="en-US" w:eastAsia="zh-CN"/>
        </w:rPr>
      </w:pPr>
      <w:r>
        <w:rPr>
          <w:rFonts w:hint="default" w:ascii="Times New Roman" w:hAnsi="Times New Roman" w:cs="Times New Roman"/>
          <w:color w:val="auto"/>
          <w:sz w:val="22"/>
          <w:szCs w:val="22"/>
          <w:highlight w:val="none"/>
          <w:u w:val="single"/>
        </w:rPr>
        <w:t>发包人提供设计文件任务书。</w:t>
      </w:r>
      <w:r>
        <w:rPr>
          <w:rFonts w:hint="default" w:ascii="Times New Roman" w:hAnsi="Times New Roman" w:cs="Times New Roman"/>
          <w:color w:val="auto"/>
          <w:sz w:val="22"/>
          <w:szCs w:val="22"/>
          <w:highlight w:val="none"/>
          <w:u w:val="single"/>
          <w:lang w:val="en-US" w:eastAsia="zh-CN"/>
        </w:rPr>
        <w:t xml:space="preserve">                                                                                                                             </w:t>
      </w:r>
    </w:p>
    <w:p w14:paraId="37549974">
      <w:pPr>
        <w:spacing w:line="420" w:lineRule="exact"/>
        <w:ind w:left="42" w:leftChars="20"/>
        <w:rPr>
          <w:rFonts w:hint="default" w:ascii="Times New Roman" w:hAnsi="Times New Roman" w:cs="Times New Roman"/>
          <w:b/>
          <w:color w:val="auto"/>
          <w:sz w:val="22"/>
          <w:szCs w:val="22"/>
          <w:highlight w:val="none"/>
          <w:u w:val="single"/>
        </w:rPr>
      </w:pPr>
    </w:p>
    <w:p w14:paraId="7F254762">
      <w:pPr>
        <w:numPr>
          <w:ilvl w:val="0"/>
          <w:numId w:val="0"/>
        </w:numPr>
        <w:spacing w:line="420" w:lineRule="exact"/>
        <w:ind w:leftChars="20"/>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lang w:val="en-US" w:eastAsia="zh-CN"/>
        </w:rPr>
        <w:t xml:space="preserve">4. </w:t>
      </w:r>
      <w:r>
        <w:rPr>
          <w:rFonts w:hint="default" w:ascii="Times New Roman" w:hAnsi="Times New Roman" w:cs="Times New Roman"/>
          <w:b/>
          <w:bCs/>
          <w:color w:val="auto"/>
          <w:sz w:val="22"/>
          <w:szCs w:val="22"/>
          <w:highlight w:val="none"/>
        </w:rPr>
        <w:t>设计人应向发包人交付的设计资料及文件：</w:t>
      </w:r>
    </w:p>
    <w:p w14:paraId="6CCA469A">
      <w:pPr>
        <w:numPr>
          <w:ilvl w:val="0"/>
          <w:numId w:val="0"/>
        </w:numPr>
        <w:spacing w:line="420" w:lineRule="exact"/>
        <w:ind w:leftChars="20"/>
        <w:rPr>
          <w:rFonts w:hint="default" w:ascii="Times New Roman" w:hAnsi="Times New Roman" w:cs="Times New Roman"/>
          <w:b/>
          <w:bCs/>
          <w:color w:val="auto"/>
          <w:sz w:val="22"/>
          <w:szCs w:val="22"/>
          <w:highlight w:val="none"/>
        </w:rPr>
      </w:pPr>
    </w:p>
    <w:tbl>
      <w:tblPr>
        <w:tblStyle w:val="29"/>
        <w:tblW w:w="0" w:type="auto"/>
        <w:jc w:val="center"/>
        <w:tblLayout w:type="fixed"/>
        <w:tblCellMar>
          <w:top w:w="0" w:type="dxa"/>
          <w:left w:w="108" w:type="dxa"/>
          <w:bottom w:w="0" w:type="dxa"/>
          <w:right w:w="108" w:type="dxa"/>
        </w:tblCellMar>
      </w:tblPr>
      <w:tblGrid>
        <w:gridCol w:w="915"/>
        <w:gridCol w:w="3225"/>
        <w:gridCol w:w="2198"/>
        <w:gridCol w:w="713"/>
        <w:gridCol w:w="1880"/>
      </w:tblGrid>
      <w:tr w14:paraId="515544E6">
        <w:tblPrEx>
          <w:tblCellMar>
            <w:top w:w="0" w:type="dxa"/>
            <w:left w:w="108" w:type="dxa"/>
            <w:bottom w:w="0" w:type="dxa"/>
            <w:right w:w="108" w:type="dxa"/>
          </w:tblCellMar>
        </w:tblPrEx>
        <w:trPr>
          <w:trHeight w:val="612" w:hRule="atLeast"/>
          <w:jc w:val="center"/>
        </w:trPr>
        <w:tc>
          <w:tcPr>
            <w:tcW w:w="915" w:type="dxa"/>
            <w:tcBorders>
              <w:top w:val="single" w:color="auto" w:sz="4" w:space="0"/>
              <w:left w:val="single" w:color="auto" w:sz="4" w:space="0"/>
              <w:bottom w:val="single" w:color="auto" w:sz="4" w:space="0"/>
              <w:right w:val="single" w:color="auto" w:sz="4" w:space="0"/>
            </w:tcBorders>
            <w:noWrap w:val="0"/>
            <w:vAlign w:val="center"/>
          </w:tcPr>
          <w:p w14:paraId="6C16CA13">
            <w:pPr>
              <w:spacing w:line="420" w:lineRule="exact"/>
              <w:ind w:left="42" w:leftChars="20"/>
              <w:jc w:val="center"/>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序号</w:t>
            </w:r>
          </w:p>
        </w:tc>
        <w:tc>
          <w:tcPr>
            <w:tcW w:w="3225" w:type="dxa"/>
            <w:tcBorders>
              <w:top w:val="single" w:color="auto" w:sz="4" w:space="0"/>
              <w:left w:val="nil"/>
              <w:bottom w:val="single" w:color="auto" w:sz="4" w:space="0"/>
              <w:right w:val="single" w:color="auto" w:sz="4" w:space="0"/>
            </w:tcBorders>
            <w:noWrap w:val="0"/>
            <w:vAlign w:val="center"/>
          </w:tcPr>
          <w:p w14:paraId="5117F0A7">
            <w:pPr>
              <w:spacing w:line="420" w:lineRule="exact"/>
              <w:ind w:left="42" w:leftChars="20" w:firstLine="110" w:firstLineChars="50"/>
              <w:jc w:val="center"/>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资料及文件名称</w:t>
            </w:r>
          </w:p>
        </w:tc>
        <w:tc>
          <w:tcPr>
            <w:tcW w:w="2198" w:type="dxa"/>
            <w:tcBorders>
              <w:top w:val="single" w:color="auto" w:sz="4" w:space="0"/>
              <w:left w:val="nil"/>
              <w:bottom w:val="single" w:color="auto" w:sz="4" w:space="0"/>
              <w:right w:val="single" w:color="auto" w:sz="4" w:space="0"/>
            </w:tcBorders>
            <w:noWrap w:val="0"/>
            <w:vAlign w:val="center"/>
          </w:tcPr>
          <w:p w14:paraId="14F3E33C">
            <w:pPr>
              <w:spacing w:line="420" w:lineRule="exact"/>
              <w:ind w:left="42" w:leftChars="20" w:firstLine="110" w:firstLineChars="50"/>
              <w:jc w:val="center"/>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内容要求</w:t>
            </w:r>
          </w:p>
        </w:tc>
        <w:tc>
          <w:tcPr>
            <w:tcW w:w="713" w:type="dxa"/>
            <w:tcBorders>
              <w:top w:val="single" w:color="auto" w:sz="4" w:space="0"/>
              <w:left w:val="nil"/>
              <w:bottom w:val="single" w:color="auto" w:sz="4" w:space="0"/>
              <w:right w:val="single" w:color="auto" w:sz="4" w:space="0"/>
            </w:tcBorders>
            <w:noWrap w:val="0"/>
            <w:vAlign w:val="center"/>
          </w:tcPr>
          <w:p w14:paraId="59A51F2A">
            <w:pPr>
              <w:spacing w:line="420" w:lineRule="exact"/>
              <w:ind w:left="42" w:leftChars="20"/>
              <w:jc w:val="center"/>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份数</w:t>
            </w:r>
          </w:p>
        </w:tc>
        <w:tc>
          <w:tcPr>
            <w:tcW w:w="1880" w:type="dxa"/>
            <w:tcBorders>
              <w:top w:val="single" w:color="auto" w:sz="4" w:space="0"/>
              <w:left w:val="nil"/>
              <w:bottom w:val="single" w:color="auto" w:sz="4" w:space="0"/>
              <w:right w:val="single" w:color="auto" w:sz="4" w:space="0"/>
            </w:tcBorders>
            <w:noWrap w:val="0"/>
            <w:vAlign w:val="center"/>
          </w:tcPr>
          <w:p w14:paraId="079186FD">
            <w:pPr>
              <w:spacing w:line="420" w:lineRule="exact"/>
              <w:ind w:left="42" w:leftChars="20" w:firstLine="110" w:firstLineChars="50"/>
              <w:jc w:val="center"/>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工期要求</w:t>
            </w:r>
          </w:p>
        </w:tc>
      </w:tr>
      <w:tr w14:paraId="618A0C6D">
        <w:tblPrEx>
          <w:tblCellMar>
            <w:top w:w="0" w:type="dxa"/>
            <w:left w:w="108" w:type="dxa"/>
            <w:bottom w:w="0" w:type="dxa"/>
            <w:right w:w="108" w:type="dxa"/>
          </w:tblCellMar>
        </w:tblPrEx>
        <w:trPr>
          <w:trHeight w:val="2520" w:hRule="atLeast"/>
          <w:jc w:val="center"/>
        </w:trPr>
        <w:tc>
          <w:tcPr>
            <w:tcW w:w="915" w:type="dxa"/>
            <w:tcBorders>
              <w:top w:val="single" w:color="auto" w:sz="4" w:space="0"/>
              <w:left w:val="single" w:color="auto" w:sz="4" w:space="0"/>
              <w:right w:val="single" w:color="auto" w:sz="4" w:space="0"/>
            </w:tcBorders>
            <w:noWrap w:val="0"/>
            <w:vAlign w:val="center"/>
          </w:tcPr>
          <w:p w14:paraId="69F2F26B">
            <w:pPr>
              <w:spacing w:line="420" w:lineRule="exact"/>
              <w:ind w:left="42" w:leftChars="20" w:firstLine="330" w:firstLineChars="1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1</w:t>
            </w:r>
          </w:p>
        </w:tc>
        <w:tc>
          <w:tcPr>
            <w:tcW w:w="3225" w:type="dxa"/>
            <w:tcBorders>
              <w:top w:val="single" w:color="auto" w:sz="4" w:space="0"/>
              <w:left w:val="single" w:color="auto" w:sz="4" w:space="0"/>
              <w:right w:val="single" w:color="auto" w:sz="4" w:space="0"/>
            </w:tcBorders>
            <w:noWrap w:val="0"/>
            <w:vAlign w:val="center"/>
          </w:tcPr>
          <w:p w14:paraId="4627C817">
            <w:pPr>
              <w:spacing w:line="420" w:lineRule="exact"/>
              <w:ind w:left="42" w:leftChars="2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施工图设计文件及电子文档</w:t>
            </w:r>
            <w:r>
              <w:rPr>
                <w:rFonts w:hint="default" w:ascii="Times New Roman" w:hAnsi="Times New Roman" w:cs="Times New Roman"/>
                <w:color w:val="auto"/>
                <w:kern w:val="0"/>
                <w:sz w:val="22"/>
                <w:szCs w:val="22"/>
                <w:highlight w:val="none"/>
                <w:lang w:eastAsia="zh-CN"/>
              </w:rPr>
              <w:t>（</w:t>
            </w:r>
            <w:r>
              <w:rPr>
                <w:rFonts w:hint="default" w:ascii="Times New Roman" w:hAnsi="Times New Roman" w:cs="Times New Roman"/>
                <w:color w:val="auto"/>
                <w:kern w:val="0"/>
                <w:sz w:val="22"/>
                <w:szCs w:val="22"/>
                <w:highlight w:val="none"/>
              </w:rPr>
              <w:t>含CAD图文档</w:t>
            </w:r>
            <w:r>
              <w:rPr>
                <w:rFonts w:hint="default" w:ascii="Times New Roman" w:hAnsi="Times New Roman" w:cs="Times New Roman"/>
                <w:color w:val="auto"/>
                <w:kern w:val="0"/>
                <w:sz w:val="22"/>
                <w:szCs w:val="22"/>
                <w:highlight w:val="none"/>
                <w:lang w:eastAsia="zh-CN"/>
              </w:rPr>
              <w:t>）</w:t>
            </w:r>
          </w:p>
        </w:tc>
        <w:tc>
          <w:tcPr>
            <w:tcW w:w="2198" w:type="dxa"/>
            <w:tcBorders>
              <w:top w:val="single" w:color="auto" w:sz="4" w:space="0"/>
              <w:left w:val="single" w:color="auto" w:sz="4" w:space="0"/>
              <w:right w:val="single" w:color="auto" w:sz="4" w:space="0"/>
            </w:tcBorders>
            <w:noWrap w:val="0"/>
            <w:vAlign w:val="center"/>
          </w:tcPr>
          <w:p w14:paraId="70D9A0E3">
            <w:pPr>
              <w:spacing w:line="420" w:lineRule="exact"/>
              <w:ind w:left="42" w:leftChars="20" w:firstLine="110" w:firstLineChars="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符合施工图审查要求</w:t>
            </w:r>
          </w:p>
        </w:tc>
        <w:tc>
          <w:tcPr>
            <w:tcW w:w="713" w:type="dxa"/>
            <w:tcBorders>
              <w:top w:val="single" w:color="auto" w:sz="4" w:space="0"/>
              <w:left w:val="single" w:color="auto" w:sz="4" w:space="0"/>
              <w:right w:val="single" w:color="auto" w:sz="4" w:space="0"/>
            </w:tcBorders>
            <w:noWrap w:val="0"/>
            <w:vAlign w:val="center"/>
          </w:tcPr>
          <w:p w14:paraId="17FD917E">
            <w:pPr>
              <w:spacing w:line="420" w:lineRule="exact"/>
              <w:ind w:left="42" w:leftChars="20" w:firstLine="110" w:firstLineChars="50"/>
              <w:jc w:val="center"/>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16</w:t>
            </w:r>
          </w:p>
        </w:tc>
        <w:tc>
          <w:tcPr>
            <w:tcW w:w="1880" w:type="dxa"/>
            <w:tcBorders>
              <w:top w:val="single" w:color="auto" w:sz="4" w:space="0"/>
              <w:left w:val="single" w:color="auto" w:sz="4" w:space="0"/>
              <w:right w:val="single" w:color="auto" w:sz="4" w:space="0"/>
            </w:tcBorders>
            <w:noWrap w:val="0"/>
            <w:vAlign w:val="top"/>
          </w:tcPr>
          <w:p w14:paraId="48921F38">
            <w:pPr>
              <w:spacing w:line="420" w:lineRule="exact"/>
              <w:ind w:left="42" w:leftChars="20"/>
              <w:rPr>
                <w:rFonts w:hint="default" w:ascii="Times New Roman" w:hAnsi="Times New Roman" w:cs="Times New Roman"/>
                <w:color w:val="auto"/>
                <w:sz w:val="22"/>
                <w:szCs w:val="22"/>
                <w:highlight w:val="none"/>
              </w:rPr>
            </w:pPr>
            <w:r>
              <w:rPr>
                <w:rFonts w:hint="default" w:ascii="Times New Roman" w:hAnsi="Times New Roman" w:cs="Times New Roman"/>
                <w:color w:val="auto"/>
                <w:kern w:val="0"/>
                <w:sz w:val="22"/>
                <w:szCs w:val="22"/>
                <w:highlight w:val="none"/>
              </w:rPr>
              <w:t>施工图设计审查通过后10日，</w:t>
            </w:r>
            <w:r>
              <w:rPr>
                <w:rFonts w:hint="default" w:ascii="Times New Roman" w:hAnsi="Times New Roman" w:cs="Times New Roman"/>
                <w:color w:val="auto"/>
                <w:sz w:val="22"/>
                <w:szCs w:val="22"/>
                <w:highlight w:val="none"/>
              </w:rPr>
              <w:t>此数量不含施工和设计方的图纸。（供发包人和监理单位初审的图纸（白图）数量不限，初审图纸数量视乎设计文件的深度和精度而定，由承包方无条件负责提供）</w:t>
            </w:r>
          </w:p>
          <w:p w14:paraId="66847C2D">
            <w:pPr>
              <w:spacing w:line="420" w:lineRule="exact"/>
              <w:ind w:left="42" w:leftChars="20" w:firstLine="105"/>
              <w:rPr>
                <w:rFonts w:hint="default" w:ascii="Times New Roman" w:hAnsi="Times New Roman" w:cs="Times New Roman"/>
                <w:color w:val="auto"/>
                <w:kern w:val="0"/>
                <w:sz w:val="22"/>
                <w:szCs w:val="22"/>
                <w:highlight w:val="none"/>
              </w:rPr>
            </w:pPr>
          </w:p>
        </w:tc>
      </w:tr>
      <w:tr w14:paraId="1B9540BF">
        <w:tblPrEx>
          <w:tblCellMar>
            <w:top w:w="0" w:type="dxa"/>
            <w:left w:w="108" w:type="dxa"/>
            <w:bottom w:w="0" w:type="dxa"/>
            <w:right w:w="108" w:type="dxa"/>
          </w:tblCellMar>
        </w:tblPrEx>
        <w:trPr>
          <w:trHeight w:val="675" w:hRule="atLeast"/>
          <w:jc w:val="center"/>
        </w:trPr>
        <w:tc>
          <w:tcPr>
            <w:tcW w:w="915" w:type="dxa"/>
            <w:tcBorders>
              <w:top w:val="single" w:color="auto" w:sz="4" w:space="0"/>
              <w:left w:val="single" w:color="auto" w:sz="4" w:space="0"/>
              <w:right w:val="single" w:color="auto" w:sz="4" w:space="0"/>
            </w:tcBorders>
            <w:noWrap w:val="0"/>
            <w:vAlign w:val="center"/>
          </w:tcPr>
          <w:p w14:paraId="07DB5872">
            <w:pPr>
              <w:spacing w:line="420" w:lineRule="exact"/>
              <w:ind w:left="42" w:leftChars="20"/>
              <w:jc w:val="center"/>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2</w:t>
            </w:r>
          </w:p>
        </w:tc>
        <w:tc>
          <w:tcPr>
            <w:tcW w:w="3225" w:type="dxa"/>
            <w:tcBorders>
              <w:top w:val="single" w:color="auto" w:sz="4" w:space="0"/>
              <w:left w:val="single" w:color="auto" w:sz="4" w:space="0"/>
              <w:right w:val="single" w:color="auto" w:sz="4" w:space="0"/>
            </w:tcBorders>
            <w:noWrap w:val="0"/>
            <w:vAlign w:val="center"/>
          </w:tcPr>
          <w:p w14:paraId="69C691B1">
            <w:pPr>
              <w:spacing w:line="420" w:lineRule="exact"/>
              <w:ind w:left="42" w:leftChars="2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报建通、验收通和竣工通等其他工作内容</w:t>
            </w:r>
          </w:p>
        </w:tc>
        <w:tc>
          <w:tcPr>
            <w:tcW w:w="2198" w:type="dxa"/>
            <w:tcBorders>
              <w:top w:val="single" w:color="auto" w:sz="4" w:space="0"/>
              <w:left w:val="single" w:color="auto" w:sz="4" w:space="0"/>
              <w:right w:val="single" w:color="auto" w:sz="4" w:space="0"/>
            </w:tcBorders>
            <w:noWrap w:val="0"/>
            <w:vAlign w:val="center"/>
          </w:tcPr>
          <w:p w14:paraId="5B0B0CDF">
            <w:pPr>
              <w:spacing w:line="420" w:lineRule="exact"/>
              <w:ind w:left="42" w:leftChars="20" w:firstLine="110" w:firstLineChars="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sz w:val="22"/>
                <w:szCs w:val="22"/>
                <w:highlight w:val="none"/>
              </w:rPr>
              <w:t>符合相关规范要求</w:t>
            </w:r>
          </w:p>
        </w:tc>
        <w:tc>
          <w:tcPr>
            <w:tcW w:w="713" w:type="dxa"/>
            <w:tcBorders>
              <w:top w:val="single" w:color="auto" w:sz="4" w:space="0"/>
              <w:left w:val="single" w:color="auto" w:sz="4" w:space="0"/>
              <w:right w:val="single" w:color="auto" w:sz="4" w:space="0"/>
            </w:tcBorders>
            <w:noWrap w:val="0"/>
            <w:vAlign w:val="center"/>
          </w:tcPr>
          <w:p w14:paraId="35748354">
            <w:pPr>
              <w:spacing w:line="420" w:lineRule="exact"/>
              <w:ind w:left="42" w:leftChars="20" w:firstLine="110" w:firstLineChars="50"/>
              <w:jc w:val="center"/>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1</w:t>
            </w:r>
          </w:p>
        </w:tc>
        <w:tc>
          <w:tcPr>
            <w:tcW w:w="1880" w:type="dxa"/>
            <w:tcBorders>
              <w:top w:val="single" w:color="auto" w:sz="4" w:space="0"/>
              <w:left w:val="single" w:color="auto" w:sz="4" w:space="0"/>
              <w:right w:val="single" w:color="auto" w:sz="4" w:space="0"/>
            </w:tcBorders>
            <w:noWrap w:val="0"/>
            <w:vAlign w:val="center"/>
          </w:tcPr>
          <w:p w14:paraId="4B97C715">
            <w:pPr>
              <w:spacing w:line="420" w:lineRule="exact"/>
              <w:ind w:left="42" w:leftChars="20" w:firstLine="110" w:firstLineChars="50"/>
              <w:jc w:val="center"/>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由承包方负责</w:t>
            </w:r>
          </w:p>
        </w:tc>
      </w:tr>
      <w:tr w14:paraId="2053F1E2">
        <w:tblPrEx>
          <w:tblCellMar>
            <w:top w:w="0" w:type="dxa"/>
            <w:left w:w="108" w:type="dxa"/>
            <w:bottom w:w="0" w:type="dxa"/>
            <w:right w:w="108" w:type="dxa"/>
          </w:tblCellMar>
        </w:tblPrEx>
        <w:trPr>
          <w:trHeight w:val="752" w:hRule="atLeast"/>
          <w:jc w:val="center"/>
        </w:trPr>
        <w:tc>
          <w:tcPr>
            <w:tcW w:w="915" w:type="dxa"/>
            <w:tcBorders>
              <w:top w:val="single" w:color="auto" w:sz="4" w:space="0"/>
              <w:left w:val="single" w:color="auto" w:sz="4" w:space="0"/>
              <w:right w:val="single" w:color="auto" w:sz="4" w:space="0"/>
            </w:tcBorders>
            <w:noWrap w:val="0"/>
            <w:vAlign w:val="center"/>
          </w:tcPr>
          <w:p w14:paraId="55248A86">
            <w:pPr>
              <w:spacing w:line="420" w:lineRule="exact"/>
              <w:ind w:left="42" w:leftChars="20"/>
              <w:jc w:val="center"/>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3</w:t>
            </w:r>
          </w:p>
        </w:tc>
        <w:tc>
          <w:tcPr>
            <w:tcW w:w="3225" w:type="dxa"/>
            <w:tcBorders>
              <w:top w:val="single" w:color="auto" w:sz="4" w:space="0"/>
              <w:left w:val="single" w:color="auto" w:sz="4" w:space="0"/>
              <w:right w:val="single" w:color="auto" w:sz="4" w:space="0"/>
            </w:tcBorders>
            <w:noWrap w:val="0"/>
            <w:vAlign w:val="center"/>
          </w:tcPr>
          <w:p w14:paraId="38220532">
            <w:pPr>
              <w:spacing w:line="420" w:lineRule="exact"/>
              <w:ind w:left="42" w:leftChars="2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施工图预算文件 </w:t>
            </w:r>
          </w:p>
        </w:tc>
        <w:tc>
          <w:tcPr>
            <w:tcW w:w="2198" w:type="dxa"/>
            <w:tcBorders>
              <w:top w:val="single" w:color="auto" w:sz="4" w:space="0"/>
              <w:left w:val="single" w:color="auto" w:sz="4" w:space="0"/>
              <w:right w:val="single" w:color="auto" w:sz="4" w:space="0"/>
            </w:tcBorders>
            <w:noWrap w:val="0"/>
            <w:vAlign w:val="center"/>
          </w:tcPr>
          <w:p w14:paraId="671C11DF">
            <w:pPr>
              <w:spacing w:line="420" w:lineRule="exact"/>
              <w:ind w:left="42" w:leftChars="20" w:firstLine="110" w:firstLineChars="50"/>
              <w:rPr>
                <w:rFonts w:hint="default" w:ascii="Times New Roman" w:hAnsi="Times New Roman" w:cs="Times New Roman"/>
                <w:color w:val="auto"/>
                <w:sz w:val="22"/>
                <w:szCs w:val="22"/>
                <w:highlight w:val="none"/>
              </w:rPr>
            </w:pPr>
            <w:r>
              <w:rPr>
                <w:rFonts w:hint="default" w:ascii="Times New Roman" w:hAnsi="Times New Roman" w:cs="Times New Roman"/>
                <w:color w:val="auto"/>
                <w:kern w:val="0"/>
                <w:sz w:val="22"/>
                <w:szCs w:val="22"/>
                <w:highlight w:val="none"/>
              </w:rPr>
              <w:t>符合相关规范要求</w:t>
            </w:r>
          </w:p>
        </w:tc>
        <w:tc>
          <w:tcPr>
            <w:tcW w:w="713" w:type="dxa"/>
            <w:tcBorders>
              <w:top w:val="single" w:color="auto" w:sz="4" w:space="0"/>
              <w:left w:val="single" w:color="auto" w:sz="4" w:space="0"/>
              <w:right w:val="single" w:color="auto" w:sz="4" w:space="0"/>
            </w:tcBorders>
            <w:noWrap w:val="0"/>
            <w:vAlign w:val="center"/>
          </w:tcPr>
          <w:p w14:paraId="27113973">
            <w:pPr>
              <w:spacing w:line="420" w:lineRule="exact"/>
              <w:ind w:left="42" w:leftChars="20" w:firstLine="110" w:firstLineChars="50"/>
              <w:jc w:val="center"/>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8</w:t>
            </w:r>
          </w:p>
        </w:tc>
        <w:tc>
          <w:tcPr>
            <w:tcW w:w="1880" w:type="dxa"/>
            <w:tcBorders>
              <w:top w:val="single" w:color="auto" w:sz="4" w:space="0"/>
              <w:left w:val="single" w:color="auto" w:sz="4" w:space="0"/>
              <w:right w:val="single" w:color="auto" w:sz="4" w:space="0"/>
            </w:tcBorders>
            <w:noWrap w:val="0"/>
            <w:vAlign w:val="center"/>
          </w:tcPr>
          <w:p w14:paraId="22B66ADC">
            <w:pPr>
              <w:spacing w:line="420" w:lineRule="exact"/>
              <w:ind w:left="42" w:leftChars="20" w:firstLine="110" w:firstLineChars="50"/>
              <w:jc w:val="center"/>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由承包方负责</w:t>
            </w:r>
          </w:p>
        </w:tc>
      </w:tr>
      <w:tr w14:paraId="6B1B4967">
        <w:tblPrEx>
          <w:tblCellMar>
            <w:top w:w="0" w:type="dxa"/>
            <w:left w:w="108" w:type="dxa"/>
            <w:bottom w:w="0" w:type="dxa"/>
            <w:right w:w="108" w:type="dxa"/>
          </w:tblCellMar>
        </w:tblPrEx>
        <w:trPr>
          <w:trHeight w:val="661" w:hRule="atLeast"/>
          <w:jc w:val="center"/>
        </w:trPr>
        <w:tc>
          <w:tcPr>
            <w:tcW w:w="915" w:type="dxa"/>
            <w:tcBorders>
              <w:top w:val="single" w:color="auto" w:sz="4" w:space="0"/>
              <w:left w:val="single" w:color="auto" w:sz="4" w:space="0"/>
              <w:bottom w:val="single" w:color="auto" w:sz="4" w:space="0"/>
              <w:right w:val="single" w:color="auto" w:sz="4" w:space="0"/>
            </w:tcBorders>
            <w:noWrap w:val="0"/>
            <w:vAlign w:val="center"/>
          </w:tcPr>
          <w:p w14:paraId="1422122D">
            <w:pPr>
              <w:spacing w:line="420" w:lineRule="exact"/>
              <w:ind w:left="42" w:leftChars="20" w:firstLine="330" w:firstLineChars="1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4</w:t>
            </w:r>
          </w:p>
        </w:tc>
        <w:tc>
          <w:tcPr>
            <w:tcW w:w="3225" w:type="dxa"/>
            <w:tcBorders>
              <w:top w:val="single" w:color="auto" w:sz="4" w:space="0"/>
              <w:left w:val="nil"/>
              <w:bottom w:val="single" w:color="auto" w:sz="4" w:space="0"/>
              <w:right w:val="single" w:color="auto" w:sz="4" w:space="0"/>
            </w:tcBorders>
            <w:noWrap w:val="0"/>
            <w:vAlign w:val="center"/>
          </w:tcPr>
          <w:p w14:paraId="747CAB0F">
            <w:pPr>
              <w:spacing w:line="420" w:lineRule="exact"/>
              <w:ind w:left="42" w:leftChars="2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其他设计文件（含竣工图等）</w:t>
            </w:r>
          </w:p>
        </w:tc>
        <w:tc>
          <w:tcPr>
            <w:tcW w:w="2198" w:type="dxa"/>
            <w:tcBorders>
              <w:top w:val="single" w:color="auto" w:sz="4" w:space="0"/>
              <w:left w:val="nil"/>
              <w:bottom w:val="single" w:color="auto" w:sz="4" w:space="0"/>
              <w:right w:val="single" w:color="auto" w:sz="4" w:space="0"/>
            </w:tcBorders>
            <w:noWrap w:val="0"/>
            <w:vAlign w:val="center"/>
          </w:tcPr>
          <w:p w14:paraId="1C3866F3">
            <w:pPr>
              <w:spacing w:line="420" w:lineRule="exact"/>
              <w:ind w:left="42" w:leftChars="20" w:firstLine="110" w:firstLineChars="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符合相关规范要求</w:t>
            </w:r>
          </w:p>
        </w:tc>
        <w:tc>
          <w:tcPr>
            <w:tcW w:w="713" w:type="dxa"/>
            <w:tcBorders>
              <w:top w:val="single" w:color="auto" w:sz="4" w:space="0"/>
              <w:left w:val="nil"/>
              <w:bottom w:val="single" w:color="auto" w:sz="4" w:space="0"/>
              <w:right w:val="single" w:color="auto" w:sz="4" w:space="0"/>
            </w:tcBorders>
            <w:noWrap w:val="0"/>
            <w:vAlign w:val="center"/>
          </w:tcPr>
          <w:p w14:paraId="5C1DF9E2">
            <w:pPr>
              <w:spacing w:line="420" w:lineRule="exact"/>
              <w:ind w:left="42" w:leftChars="20" w:firstLine="110" w:firstLineChars="50"/>
              <w:jc w:val="center"/>
              <w:rPr>
                <w:rFonts w:hint="default" w:ascii="Times New Roman" w:hAnsi="Times New Roman" w:cs="Times New Roman"/>
                <w:color w:val="auto"/>
                <w:kern w:val="0"/>
                <w:sz w:val="22"/>
                <w:szCs w:val="22"/>
                <w:highlight w:val="none"/>
              </w:rPr>
            </w:pPr>
          </w:p>
        </w:tc>
        <w:tc>
          <w:tcPr>
            <w:tcW w:w="1880" w:type="dxa"/>
            <w:tcBorders>
              <w:top w:val="single" w:color="auto" w:sz="4" w:space="0"/>
              <w:left w:val="nil"/>
              <w:bottom w:val="single" w:color="auto" w:sz="4" w:space="0"/>
              <w:right w:val="single" w:color="auto" w:sz="4" w:space="0"/>
            </w:tcBorders>
            <w:noWrap w:val="0"/>
            <w:vAlign w:val="top"/>
          </w:tcPr>
          <w:p w14:paraId="7EC6873F">
            <w:pPr>
              <w:spacing w:line="420" w:lineRule="exact"/>
              <w:ind w:left="42" w:leftChars="20" w:firstLine="110" w:firstLineChars="50"/>
              <w:rPr>
                <w:rFonts w:hint="default" w:ascii="Times New Roman" w:hAnsi="Times New Roman" w:cs="Times New Roman"/>
                <w:color w:val="auto"/>
                <w:kern w:val="0"/>
                <w:sz w:val="22"/>
                <w:szCs w:val="22"/>
                <w:highlight w:val="none"/>
              </w:rPr>
            </w:pPr>
          </w:p>
        </w:tc>
      </w:tr>
    </w:tbl>
    <w:p w14:paraId="277A4773">
      <w:pPr>
        <w:spacing w:line="420" w:lineRule="exact"/>
        <w:ind w:left="42" w:leftChars="20"/>
        <w:rPr>
          <w:rFonts w:hint="default" w:ascii="Times New Roman" w:hAnsi="Times New Roman" w:cs="Times New Roman"/>
          <w:b/>
          <w:color w:val="auto"/>
          <w:sz w:val="22"/>
          <w:szCs w:val="22"/>
          <w:highlight w:val="none"/>
        </w:rPr>
      </w:pPr>
    </w:p>
    <w:p w14:paraId="14D7A564">
      <w:pPr>
        <w:numPr>
          <w:ilvl w:val="0"/>
          <w:numId w:val="0"/>
        </w:numPr>
        <w:spacing w:line="420" w:lineRule="exact"/>
        <w:ind w:leftChars="20"/>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lang w:val="en-US" w:eastAsia="zh-CN"/>
        </w:rPr>
        <w:t xml:space="preserve">5. </w:t>
      </w:r>
      <w:r>
        <w:rPr>
          <w:rFonts w:hint="default" w:ascii="Times New Roman" w:hAnsi="Times New Roman" w:cs="Times New Roman"/>
          <w:b/>
          <w:bCs/>
          <w:color w:val="auto"/>
          <w:sz w:val="22"/>
          <w:szCs w:val="22"/>
          <w:highlight w:val="none"/>
        </w:rPr>
        <w:t>设计</w:t>
      </w:r>
      <w:r>
        <w:rPr>
          <w:rFonts w:hint="default" w:ascii="Times New Roman" w:hAnsi="Times New Roman" w:cs="Times New Roman"/>
          <w:b/>
          <w:bCs/>
          <w:color w:val="auto"/>
          <w:sz w:val="22"/>
          <w:szCs w:val="22"/>
          <w:highlight w:val="none"/>
          <w:lang w:eastAsia="zh-CN"/>
        </w:rPr>
        <w:t>费用及支付方式</w:t>
      </w:r>
      <w:r>
        <w:rPr>
          <w:rFonts w:hint="default" w:ascii="Times New Roman" w:hAnsi="Times New Roman" w:cs="Times New Roman"/>
          <w:b/>
          <w:bCs/>
          <w:color w:val="auto"/>
          <w:sz w:val="22"/>
          <w:szCs w:val="22"/>
          <w:highlight w:val="none"/>
        </w:rPr>
        <w:t>：</w:t>
      </w:r>
    </w:p>
    <w:p w14:paraId="7D9566D2">
      <w:pPr>
        <w:keepNext w:val="0"/>
        <w:keepLines w:val="0"/>
        <w:pageBreakBefore w:val="0"/>
        <w:widowControl w:val="0"/>
        <w:tabs>
          <w:tab w:val="left" w:pos="1080"/>
        </w:tabs>
        <w:kinsoku/>
        <w:wordWrap/>
        <w:overflowPunct/>
        <w:topLinePunct w:val="0"/>
        <w:autoSpaceDE/>
        <w:autoSpaceDN/>
        <w:bidi w:val="0"/>
        <w:adjustRightInd/>
        <w:snapToGrid/>
        <w:spacing w:line="420" w:lineRule="exact"/>
        <w:ind w:left="42" w:leftChars="20" w:firstLine="440" w:firstLineChars="200"/>
        <w:textAlignment w:val="auto"/>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本合同设计收费暂定为</w:t>
      </w:r>
      <w:r>
        <w:rPr>
          <w:rFonts w:hint="default" w:ascii="Times New Roman" w:hAnsi="Times New Roman" w:cs="Times New Roman"/>
          <w:color w:val="auto"/>
          <w:sz w:val="22"/>
          <w:szCs w:val="22"/>
          <w:highlight w:val="none"/>
          <w:lang w:eastAsia="zh-CN"/>
        </w:rPr>
        <w:t>：</w:t>
      </w:r>
      <w:r>
        <w:rPr>
          <w:rFonts w:hint="default" w:ascii="Times New Roman" w:hAnsi="Times New Roman" w:cs="Times New Roman"/>
          <w:color w:val="auto"/>
          <w:sz w:val="22"/>
          <w:szCs w:val="22"/>
          <w:highlight w:val="none"/>
          <w:u w:val="none"/>
        </w:rPr>
        <w:t xml:space="preserve"> </w:t>
      </w:r>
      <w:r>
        <w:rPr>
          <w:rFonts w:hint="default" w:ascii="Times New Roman" w:hAnsi="Times New Roman" w:cs="Times New Roman"/>
          <w:color w:val="auto"/>
          <w:sz w:val="22"/>
          <w:szCs w:val="22"/>
          <w:highlight w:val="none"/>
          <w:u w:val="none"/>
          <w:lang w:eastAsia="zh-CN"/>
        </w:rPr>
        <w:t>人民币（大写）</w:t>
      </w:r>
      <w:r>
        <w:rPr>
          <w:rFonts w:hint="default" w:ascii="Times New Roman" w:hAnsi="Times New Roman" w:cs="Times New Roman"/>
          <w:color w:val="auto"/>
          <w:sz w:val="22"/>
          <w:szCs w:val="22"/>
          <w:highlight w:val="none"/>
          <w:u w:val="single"/>
          <w:lang w:val="en-US" w:eastAsia="zh-CN"/>
        </w:rPr>
        <w:t xml:space="preserve">                             </w:t>
      </w:r>
      <w:r>
        <w:rPr>
          <w:rFonts w:hint="default" w:ascii="Times New Roman" w:hAnsi="Times New Roman" w:cs="Times New Roman"/>
          <w:color w:val="auto"/>
          <w:sz w:val="22"/>
          <w:szCs w:val="22"/>
          <w:highlight w:val="none"/>
          <w:u w:val="none"/>
        </w:rPr>
        <w:t>（￥</w:t>
      </w:r>
      <w:r>
        <w:rPr>
          <w:rFonts w:hint="default" w:ascii="Times New Roman" w:hAnsi="Times New Roman" w:cs="Times New Roman"/>
          <w:color w:val="auto"/>
          <w:sz w:val="22"/>
          <w:szCs w:val="22"/>
          <w:highlight w:val="none"/>
          <w:u w:val="single"/>
          <w:lang w:val="en-US" w:eastAsia="zh-CN"/>
        </w:rPr>
        <w:t xml:space="preserve">            </w:t>
      </w:r>
      <w:r>
        <w:rPr>
          <w:rFonts w:hint="default" w:ascii="Times New Roman" w:hAnsi="Times New Roman" w:cs="Times New Roman"/>
          <w:color w:val="auto"/>
          <w:sz w:val="22"/>
          <w:szCs w:val="22"/>
          <w:highlight w:val="none"/>
        </w:rPr>
        <w:t>元）</w:t>
      </w:r>
      <w:r>
        <w:rPr>
          <w:rFonts w:hint="default" w:ascii="Times New Roman" w:hAnsi="Times New Roman" w:cs="Times New Roman"/>
          <w:color w:val="auto"/>
          <w:sz w:val="22"/>
          <w:szCs w:val="22"/>
          <w:highlight w:val="none"/>
          <w:lang w:eastAsia="zh-CN"/>
        </w:rPr>
        <w:t>，</w:t>
      </w:r>
      <w:r>
        <w:rPr>
          <w:rFonts w:hint="default" w:ascii="Times New Roman" w:hAnsi="Times New Roman" w:cs="Times New Roman"/>
          <w:color w:val="auto"/>
          <w:sz w:val="22"/>
          <w:szCs w:val="22"/>
          <w:highlight w:val="none"/>
        </w:rPr>
        <w:t>其中：市财政资金</w:t>
      </w:r>
      <w:r>
        <w:rPr>
          <w:rFonts w:hint="default" w:ascii="Times New Roman" w:hAnsi="Times New Roman" w:cs="Times New Roman"/>
          <w:color w:val="auto"/>
          <w:sz w:val="22"/>
          <w:szCs w:val="22"/>
          <w:highlight w:val="none"/>
          <w:u w:val="single"/>
          <w:lang w:val="en-US" w:eastAsia="zh-CN"/>
        </w:rPr>
        <w:t xml:space="preserve">            </w:t>
      </w:r>
      <w:r>
        <w:rPr>
          <w:rFonts w:hint="default" w:ascii="Times New Roman" w:hAnsi="Times New Roman" w:cs="Times New Roman"/>
          <w:color w:val="auto"/>
          <w:sz w:val="22"/>
          <w:szCs w:val="22"/>
          <w:highlight w:val="none"/>
        </w:rPr>
        <w:t>元，区财政资金</w:t>
      </w:r>
      <w:r>
        <w:rPr>
          <w:rFonts w:hint="default" w:ascii="Times New Roman" w:hAnsi="Times New Roman" w:cs="Times New Roman"/>
          <w:color w:val="auto"/>
          <w:sz w:val="22"/>
          <w:szCs w:val="22"/>
          <w:highlight w:val="none"/>
          <w:u w:val="single"/>
          <w:lang w:val="en-US" w:eastAsia="zh-CN"/>
        </w:rPr>
        <w:t xml:space="preserve">            </w:t>
      </w:r>
      <w:r>
        <w:rPr>
          <w:rFonts w:hint="default" w:ascii="Times New Roman" w:hAnsi="Times New Roman" w:cs="Times New Roman"/>
          <w:color w:val="auto"/>
          <w:sz w:val="22"/>
          <w:szCs w:val="22"/>
          <w:highlight w:val="none"/>
        </w:rPr>
        <w:t>元</w:t>
      </w:r>
      <w:r>
        <w:rPr>
          <w:rFonts w:hint="default" w:ascii="Times New Roman" w:hAnsi="Times New Roman" w:cs="Times New Roman"/>
          <w:color w:val="auto"/>
          <w:sz w:val="22"/>
          <w:szCs w:val="22"/>
          <w:highlight w:val="none"/>
          <w:lang w:eastAsia="zh-CN"/>
        </w:rPr>
        <w:t>，其他</w:t>
      </w:r>
      <w:r>
        <w:rPr>
          <w:rFonts w:hint="default" w:ascii="Times New Roman" w:hAnsi="Times New Roman" w:cs="Times New Roman"/>
          <w:color w:val="auto"/>
          <w:sz w:val="22"/>
          <w:szCs w:val="22"/>
          <w:highlight w:val="none"/>
        </w:rPr>
        <w:t>资金</w:t>
      </w:r>
      <w:r>
        <w:rPr>
          <w:rFonts w:hint="default" w:ascii="Times New Roman" w:hAnsi="Times New Roman" w:cs="Times New Roman"/>
          <w:color w:val="auto"/>
          <w:sz w:val="22"/>
          <w:szCs w:val="22"/>
          <w:highlight w:val="none"/>
          <w:lang w:eastAsia="zh-CN"/>
        </w:rPr>
        <w:t>出资</w:t>
      </w:r>
      <w:r>
        <w:rPr>
          <w:rFonts w:hint="default" w:ascii="Times New Roman" w:hAnsi="Times New Roman" w:cs="Times New Roman"/>
          <w:color w:val="auto"/>
          <w:sz w:val="22"/>
          <w:szCs w:val="22"/>
          <w:highlight w:val="none"/>
          <w:u w:val="single"/>
          <w:lang w:val="en-US" w:eastAsia="zh-CN"/>
        </w:rPr>
        <w:t xml:space="preserve">            </w:t>
      </w:r>
      <w:r>
        <w:rPr>
          <w:rFonts w:hint="default" w:ascii="Times New Roman" w:hAnsi="Times New Roman" w:cs="Times New Roman"/>
          <w:color w:val="auto"/>
          <w:sz w:val="22"/>
          <w:szCs w:val="22"/>
          <w:highlight w:val="none"/>
        </w:rPr>
        <w:t>元。</w:t>
      </w:r>
    </w:p>
    <w:p w14:paraId="759628A6">
      <w:pPr>
        <w:spacing w:line="420" w:lineRule="exact"/>
        <w:ind w:left="42" w:leftChars="20" w:firstLine="550" w:firstLineChars="250"/>
        <w:rPr>
          <w:rFonts w:hint="default" w:ascii="Times New Roman" w:hAnsi="Times New Roman" w:cs="Times New Roman"/>
          <w:color w:val="auto"/>
          <w:sz w:val="22"/>
          <w:szCs w:val="22"/>
          <w:highlight w:val="none"/>
        </w:rPr>
      </w:pPr>
    </w:p>
    <w:p w14:paraId="144B1459">
      <w:pPr>
        <w:spacing w:line="420" w:lineRule="exact"/>
        <w:ind w:left="42" w:leftChars="20" w:firstLine="550" w:firstLineChars="25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设计费支付进度详见下表：</w:t>
      </w:r>
    </w:p>
    <w:tbl>
      <w:tblPr>
        <w:tblStyle w:val="29"/>
        <w:tblW w:w="0" w:type="auto"/>
        <w:jc w:val="center"/>
        <w:tblCellSpacing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45" w:type="dxa"/>
          <w:left w:w="45" w:type="dxa"/>
          <w:bottom w:w="45" w:type="dxa"/>
          <w:right w:w="45" w:type="dxa"/>
        </w:tblCellMar>
      </w:tblPr>
      <w:tblGrid>
        <w:gridCol w:w="1713"/>
        <w:gridCol w:w="2487"/>
        <w:gridCol w:w="4397"/>
      </w:tblGrid>
      <w:tr w14:paraId="746A4DD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tblCellSpacing w:w="0" w:type="dxa"/>
          <w:jc w:val="center"/>
        </w:trPr>
        <w:tc>
          <w:tcPr>
            <w:tcW w:w="1713" w:type="dxa"/>
            <w:noWrap w:val="0"/>
            <w:vAlign w:val="center"/>
          </w:tcPr>
          <w:p w14:paraId="3A33518A">
            <w:pPr>
              <w:spacing w:line="420" w:lineRule="exact"/>
              <w:ind w:left="42" w:leftChars="20"/>
              <w:jc w:val="center"/>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付费次序</w:t>
            </w:r>
          </w:p>
        </w:tc>
        <w:tc>
          <w:tcPr>
            <w:tcW w:w="2487" w:type="dxa"/>
            <w:noWrap w:val="0"/>
            <w:vAlign w:val="center"/>
          </w:tcPr>
          <w:p w14:paraId="00FFE0E4">
            <w:pPr>
              <w:spacing w:line="420" w:lineRule="exact"/>
              <w:ind w:left="42" w:leftChars="20"/>
              <w:jc w:val="center"/>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占设计费比例</w:t>
            </w:r>
            <w:r>
              <w:rPr>
                <w:rFonts w:hint="default" w:ascii="Times New Roman" w:hAnsi="Times New Roman" w:cs="Times New Roman"/>
                <w:color w:val="auto"/>
                <w:sz w:val="22"/>
                <w:szCs w:val="22"/>
                <w:highlight w:val="none"/>
                <w:lang w:eastAsia="zh-CN"/>
              </w:rPr>
              <w:t>（</w:t>
            </w:r>
            <w:r>
              <w:rPr>
                <w:rFonts w:hint="default" w:ascii="Times New Roman" w:hAnsi="Times New Roman" w:cs="Times New Roman"/>
                <w:color w:val="auto"/>
                <w:sz w:val="22"/>
                <w:szCs w:val="22"/>
                <w:highlight w:val="none"/>
              </w:rPr>
              <w:t>%</w:t>
            </w:r>
            <w:r>
              <w:rPr>
                <w:rFonts w:hint="default" w:ascii="Times New Roman" w:hAnsi="Times New Roman" w:cs="Times New Roman"/>
                <w:color w:val="auto"/>
                <w:sz w:val="22"/>
                <w:szCs w:val="22"/>
                <w:highlight w:val="none"/>
                <w:lang w:eastAsia="zh-CN"/>
              </w:rPr>
              <w:t>）</w:t>
            </w:r>
          </w:p>
        </w:tc>
        <w:tc>
          <w:tcPr>
            <w:tcW w:w="4397" w:type="dxa"/>
            <w:noWrap w:val="0"/>
            <w:vAlign w:val="center"/>
          </w:tcPr>
          <w:p w14:paraId="32AC6BA5">
            <w:pPr>
              <w:spacing w:line="420" w:lineRule="exact"/>
              <w:ind w:left="42" w:leftChars="20"/>
              <w:jc w:val="center"/>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付费时间</w:t>
            </w:r>
          </w:p>
        </w:tc>
      </w:tr>
      <w:tr w14:paraId="7D33717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45" w:type="dxa"/>
            <w:left w:w="45" w:type="dxa"/>
            <w:bottom w:w="45" w:type="dxa"/>
            <w:right w:w="45" w:type="dxa"/>
          </w:tblCellMar>
        </w:tblPrEx>
        <w:trPr>
          <w:trHeight w:val="706" w:hRule="atLeast"/>
          <w:tblCellSpacing w:w="0" w:type="dxa"/>
          <w:jc w:val="center"/>
        </w:trPr>
        <w:tc>
          <w:tcPr>
            <w:tcW w:w="1713" w:type="dxa"/>
            <w:noWrap w:val="0"/>
            <w:vAlign w:val="top"/>
          </w:tcPr>
          <w:p w14:paraId="46B9DF9B">
            <w:pPr>
              <w:spacing w:line="600" w:lineRule="auto"/>
              <w:ind w:firstLine="240" w:firstLineChars="100"/>
              <w:rPr>
                <w:rFonts w:hint="default" w:ascii="Times New Roman" w:hAnsi="Times New Roman" w:cs="Times New Roman"/>
                <w:color w:val="auto"/>
                <w:sz w:val="22"/>
                <w:szCs w:val="22"/>
                <w:highlight w:val="none"/>
              </w:rPr>
            </w:pPr>
            <w:r>
              <w:rPr>
                <w:rFonts w:hint="default" w:ascii="Times New Roman" w:hAnsi="Times New Roman" w:cs="Times New Roman"/>
                <w:color w:val="auto"/>
                <w:sz w:val="24"/>
                <w:highlight w:val="none"/>
              </w:rPr>
              <w:t>第一次付费</w:t>
            </w:r>
          </w:p>
        </w:tc>
        <w:tc>
          <w:tcPr>
            <w:tcW w:w="2487" w:type="dxa"/>
            <w:noWrap w:val="0"/>
            <w:vAlign w:val="center"/>
          </w:tcPr>
          <w:p w14:paraId="01F94B3C">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auto"/>
                <w:sz w:val="22"/>
                <w:szCs w:val="22"/>
                <w:highlight w:val="none"/>
                <w:lang w:val="en-US" w:eastAsia="zh-CN"/>
              </w:rPr>
            </w:pPr>
            <w:r>
              <w:rPr>
                <w:rFonts w:hint="default" w:ascii="Times New Roman" w:hAnsi="Times New Roman" w:cs="Times New Roman"/>
                <w:color w:val="auto"/>
                <w:sz w:val="22"/>
                <w:szCs w:val="22"/>
                <w:highlight w:val="none"/>
                <w:u w:val="single"/>
                <w:lang w:val="en-US" w:eastAsia="zh-CN"/>
              </w:rPr>
              <w:t xml:space="preserve">        </w:t>
            </w:r>
            <w:r>
              <w:rPr>
                <w:rFonts w:hint="default" w:ascii="Times New Roman" w:hAnsi="Times New Roman" w:cs="Times New Roman"/>
                <w:color w:val="auto"/>
                <w:sz w:val="22"/>
                <w:szCs w:val="22"/>
                <w:highlight w:val="none"/>
                <w:u w:val="none"/>
                <w:lang w:val="en-US" w:eastAsia="zh-CN"/>
              </w:rPr>
              <w:t xml:space="preserve"> %</w:t>
            </w:r>
          </w:p>
        </w:tc>
        <w:tc>
          <w:tcPr>
            <w:tcW w:w="4397" w:type="dxa"/>
            <w:noWrap w:val="0"/>
            <w:vAlign w:val="center"/>
          </w:tcPr>
          <w:p w14:paraId="434114AE">
            <w:pPr>
              <w:spacing w:line="360" w:lineRule="auto"/>
              <w:rPr>
                <w:rFonts w:hint="default" w:ascii="Times New Roman" w:hAnsi="Times New Roman" w:cs="Times New Roman"/>
                <w:color w:val="auto"/>
                <w:sz w:val="22"/>
                <w:szCs w:val="22"/>
                <w:highlight w:val="none"/>
              </w:rPr>
            </w:pPr>
            <w:r>
              <w:rPr>
                <w:rFonts w:hint="default" w:ascii="Times New Roman" w:hAnsi="Times New Roman" w:cs="Times New Roman"/>
                <w:color w:val="auto"/>
                <w:sz w:val="24"/>
                <w:highlight w:val="none"/>
              </w:rPr>
              <w:t>设计人交付本项目的全部施工图设计文件通过审查。</w:t>
            </w:r>
          </w:p>
        </w:tc>
      </w:tr>
      <w:tr w14:paraId="22B44ED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45" w:type="dxa"/>
            <w:left w:w="45" w:type="dxa"/>
            <w:bottom w:w="45" w:type="dxa"/>
            <w:right w:w="45" w:type="dxa"/>
          </w:tblCellMar>
        </w:tblPrEx>
        <w:trPr>
          <w:tblCellSpacing w:w="0" w:type="dxa"/>
          <w:jc w:val="center"/>
        </w:trPr>
        <w:tc>
          <w:tcPr>
            <w:tcW w:w="1713" w:type="dxa"/>
            <w:noWrap w:val="0"/>
            <w:vAlign w:val="center"/>
          </w:tcPr>
          <w:p w14:paraId="186CCFA1">
            <w:pPr>
              <w:spacing w:line="360" w:lineRule="auto"/>
              <w:jc w:val="center"/>
              <w:rPr>
                <w:rFonts w:hint="default" w:ascii="Times New Roman" w:hAnsi="Times New Roman" w:cs="Times New Roman"/>
                <w:color w:val="auto"/>
                <w:sz w:val="22"/>
                <w:szCs w:val="22"/>
                <w:highlight w:val="none"/>
              </w:rPr>
            </w:pPr>
            <w:r>
              <w:rPr>
                <w:rFonts w:hint="default" w:ascii="Times New Roman" w:hAnsi="Times New Roman" w:cs="Times New Roman"/>
                <w:color w:val="auto"/>
                <w:sz w:val="24"/>
                <w:highlight w:val="none"/>
              </w:rPr>
              <w:t>第二次付费</w:t>
            </w:r>
          </w:p>
        </w:tc>
        <w:tc>
          <w:tcPr>
            <w:tcW w:w="2487" w:type="dxa"/>
            <w:noWrap w:val="0"/>
            <w:vAlign w:val="center"/>
          </w:tcPr>
          <w:p w14:paraId="16BA6649">
            <w:pPr>
              <w:spacing w:line="360" w:lineRule="auto"/>
              <w:jc w:val="center"/>
              <w:rPr>
                <w:rFonts w:hint="default" w:ascii="Times New Roman" w:hAnsi="Times New Roman" w:cs="Times New Roman"/>
                <w:color w:val="auto"/>
                <w:sz w:val="22"/>
                <w:szCs w:val="22"/>
                <w:highlight w:val="none"/>
                <w:lang w:val="en-US"/>
              </w:rPr>
            </w:pPr>
            <w:r>
              <w:rPr>
                <w:rFonts w:hint="default" w:ascii="Times New Roman" w:hAnsi="Times New Roman" w:cs="Times New Roman"/>
                <w:color w:val="auto"/>
                <w:sz w:val="22"/>
                <w:szCs w:val="22"/>
                <w:highlight w:val="none"/>
                <w:u w:val="single"/>
                <w:lang w:val="en-US" w:eastAsia="zh-CN"/>
              </w:rPr>
              <w:t xml:space="preserve">        </w:t>
            </w:r>
            <w:r>
              <w:rPr>
                <w:rFonts w:hint="default" w:ascii="Times New Roman" w:hAnsi="Times New Roman" w:cs="Times New Roman"/>
                <w:color w:val="auto"/>
                <w:sz w:val="22"/>
                <w:szCs w:val="22"/>
                <w:highlight w:val="none"/>
                <w:u w:val="none"/>
                <w:lang w:val="en-US" w:eastAsia="zh-CN"/>
              </w:rPr>
              <w:t xml:space="preserve"> %</w:t>
            </w:r>
          </w:p>
        </w:tc>
        <w:tc>
          <w:tcPr>
            <w:tcW w:w="4397" w:type="dxa"/>
            <w:noWrap w:val="0"/>
            <w:vAlign w:val="center"/>
          </w:tcPr>
          <w:p w14:paraId="60DDF6B2">
            <w:pPr>
              <w:rPr>
                <w:rFonts w:hint="default" w:ascii="Times New Roman" w:hAnsi="Times New Roman" w:cs="Times New Roman"/>
                <w:color w:val="auto"/>
                <w:sz w:val="22"/>
                <w:szCs w:val="22"/>
                <w:highlight w:val="none"/>
              </w:rPr>
            </w:pPr>
            <w:r>
              <w:rPr>
                <w:rFonts w:hint="default" w:ascii="Times New Roman" w:hAnsi="Times New Roman" w:cs="Times New Roman"/>
                <w:color w:val="auto"/>
                <w:sz w:val="24"/>
                <w:highlight w:val="none"/>
              </w:rPr>
              <w:t>工程完工并竣工验收合格后，设计人向发包人提出结算申请报告，发包人以财政部门（或按规定由发包方或发包方委托的第三方）审核结果为准，并按财政局相关支付程序办理支付设计费余款。</w:t>
            </w:r>
          </w:p>
        </w:tc>
      </w:tr>
    </w:tbl>
    <w:p w14:paraId="68C8F50C">
      <w:pPr>
        <w:widowControl/>
        <w:wordWrap w:val="0"/>
        <w:topLinePunct/>
        <w:adjustRightInd w:val="0"/>
        <w:snapToGrid w:val="0"/>
        <w:spacing w:line="420" w:lineRule="exact"/>
        <w:ind w:left="42" w:leftChars="20" w:firstLine="440" w:firstLineChars="2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①设计人交付本项目的全部施工图设计文件通过审查后，发包人按政府行政主管部门批复的工程概算，支付（施工图设计费+施工图预算编制费）的</w:t>
      </w:r>
      <w:r>
        <w:rPr>
          <w:rFonts w:hint="default" w:ascii="Times New Roman" w:hAnsi="Times New Roman" w:cs="Times New Roman"/>
          <w:color w:val="auto"/>
          <w:sz w:val="22"/>
          <w:szCs w:val="22"/>
          <w:highlight w:val="none"/>
          <w:u w:val="single"/>
          <w:lang w:val="en-US" w:eastAsia="zh-CN"/>
        </w:rPr>
        <w:t xml:space="preserve">      </w:t>
      </w:r>
      <w:r>
        <w:rPr>
          <w:rFonts w:hint="default" w:ascii="Times New Roman" w:hAnsi="Times New Roman" w:cs="Times New Roman"/>
          <w:color w:val="auto"/>
          <w:sz w:val="22"/>
          <w:szCs w:val="22"/>
          <w:highlight w:val="none"/>
          <w:u w:val="none"/>
        </w:rPr>
        <w:t>%</w:t>
      </w:r>
      <w:r>
        <w:rPr>
          <w:rFonts w:hint="default" w:ascii="Times New Roman" w:hAnsi="Times New Roman" w:cs="Times New Roman"/>
          <w:color w:val="auto"/>
          <w:sz w:val="22"/>
          <w:szCs w:val="22"/>
          <w:highlight w:val="none"/>
        </w:rPr>
        <w:t>。</w:t>
      </w:r>
    </w:p>
    <w:p w14:paraId="35E2B9AC">
      <w:pPr>
        <w:widowControl/>
        <w:wordWrap w:val="0"/>
        <w:topLinePunct/>
        <w:adjustRightInd w:val="0"/>
        <w:snapToGrid w:val="0"/>
        <w:spacing w:line="480" w:lineRule="exact"/>
        <w:ind w:firstLine="440" w:firstLineChars="2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②工程完工并竣工验收合格后，设计人向发包人提出结算申请报告，发包人以第三方评审结构审核结果为准，并按市、区财政局相关支付程序办理支付设计费余款。</w:t>
      </w:r>
    </w:p>
    <w:p w14:paraId="4DF367F6">
      <w:pPr>
        <w:widowControl/>
        <w:wordWrap w:val="0"/>
        <w:topLinePunct/>
        <w:adjustRightInd w:val="0"/>
        <w:snapToGrid w:val="0"/>
        <w:spacing w:line="480" w:lineRule="exact"/>
        <w:ind w:firstLine="433" w:firstLineChars="197"/>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③发包人支付的设计费中包含了设计人履行合同所需的所有支出，设计人收款时同时开据发票，税金由设计人自理。</w:t>
      </w:r>
    </w:p>
    <w:p w14:paraId="793F610E">
      <w:pPr>
        <w:widowControl/>
        <w:wordWrap w:val="0"/>
        <w:topLinePunct/>
        <w:adjustRightInd w:val="0"/>
        <w:snapToGrid w:val="0"/>
        <w:spacing w:line="480" w:lineRule="exact"/>
        <w:ind w:firstLine="433" w:firstLineChars="197"/>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④发包人支付的设计费中包括了对其他投标人的经济补偿费，该费用由设计人按本项目招标文件支付，否则，发包人有权直接从设计费中扣减应支付给其他投标人的经济补偿费。</w:t>
      </w:r>
    </w:p>
    <w:p w14:paraId="11B9B73B">
      <w:pPr>
        <w:widowControl/>
        <w:wordWrap w:val="0"/>
        <w:topLinePunct/>
        <w:adjustRightInd w:val="0"/>
        <w:snapToGrid w:val="0"/>
        <w:spacing w:line="480" w:lineRule="exact"/>
        <w:ind w:firstLine="433" w:firstLineChars="197"/>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⑤发包人付给设计人的款项为设计人与本项目有关的唯一报酬，设计人在与本项目有关的活动中，或在履行合同义务时，不应为私利而接受佣金、回扣或类似费用，一经发现该部分款项从发包人支付给设计人的费用中扣减。</w:t>
      </w:r>
    </w:p>
    <w:p w14:paraId="5CC81F81">
      <w:pPr>
        <w:widowControl/>
        <w:wordWrap w:val="0"/>
        <w:topLinePunct/>
        <w:adjustRightInd w:val="0"/>
        <w:snapToGrid w:val="0"/>
        <w:spacing w:line="480" w:lineRule="exact"/>
        <w:ind w:firstLine="433" w:firstLineChars="197"/>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⑥必要性的专项设计单位由设计人推荐，报发包人批准后承担设计任务，相应费用由设计人支付。</w:t>
      </w:r>
    </w:p>
    <w:p w14:paraId="3D8D1E7F">
      <w:pPr>
        <w:widowControl/>
        <w:wordWrap w:val="0"/>
        <w:topLinePunct/>
        <w:adjustRightInd w:val="0"/>
        <w:snapToGrid w:val="0"/>
        <w:spacing w:line="480" w:lineRule="exact"/>
        <w:ind w:firstLine="433" w:firstLineChars="197"/>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⑦设计人为联合体的，设计费的分配由其自行决定，与发包人无关。</w:t>
      </w:r>
    </w:p>
    <w:p w14:paraId="73ADF619">
      <w:pPr>
        <w:widowControl/>
        <w:wordWrap w:val="0"/>
        <w:topLinePunct/>
        <w:adjustRightInd w:val="0"/>
        <w:snapToGrid w:val="0"/>
        <w:spacing w:line="480" w:lineRule="exact"/>
        <w:ind w:firstLine="433" w:firstLineChars="197"/>
        <w:rPr>
          <w:rFonts w:hint="default" w:ascii="Times New Roman" w:hAnsi="Times New Roman" w:eastAsia="国标仿宋" w:cs="Times New Roman"/>
          <w:color w:val="auto"/>
          <w:sz w:val="22"/>
          <w:szCs w:val="22"/>
          <w:highlight w:val="none"/>
          <w:lang w:val="en-US" w:eastAsia="zh-CN"/>
        </w:rPr>
      </w:pPr>
      <w:r>
        <w:rPr>
          <w:rFonts w:hint="default" w:ascii="Times New Roman" w:hAnsi="Times New Roman" w:eastAsia="国标仿宋" w:cs="Times New Roman"/>
          <w:color w:val="auto"/>
          <w:sz w:val="22"/>
          <w:szCs w:val="22"/>
          <w:highlight w:val="none"/>
        </w:rPr>
        <w:t>⑧</w:t>
      </w:r>
      <w:r>
        <w:rPr>
          <w:rFonts w:hint="default" w:ascii="Times New Roman" w:hAnsi="Times New Roman" w:eastAsia="国标仿宋" w:cs="Times New Roman"/>
          <w:color w:val="auto"/>
          <w:sz w:val="22"/>
          <w:szCs w:val="22"/>
          <w:highlight w:val="none"/>
          <w:lang w:eastAsia="zh-CN"/>
        </w:rPr>
        <w:t>其他</w:t>
      </w:r>
      <w:r>
        <w:rPr>
          <w:rFonts w:hint="default" w:ascii="Times New Roman" w:hAnsi="Times New Roman" w:eastAsia="国标仿宋" w:cs="Times New Roman"/>
          <w:color w:val="auto"/>
          <w:sz w:val="22"/>
          <w:szCs w:val="22"/>
          <w:highlight w:val="none"/>
          <w:u w:val="single"/>
          <w:lang w:val="en-US" w:eastAsia="zh-CN"/>
        </w:rPr>
        <w:t xml:space="preserve">            </w:t>
      </w:r>
    </w:p>
    <w:p w14:paraId="65502421">
      <w:pPr>
        <w:snapToGrid w:val="0"/>
        <w:spacing w:line="240" w:lineRule="atLeast"/>
        <w:jc w:val="left"/>
        <w:rPr>
          <w:rFonts w:hint="default" w:ascii="Times New Roman" w:hAnsi="Times New Roman" w:cs="Times New Roman"/>
          <w:color w:val="auto"/>
          <w:sz w:val="22"/>
          <w:szCs w:val="22"/>
          <w:highlight w:val="none"/>
        </w:rPr>
      </w:pPr>
    </w:p>
    <w:p w14:paraId="42FC879C">
      <w:pPr>
        <w:spacing w:line="360" w:lineRule="auto"/>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说明：</w:t>
      </w:r>
    </w:p>
    <w:p w14:paraId="07982C56">
      <w:pPr>
        <w:spacing w:line="360" w:lineRule="auto"/>
        <w:ind w:firstLine="440" w:firstLineChars="2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1.提交各阶段设计文件的同时支付各阶段设计费。</w:t>
      </w:r>
    </w:p>
    <w:p w14:paraId="2085AFF0">
      <w:pPr>
        <w:spacing w:line="420" w:lineRule="exact"/>
        <w:ind w:left="42" w:leftChars="20" w:right="-840" w:firstLine="440" w:firstLineChars="2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2.设计各阶段工作量比例按照《工程勘察设计收费标准》（2002年修订版）相关规定。</w:t>
      </w:r>
    </w:p>
    <w:p w14:paraId="3E409205">
      <w:pPr>
        <w:keepNext w:val="0"/>
        <w:keepLines w:val="0"/>
        <w:pageBreakBefore w:val="0"/>
        <w:widowControl w:val="0"/>
        <w:kinsoku/>
        <w:wordWrap/>
        <w:overflowPunct/>
        <w:topLinePunct w:val="0"/>
        <w:autoSpaceDE/>
        <w:autoSpaceDN/>
        <w:bidi w:val="0"/>
        <w:adjustRightInd/>
        <w:snapToGrid/>
        <w:spacing w:line="420" w:lineRule="exact"/>
        <w:ind w:firstLine="442" w:firstLineChars="200"/>
        <w:textAlignment w:val="auto"/>
        <w:rPr>
          <w:rFonts w:hint="default" w:ascii="Times New Roman" w:hAnsi="Times New Roman" w:cs="Times New Roman"/>
          <w:color w:val="auto"/>
          <w:sz w:val="22"/>
          <w:szCs w:val="22"/>
          <w:highlight w:val="none"/>
        </w:rPr>
      </w:pPr>
      <w:r>
        <w:rPr>
          <w:rFonts w:hint="default" w:ascii="Times New Roman" w:hAnsi="Times New Roman" w:cs="Times New Roman"/>
          <w:b/>
          <w:color w:val="auto"/>
          <w:sz w:val="22"/>
          <w:szCs w:val="22"/>
          <w:highlight w:val="none"/>
          <w:lang w:val="en-US" w:eastAsia="zh-CN"/>
        </w:rPr>
        <w:t xml:space="preserve">3. </w:t>
      </w:r>
      <w:r>
        <w:rPr>
          <w:rFonts w:hint="default" w:ascii="Times New Roman" w:hAnsi="Times New Roman" w:cs="Times New Roman"/>
          <w:color w:val="auto"/>
          <w:sz w:val="22"/>
          <w:szCs w:val="22"/>
          <w:highlight w:val="none"/>
        </w:rPr>
        <w:t>因财政原因导致发包人付款迟延的，不视为发包人违约，设计人不得要求发包人承担违约责任，不得要求发包人赔偿或补偿。</w:t>
      </w:r>
    </w:p>
    <w:p w14:paraId="5BD3FBAC">
      <w:pPr>
        <w:keepNext w:val="0"/>
        <w:keepLines w:val="0"/>
        <w:pageBreakBefore w:val="0"/>
        <w:widowControl w:val="0"/>
        <w:kinsoku/>
        <w:wordWrap/>
        <w:overflowPunct/>
        <w:topLinePunct w:val="0"/>
        <w:autoSpaceDE/>
        <w:autoSpaceDN/>
        <w:bidi w:val="0"/>
        <w:adjustRightInd/>
        <w:snapToGrid/>
        <w:spacing w:line="420" w:lineRule="exact"/>
        <w:ind w:firstLine="440" w:firstLineChars="200"/>
        <w:textAlignment w:val="auto"/>
        <w:rPr>
          <w:rFonts w:hint="default" w:ascii="Times New Roman" w:hAnsi="Times New Roman" w:eastAsia="宋体" w:cs="Times New Roman"/>
          <w:color w:val="auto"/>
          <w:sz w:val="22"/>
          <w:szCs w:val="22"/>
          <w:highlight w:val="none"/>
          <w:lang w:val="en-US" w:eastAsia="zh-CN"/>
        </w:rPr>
      </w:pPr>
      <w:r>
        <w:rPr>
          <w:rFonts w:hint="default" w:ascii="Times New Roman" w:hAnsi="Times New Roman" w:cs="Times New Roman"/>
          <w:color w:val="auto"/>
          <w:sz w:val="22"/>
          <w:szCs w:val="22"/>
          <w:highlight w:val="none"/>
          <w:lang w:val="en-US" w:eastAsia="zh-CN"/>
        </w:rPr>
        <w:t>4其他：</w:t>
      </w:r>
      <w:r>
        <w:rPr>
          <w:rFonts w:hint="default" w:ascii="Times New Roman" w:hAnsi="Times New Roman" w:cs="Times New Roman"/>
          <w:color w:val="auto"/>
          <w:sz w:val="22"/>
          <w:szCs w:val="22"/>
          <w:highlight w:val="none"/>
          <w:u w:val="single"/>
          <w:lang w:val="en-US" w:eastAsia="zh-CN"/>
        </w:rPr>
        <w:t xml:space="preserve">                               </w:t>
      </w:r>
    </w:p>
    <w:p w14:paraId="50B36D47">
      <w:pPr>
        <w:spacing w:line="420" w:lineRule="exact"/>
        <w:ind w:left="42" w:leftChars="20"/>
        <w:rPr>
          <w:rFonts w:hint="default" w:ascii="Times New Roman" w:hAnsi="Times New Roman" w:cs="Times New Roman"/>
          <w:color w:val="auto"/>
          <w:sz w:val="22"/>
          <w:szCs w:val="22"/>
          <w:highlight w:val="none"/>
          <w:lang w:val="en-US" w:eastAsia="zh-CN"/>
        </w:rPr>
      </w:pPr>
    </w:p>
    <w:p w14:paraId="58AAE749">
      <w:pPr>
        <w:spacing w:line="420" w:lineRule="exact"/>
        <w:ind w:left="42" w:leftChars="20"/>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lang w:val="en-US" w:eastAsia="zh-CN"/>
        </w:rPr>
        <w:t>6.</w:t>
      </w:r>
      <w:r>
        <w:rPr>
          <w:rFonts w:hint="default" w:ascii="Times New Roman" w:hAnsi="Times New Roman" w:cs="Times New Roman"/>
          <w:b/>
          <w:bCs/>
          <w:color w:val="auto"/>
          <w:sz w:val="22"/>
          <w:szCs w:val="22"/>
          <w:highlight w:val="none"/>
        </w:rPr>
        <w:t>双方责任</w:t>
      </w:r>
    </w:p>
    <w:p w14:paraId="20D74A79">
      <w:pPr>
        <w:spacing w:line="360" w:lineRule="auto"/>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b/>
          <w:color w:val="auto"/>
          <w:sz w:val="22"/>
          <w:szCs w:val="22"/>
          <w:highlight w:val="none"/>
        </w:rPr>
        <w:t>6.1</w:t>
      </w:r>
      <w:r>
        <w:rPr>
          <w:rFonts w:hint="default" w:ascii="Times New Roman" w:hAnsi="Times New Roman" w:eastAsia="宋体" w:cs="Times New Roman"/>
          <w:color w:val="auto"/>
          <w:sz w:val="22"/>
          <w:szCs w:val="22"/>
          <w:highlight w:val="none"/>
        </w:rPr>
        <w:t>发包人责任：</w:t>
      </w:r>
    </w:p>
    <w:p w14:paraId="0B93B64B">
      <w:pPr>
        <w:spacing w:line="360" w:lineRule="auto"/>
        <w:ind w:firstLine="442" w:firstLineChars="200"/>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b/>
          <w:color w:val="auto"/>
          <w:sz w:val="22"/>
          <w:szCs w:val="22"/>
          <w:highlight w:val="none"/>
        </w:rPr>
        <w:t>6.1.1</w:t>
      </w:r>
      <w:r>
        <w:rPr>
          <w:rFonts w:hint="default" w:ascii="Times New Roman" w:hAnsi="Times New Roman" w:eastAsia="宋体" w:cs="Times New Roman"/>
          <w:color w:val="auto"/>
          <w:sz w:val="22"/>
          <w:szCs w:val="22"/>
          <w:highlight w:val="none"/>
        </w:rPr>
        <w:t>发包人按本合同第三条规定的内容，在规定的时间向设计人提交资料及文件，并对其完整性、正确性及时限负责，发包人不得要求设计人违反国家有关标准进行设计。</w:t>
      </w:r>
    </w:p>
    <w:p w14:paraId="0A9FA6D7">
      <w:pPr>
        <w:spacing w:line="360" w:lineRule="auto"/>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发包人提交上述资料及文件超过规定期限15天以内，设计人按合同第四条规定交付设计文件时间顺延；超过规定期限15天以上时，设计人员有权重新确定提交设计文件的时间。发包人提交上述资料后，设计人应及时审查；若在发包人提交上述资料后7个工作日内，设计人未提出书面异议，视为发包人提供的资料完整而准确，设计人不得事后以发包人提交的资料不完整或不准确为由主张完工期限顺延。</w:t>
      </w:r>
    </w:p>
    <w:p w14:paraId="76CFD3C3">
      <w:pPr>
        <w:spacing w:line="360" w:lineRule="auto"/>
        <w:ind w:firstLine="442" w:firstLineChars="200"/>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b/>
          <w:color w:val="auto"/>
          <w:sz w:val="22"/>
          <w:szCs w:val="22"/>
          <w:highlight w:val="none"/>
        </w:rPr>
        <w:t>6.1.2</w:t>
      </w:r>
      <w:r>
        <w:rPr>
          <w:rFonts w:hint="default" w:ascii="Times New Roman" w:hAnsi="Times New Roman" w:eastAsia="宋体" w:cs="Times New Roman"/>
          <w:color w:val="auto"/>
          <w:sz w:val="22"/>
          <w:szCs w:val="22"/>
          <w:highlight w:val="none"/>
        </w:rPr>
        <w:t>发包人变更委托设计项目、规模、条件或因提交的资料错误，或所提交资料作较大修改，以致造成设计人设计需返工时，双方需另行协商签订补充协议（或另订合同）、重新明确有关条款外，发包人应按补充协议（或另订合同）的约定，按照设计人所耗工作量向设计人增付设计费。</w:t>
      </w:r>
    </w:p>
    <w:p w14:paraId="2242E736">
      <w:pPr>
        <w:spacing w:line="360" w:lineRule="auto"/>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在未签合同前发包人已同意，设计人为发包人所做的各项设计工作，应按收费标准，相应支付设计费。</w:t>
      </w:r>
    </w:p>
    <w:p w14:paraId="2C785660">
      <w:pPr>
        <w:spacing w:line="360" w:lineRule="auto"/>
        <w:ind w:firstLine="442" w:firstLineChars="200"/>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b/>
          <w:color w:val="auto"/>
          <w:sz w:val="22"/>
          <w:szCs w:val="22"/>
          <w:highlight w:val="none"/>
        </w:rPr>
        <w:t>6.1.3</w:t>
      </w:r>
      <w:r>
        <w:rPr>
          <w:rFonts w:hint="default" w:ascii="Times New Roman" w:hAnsi="Times New Roman" w:eastAsia="宋体" w:cs="Times New Roman"/>
          <w:color w:val="auto"/>
          <w:sz w:val="22"/>
          <w:szCs w:val="22"/>
          <w:highlight w:val="none"/>
        </w:rPr>
        <w:t>发包人要求设计人比合同规定时间提前交付设计资料及文件时，如果设计人能够做到，发包人应根据设计人提前投入的工作量，向设计人支付赶工费。双方需另行协商签订补充协议（或另订合同），发包人应按补充协议（或另订合同）的约定，按照设计人所耗工作量向设计人增付设计费</w:t>
      </w:r>
    </w:p>
    <w:p w14:paraId="4B9CA2B6">
      <w:pPr>
        <w:spacing w:line="360" w:lineRule="auto"/>
        <w:ind w:firstLine="442" w:firstLineChars="200"/>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b/>
          <w:color w:val="auto"/>
          <w:sz w:val="22"/>
          <w:szCs w:val="22"/>
          <w:highlight w:val="none"/>
        </w:rPr>
        <w:t>6.1.4</w:t>
      </w:r>
      <w:r>
        <w:rPr>
          <w:rFonts w:hint="default" w:ascii="Times New Roman" w:hAnsi="Times New Roman" w:eastAsia="宋体" w:cs="Times New Roman"/>
          <w:color w:val="auto"/>
          <w:sz w:val="22"/>
          <w:szCs w:val="22"/>
          <w:highlight w:val="none"/>
        </w:rPr>
        <w:t>发包人应为派赴现场处理有关设计问题的工作人员，提供必要的工作生活及交通等方便条件。</w:t>
      </w:r>
    </w:p>
    <w:p w14:paraId="75F126D8">
      <w:pPr>
        <w:spacing w:line="360" w:lineRule="auto"/>
        <w:ind w:firstLine="442" w:firstLineChars="200"/>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b/>
          <w:color w:val="auto"/>
          <w:sz w:val="22"/>
          <w:szCs w:val="22"/>
          <w:highlight w:val="none"/>
        </w:rPr>
        <w:t>6.1.5</w:t>
      </w:r>
      <w:r>
        <w:rPr>
          <w:rFonts w:hint="default" w:ascii="Times New Roman" w:hAnsi="Times New Roman" w:eastAsia="宋体" w:cs="Times New Roman"/>
          <w:color w:val="auto"/>
          <w:sz w:val="22"/>
          <w:szCs w:val="22"/>
          <w:highlight w:val="none"/>
        </w:rPr>
        <w:t>发包人应保护设计人的投标书、设计方案、文件、资料图纸、数据、计算软件和专利技术。未经设计人同意，发包人对设计人交付的设计资料及文件不得擅自修改、复制或向第三人转让或用于本合同外的项目，如发生以上情况，发包人应负法律责任，设计人有权向发包人提出索赔。</w:t>
      </w:r>
    </w:p>
    <w:p w14:paraId="661CDAD5">
      <w:pPr>
        <w:spacing w:line="360" w:lineRule="auto"/>
        <w:ind w:firstLine="480"/>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b/>
          <w:color w:val="auto"/>
          <w:sz w:val="22"/>
          <w:szCs w:val="22"/>
          <w:highlight w:val="none"/>
        </w:rPr>
        <w:t>6.1.6</w:t>
      </w:r>
      <w:r>
        <w:rPr>
          <w:rFonts w:hint="default" w:ascii="Times New Roman" w:hAnsi="Times New Roman" w:eastAsia="宋体" w:cs="Times New Roman"/>
          <w:color w:val="auto"/>
          <w:sz w:val="22"/>
          <w:szCs w:val="22"/>
          <w:highlight w:val="none"/>
        </w:rPr>
        <w:t>发包人享有设计人设计文件的版权和全部使用权。</w:t>
      </w:r>
    </w:p>
    <w:p w14:paraId="273A46AA">
      <w:pPr>
        <w:spacing w:line="360" w:lineRule="auto"/>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b/>
          <w:color w:val="auto"/>
          <w:sz w:val="22"/>
          <w:szCs w:val="22"/>
          <w:highlight w:val="none"/>
        </w:rPr>
        <w:t>6.2</w:t>
      </w:r>
      <w:r>
        <w:rPr>
          <w:rFonts w:hint="default" w:ascii="Times New Roman" w:hAnsi="Times New Roman" w:eastAsia="宋体" w:cs="Times New Roman"/>
          <w:color w:val="auto"/>
          <w:sz w:val="22"/>
          <w:szCs w:val="22"/>
          <w:highlight w:val="none"/>
        </w:rPr>
        <w:t>设计人责任：</w:t>
      </w:r>
    </w:p>
    <w:p w14:paraId="0F28DA17">
      <w:pPr>
        <w:spacing w:line="360" w:lineRule="auto"/>
        <w:ind w:firstLine="480"/>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b/>
          <w:color w:val="auto"/>
          <w:sz w:val="22"/>
          <w:szCs w:val="22"/>
          <w:highlight w:val="none"/>
        </w:rPr>
        <w:t>6.2.1</w:t>
      </w:r>
      <w:r>
        <w:rPr>
          <w:rFonts w:hint="default" w:ascii="Times New Roman" w:hAnsi="Times New Roman" w:eastAsia="宋体" w:cs="Times New Roman"/>
          <w:color w:val="auto"/>
          <w:sz w:val="22"/>
          <w:szCs w:val="22"/>
          <w:highlight w:val="none"/>
        </w:rPr>
        <w:t>设计人应按国家技术规范、标准、规程及发包人提出的设计要求，进行工程设计，按合同规定的进度要求提交质量合格的设计资料，并对其负责。</w:t>
      </w:r>
    </w:p>
    <w:p w14:paraId="5BC22BDD">
      <w:pPr>
        <w:spacing w:line="360" w:lineRule="auto"/>
        <w:ind w:firstLine="442" w:firstLineChars="200"/>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b/>
          <w:color w:val="auto"/>
          <w:sz w:val="22"/>
          <w:szCs w:val="22"/>
          <w:highlight w:val="none"/>
        </w:rPr>
        <w:t>6.2.2</w:t>
      </w:r>
      <w:r>
        <w:rPr>
          <w:rFonts w:hint="default" w:ascii="Times New Roman" w:hAnsi="Times New Roman" w:eastAsia="宋体" w:cs="Times New Roman"/>
          <w:color w:val="auto"/>
          <w:sz w:val="22"/>
          <w:szCs w:val="22"/>
          <w:highlight w:val="none"/>
        </w:rPr>
        <w:t>设计人采用的主要技术标准是：</w:t>
      </w:r>
    </w:p>
    <w:p w14:paraId="161C7277">
      <w:pPr>
        <w:pStyle w:val="15"/>
        <w:spacing w:line="360" w:lineRule="auto"/>
        <w:ind w:firstLine="440" w:firstLineChars="200"/>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1.本项目各建筑设计阶段文件均需执行中华人民共和国现行建设行业设计规范、规定、规程、条例、标准等；符合中华人民共和国建设部《建设工程设计文件编制深度的规定》（2003）。</w:t>
      </w:r>
    </w:p>
    <w:p w14:paraId="311552D0">
      <w:pPr>
        <w:pStyle w:val="15"/>
        <w:spacing w:line="360" w:lineRule="auto"/>
        <w:ind w:left="549" w:leftChars="228" w:hanging="70" w:hangingChars="32"/>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2.本项目设计文件应符合行业及地方通用标准和惯例。</w:t>
      </w:r>
    </w:p>
    <w:p w14:paraId="3765E4FA">
      <w:pPr>
        <w:spacing w:line="360" w:lineRule="auto"/>
        <w:ind w:firstLine="442" w:firstLineChars="200"/>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b/>
          <w:color w:val="auto"/>
          <w:sz w:val="22"/>
          <w:szCs w:val="22"/>
          <w:highlight w:val="none"/>
        </w:rPr>
        <w:t>6.2.3</w:t>
      </w:r>
      <w:r>
        <w:rPr>
          <w:rFonts w:hint="default" w:ascii="Times New Roman" w:hAnsi="Times New Roman" w:eastAsia="宋体" w:cs="Times New Roman"/>
          <w:color w:val="auto"/>
          <w:sz w:val="22"/>
          <w:szCs w:val="22"/>
          <w:highlight w:val="none"/>
        </w:rPr>
        <w:t>设计合理使用年限为</w:t>
      </w:r>
      <w:r>
        <w:rPr>
          <w:rFonts w:hint="default" w:ascii="Times New Roman" w:hAnsi="Times New Roman" w:eastAsia="宋体" w:cs="Times New Roman"/>
          <w:color w:val="auto"/>
          <w:sz w:val="22"/>
          <w:szCs w:val="22"/>
          <w:highlight w:val="none"/>
          <w:u w:val="single"/>
        </w:rPr>
        <w:t xml:space="preserve"> </w:t>
      </w:r>
      <w:r>
        <w:rPr>
          <w:rFonts w:hint="default" w:ascii="Times New Roman" w:hAnsi="Times New Roman" w:eastAsia="宋体" w:cs="Times New Roman"/>
          <w:color w:val="auto"/>
          <w:sz w:val="22"/>
          <w:szCs w:val="22"/>
          <w:highlight w:val="none"/>
          <w:u w:val="single"/>
          <w:lang w:val="en-US" w:eastAsia="zh-CN"/>
        </w:rPr>
        <w:t xml:space="preserve">      </w:t>
      </w:r>
      <w:r>
        <w:rPr>
          <w:rFonts w:hint="default" w:ascii="Times New Roman" w:hAnsi="Times New Roman" w:eastAsia="宋体" w:cs="Times New Roman"/>
          <w:color w:val="auto"/>
          <w:sz w:val="22"/>
          <w:szCs w:val="22"/>
          <w:highlight w:val="none"/>
          <w:u w:val="single"/>
        </w:rPr>
        <w:t xml:space="preserve"> </w:t>
      </w:r>
      <w:r>
        <w:rPr>
          <w:rFonts w:hint="default" w:ascii="Times New Roman" w:hAnsi="Times New Roman" w:eastAsia="宋体" w:cs="Times New Roman"/>
          <w:color w:val="auto"/>
          <w:sz w:val="22"/>
          <w:szCs w:val="22"/>
          <w:highlight w:val="none"/>
        </w:rPr>
        <w:t>年。</w:t>
      </w:r>
    </w:p>
    <w:p w14:paraId="2B259395">
      <w:pPr>
        <w:spacing w:line="360" w:lineRule="auto"/>
        <w:ind w:firstLine="442" w:firstLineChars="200"/>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b/>
          <w:color w:val="auto"/>
          <w:sz w:val="22"/>
          <w:szCs w:val="22"/>
          <w:highlight w:val="none"/>
        </w:rPr>
        <w:t>6.2.4</w:t>
      </w:r>
      <w:r>
        <w:rPr>
          <w:rFonts w:hint="default" w:ascii="Times New Roman" w:hAnsi="Times New Roman" w:eastAsia="宋体" w:cs="Times New Roman"/>
          <w:color w:val="auto"/>
          <w:sz w:val="22"/>
          <w:szCs w:val="22"/>
          <w:highlight w:val="none"/>
        </w:rPr>
        <w:t>设计人按本合同第二条和第四条规定的内容、进度及份数向发包人交付资料及文件。</w:t>
      </w:r>
    </w:p>
    <w:p w14:paraId="2BDB6EF9">
      <w:pPr>
        <w:spacing w:line="360" w:lineRule="auto"/>
        <w:ind w:firstLine="442" w:firstLineChars="200"/>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b/>
          <w:color w:val="auto"/>
          <w:sz w:val="22"/>
          <w:szCs w:val="22"/>
          <w:highlight w:val="none"/>
        </w:rPr>
        <w:t>6.2.5</w:t>
      </w:r>
      <w:r>
        <w:rPr>
          <w:rFonts w:hint="default" w:ascii="Times New Roman" w:hAnsi="Times New Roman" w:eastAsia="宋体" w:cs="Times New Roman"/>
          <w:color w:val="auto"/>
          <w:sz w:val="22"/>
          <w:szCs w:val="22"/>
          <w:highlight w:val="none"/>
        </w:rPr>
        <w:t>设计人交付设计资料及文件后，按规定参加有关的设计审查，并根据审查结论负责对不超出原定范围的内容做必要调整补充。设计人按合同规定时限交付设计资料及文件，本年内项目开始施工，负责向发包人及施工单位进行设计交底、处理有关设计问题和参加竣工验收。在一年内项目尚未开始施工，设计人仍负责上述工作，但应按所需工作量向发包人适当收取咨询服务费，收费额由双方商定。</w:t>
      </w:r>
    </w:p>
    <w:p w14:paraId="4E3EE221">
      <w:pPr>
        <w:spacing w:line="360" w:lineRule="auto"/>
        <w:ind w:firstLine="442" w:firstLineChars="200"/>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b/>
          <w:color w:val="auto"/>
          <w:sz w:val="22"/>
          <w:szCs w:val="22"/>
          <w:highlight w:val="none"/>
        </w:rPr>
        <w:t>6.2.6</w:t>
      </w:r>
      <w:r>
        <w:rPr>
          <w:rFonts w:hint="default" w:ascii="Times New Roman" w:hAnsi="Times New Roman" w:eastAsia="宋体" w:cs="Times New Roman"/>
          <w:color w:val="auto"/>
          <w:sz w:val="22"/>
          <w:szCs w:val="22"/>
          <w:highlight w:val="none"/>
        </w:rPr>
        <w:t>设计人应保护发包人的知识产权，不得向第三人泄露、转让发包人提交的产品图纸等技术经济资料。如发生以上情况并给发包人造成经济损失，发包人有权向设计人索赔。</w:t>
      </w:r>
    </w:p>
    <w:p w14:paraId="3CF8F0E4">
      <w:pPr>
        <w:spacing w:line="360" w:lineRule="auto"/>
        <w:ind w:firstLine="440"/>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b/>
          <w:color w:val="auto"/>
          <w:sz w:val="22"/>
          <w:szCs w:val="22"/>
          <w:highlight w:val="none"/>
        </w:rPr>
        <w:t>6.2.7</w:t>
      </w:r>
      <w:r>
        <w:rPr>
          <w:rFonts w:hint="default" w:ascii="Times New Roman" w:hAnsi="Times New Roman" w:eastAsia="宋体" w:cs="Times New Roman"/>
          <w:color w:val="auto"/>
          <w:sz w:val="22"/>
          <w:szCs w:val="22"/>
          <w:highlight w:val="none"/>
        </w:rPr>
        <w:t xml:space="preserve"> 本项目实行全过程限额设计施工，限额投资。概算金额不得超过批复的项目投资估算金额，预算金额不得超过审定概算中对应的建安工程费。</w:t>
      </w:r>
    </w:p>
    <w:p w14:paraId="12DF5A42">
      <w:pPr>
        <w:pStyle w:val="6"/>
        <w:ind w:left="0" w:leftChars="0" w:firstLine="442" w:firstLineChars="200"/>
        <w:rPr>
          <w:rFonts w:hint="default" w:ascii="Times New Roman" w:hAnsi="Times New Roman" w:cs="Times New Roman"/>
          <w:color w:val="auto"/>
          <w:highlight w:val="none"/>
        </w:rPr>
      </w:pPr>
      <w:r>
        <w:rPr>
          <w:rFonts w:hint="default" w:ascii="Times New Roman" w:hAnsi="Times New Roman" w:eastAsia="宋体" w:cs="Times New Roman"/>
          <w:b/>
          <w:color w:val="auto"/>
          <w:sz w:val="22"/>
          <w:szCs w:val="22"/>
          <w:highlight w:val="none"/>
        </w:rPr>
        <w:t>6.2.8</w:t>
      </w:r>
      <w:r>
        <w:rPr>
          <w:rFonts w:hint="default" w:ascii="Times New Roman" w:hAnsi="Times New Roman" w:cs="Times New Roman"/>
          <w:color w:val="auto"/>
          <w:sz w:val="22"/>
          <w:szCs w:val="22"/>
          <w:highlight w:val="none"/>
        </w:rPr>
        <w:t>设计负责人为</w:t>
      </w:r>
      <w:r>
        <w:rPr>
          <w:rFonts w:hint="default" w:ascii="Times New Roman" w:hAnsi="Times New Roman" w:cs="Times New Roman"/>
          <w:color w:val="auto"/>
          <w:sz w:val="22"/>
          <w:szCs w:val="22"/>
          <w:highlight w:val="none"/>
          <w:lang w:eastAsia="zh-CN"/>
        </w:rPr>
        <w:t>：</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u w:val="single"/>
          <w:lang w:val="en-US" w:eastAsia="zh-CN"/>
        </w:rPr>
        <w:t xml:space="preserve">      </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rPr>
        <w:t>，身份证号：</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u w:val="single"/>
          <w:lang w:val="en-US" w:eastAsia="zh-CN"/>
        </w:rPr>
        <w:t xml:space="preserve">                            </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rPr>
        <w:t>；资格证书编号：</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u w:val="single"/>
          <w:lang w:val="en-US" w:eastAsia="zh-CN"/>
        </w:rPr>
        <w:t xml:space="preserve">                            </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rPr>
        <w:t>。</w:t>
      </w:r>
    </w:p>
    <w:p w14:paraId="1B2FCD2E">
      <w:pPr>
        <w:pStyle w:val="6"/>
        <w:spacing w:line="420" w:lineRule="exact"/>
        <w:ind w:left="42" w:leftChars="20"/>
        <w:rPr>
          <w:rFonts w:hint="default" w:ascii="Times New Roman" w:hAnsi="Times New Roman" w:cs="Times New Roman"/>
          <w:color w:val="auto"/>
          <w:sz w:val="22"/>
          <w:szCs w:val="22"/>
          <w:highlight w:val="none"/>
        </w:rPr>
      </w:pPr>
    </w:p>
    <w:p w14:paraId="295586EC">
      <w:pPr>
        <w:numPr>
          <w:ilvl w:val="0"/>
          <w:numId w:val="0"/>
        </w:numPr>
        <w:spacing w:line="420" w:lineRule="exact"/>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lang w:val="en-US" w:eastAsia="zh-CN"/>
        </w:rPr>
        <w:t xml:space="preserve">7. </w:t>
      </w:r>
      <w:r>
        <w:rPr>
          <w:rFonts w:hint="default" w:ascii="Times New Roman" w:hAnsi="Times New Roman" w:cs="Times New Roman"/>
          <w:b/>
          <w:bCs/>
          <w:color w:val="auto"/>
          <w:sz w:val="22"/>
          <w:szCs w:val="22"/>
          <w:highlight w:val="none"/>
        </w:rPr>
        <w:t>违约责任</w:t>
      </w:r>
    </w:p>
    <w:p w14:paraId="6D4BAE7B">
      <w:pPr>
        <w:spacing w:line="360" w:lineRule="auto"/>
        <w:ind w:firstLine="442" w:firstLineChars="200"/>
        <w:rPr>
          <w:rFonts w:hint="default" w:ascii="Times New Roman" w:hAnsi="Times New Roman" w:cs="Times New Roman"/>
          <w:color w:val="auto"/>
          <w:sz w:val="22"/>
          <w:szCs w:val="22"/>
          <w:highlight w:val="none"/>
        </w:rPr>
      </w:pPr>
      <w:r>
        <w:rPr>
          <w:rFonts w:hint="default" w:ascii="Times New Roman" w:hAnsi="Times New Roman" w:cs="Times New Roman"/>
          <w:b/>
          <w:color w:val="auto"/>
          <w:sz w:val="22"/>
          <w:szCs w:val="22"/>
          <w:highlight w:val="none"/>
        </w:rPr>
        <w:t>7.1</w:t>
      </w:r>
      <w:r>
        <w:rPr>
          <w:rFonts w:hint="default" w:ascii="Times New Roman" w:hAnsi="Times New Roman" w:cs="Times New Roman"/>
          <w:color w:val="auto"/>
          <w:sz w:val="22"/>
          <w:szCs w:val="22"/>
          <w:highlight w:val="none"/>
        </w:rPr>
        <w:t>在合同履行期间，发包人要求终止或解除合同，设计人未开始设计工作的，不退还发包人已付的定金；已开始设计工作的，发包人应根据设计人已进行的实际工作量，支付对应阶段的设计费用。</w:t>
      </w:r>
    </w:p>
    <w:p w14:paraId="44F59B22">
      <w:pPr>
        <w:spacing w:line="360" w:lineRule="auto"/>
        <w:ind w:firstLine="442" w:firstLineChars="200"/>
        <w:rPr>
          <w:rFonts w:hint="default" w:ascii="Times New Roman" w:hAnsi="Times New Roman" w:cs="Times New Roman"/>
          <w:color w:val="auto"/>
          <w:sz w:val="22"/>
          <w:szCs w:val="22"/>
          <w:highlight w:val="none"/>
        </w:rPr>
      </w:pPr>
      <w:r>
        <w:rPr>
          <w:rFonts w:hint="default" w:ascii="Times New Roman" w:hAnsi="Times New Roman" w:cs="Times New Roman"/>
          <w:b/>
          <w:color w:val="auto"/>
          <w:sz w:val="22"/>
          <w:szCs w:val="22"/>
          <w:highlight w:val="none"/>
        </w:rPr>
        <w:t>7.2</w:t>
      </w:r>
      <w:r>
        <w:rPr>
          <w:rFonts w:hint="default" w:ascii="Times New Roman" w:hAnsi="Times New Roman" w:cs="Times New Roman"/>
          <w:color w:val="auto"/>
          <w:sz w:val="22"/>
          <w:szCs w:val="22"/>
          <w:highlight w:val="none"/>
        </w:rPr>
        <w:t>发包人应按本合同第五条规定的金额和时间向设计人支付设计费。发包人逾期支付的，每逾期支付一天，应承担本合同第四条设计费暂定总额按未付金额的万分之二作为逾期违约金。逾期超过30天以上时，向设计人有权暂停履行下阶段工作，并书面通知发包人。发包人的上级或设计审批部门对设计文件不审批或本合同项目停缓建，发包人均按</w:t>
      </w:r>
      <w:r>
        <w:rPr>
          <w:rFonts w:hint="default" w:ascii="Times New Roman" w:hAnsi="Times New Roman" w:cs="Times New Roman"/>
          <w:b/>
          <w:color w:val="auto"/>
          <w:sz w:val="22"/>
          <w:szCs w:val="22"/>
          <w:highlight w:val="none"/>
        </w:rPr>
        <w:t>7.1</w:t>
      </w:r>
      <w:r>
        <w:rPr>
          <w:rFonts w:hint="default" w:ascii="Times New Roman" w:hAnsi="Times New Roman" w:cs="Times New Roman"/>
          <w:color w:val="auto"/>
          <w:sz w:val="22"/>
          <w:szCs w:val="22"/>
          <w:highlight w:val="none"/>
        </w:rPr>
        <w:t>条规定支付设计费支付违约金，违约金最高不超过未付金额的5%。</w:t>
      </w:r>
    </w:p>
    <w:p w14:paraId="3DD0EE2F">
      <w:pPr>
        <w:spacing w:line="360" w:lineRule="auto"/>
        <w:ind w:firstLine="442" w:firstLineChars="200"/>
        <w:rPr>
          <w:rFonts w:hint="default" w:ascii="Times New Roman" w:hAnsi="Times New Roman" w:cs="Times New Roman"/>
          <w:color w:val="auto"/>
          <w:sz w:val="22"/>
          <w:szCs w:val="22"/>
          <w:highlight w:val="none"/>
        </w:rPr>
      </w:pPr>
      <w:r>
        <w:rPr>
          <w:rFonts w:hint="default" w:ascii="Times New Roman" w:hAnsi="Times New Roman" w:cs="Times New Roman"/>
          <w:b/>
          <w:color w:val="auto"/>
          <w:sz w:val="22"/>
          <w:szCs w:val="22"/>
          <w:highlight w:val="none"/>
        </w:rPr>
        <w:t>7.3</w:t>
      </w:r>
      <w:r>
        <w:rPr>
          <w:rFonts w:hint="default" w:ascii="Times New Roman" w:hAnsi="Times New Roman" w:cs="Times New Roman"/>
          <w:color w:val="auto"/>
          <w:sz w:val="22"/>
          <w:szCs w:val="22"/>
          <w:highlight w:val="none"/>
        </w:rPr>
        <w:t>设计人对设计资料及文件出现的遗漏或错误负责修改或补充。由于设计人员错误造成工程质量事故损失，设计人除负责采取补救措施外，应免收直接受损失部分的设计费。损失严重的根据损失的程度和设计人责任大小向发包人支付赔偿金。</w:t>
      </w:r>
    </w:p>
    <w:p w14:paraId="1F67C9C1">
      <w:pPr>
        <w:spacing w:line="360" w:lineRule="auto"/>
        <w:ind w:firstLine="480"/>
        <w:rPr>
          <w:rFonts w:hint="default" w:ascii="Times New Roman" w:hAnsi="Times New Roman" w:cs="Times New Roman"/>
          <w:color w:val="auto"/>
          <w:sz w:val="22"/>
          <w:szCs w:val="22"/>
          <w:highlight w:val="none"/>
        </w:rPr>
      </w:pPr>
      <w:r>
        <w:rPr>
          <w:rFonts w:hint="default" w:ascii="Times New Roman" w:hAnsi="Times New Roman" w:cs="Times New Roman"/>
          <w:b/>
          <w:color w:val="auto"/>
          <w:sz w:val="22"/>
          <w:szCs w:val="22"/>
          <w:highlight w:val="none"/>
        </w:rPr>
        <w:t>7.4</w:t>
      </w:r>
      <w:r>
        <w:rPr>
          <w:rFonts w:hint="default" w:ascii="Times New Roman" w:hAnsi="Times New Roman" w:cs="Times New Roman"/>
          <w:color w:val="auto"/>
          <w:sz w:val="22"/>
          <w:szCs w:val="22"/>
          <w:highlight w:val="none"/>
        </w:rPr>
        <w:t>由于设计人自身原因，延误了按合同第四条规定的设计资料及设计文件的交付时间，每延误一天，应减收本合同第五条设计费暂定总额的千分之二。延误超过30天的，发包人有权单方解除本合同并不予支付费用，设计人还应按本合同第四条设计费暂定总额的20%向发包人支付违约金。</w:t>
      </w:r>
    </w:p>
    <w:p w14:paraId="67CBAF7C">
      <w:pPr>
        <w:spacing w:line="360" w:lineRule="auto"/>
        <w:ind w:firstLine="555"/>
        <w:rPr>
          <w:rFonts w:hint="default" w:ascii="Times New Roman" w:hAnsi="Times New Roman" w:cs="Times New Roman"/>
          <w:color w:val="auto"/>
          <w:sz w:val="22"/>
          <w:szCs w:val="22"/>
          <w:highlight w:val="none"/>
        </w:rPr>
      </w:pPr>
      <w:r>
        <w:rPr>
          <w:rFonts w:hint="default" w:ascii="Times New Roman" w:hAnsi="Times New Roman" w:cs="Times New Roman"/>
          <w:b/>
          <w:color w:val="auto"/>
          <w:sz w:val="22"/>
          <w:szCs w:val="22"/>
          <w:highlight w:val="none"/>
        </w:rPr>
        <w:t>7.5</w:t>
      </w:r>
      <w:r>
        <w:rPr>
          <w:rFonts w:hint="default" w:ascii="Times New Roman" w:hAnsi="Times New Roman" w:cs="Times New Roman"/>
          <w:color w:val="auto"/>
          <w:sz w:val="22"/>
          <w:szCs w:val="22"/>
          <w:highlight w:val="none"/>
        </w:rPr>
        <w:t>由于设计人员错误造成工程质量事故损失，设计人除负责采取补救措施外，应免收损失部门的设计费，并对事故造成的损失按照责任比例向发包人支付赔偿金。由于设计人失职造成建设单位的工程损失，由建设单位向设计人追讨相应的损失及罚款，并且由财政部门登记入“黑名单”库。</w:t>
      </w:r>
    </w:p>
    <w:p w14:paraId="3ACE38BF">
      <w:pPr>
        <w:spacing w:line="360" w:lineRule="auto"/>
        <w:ind w:firstLine="555"/>
        <w:rPr>
          <w:rFonts w:hint="default" w:ascii="Times New Roman" w:hAnsi="Times New Roman" w:cs="Times New Roman"/>
          <w:color w:val="auto"/>
          <w:sz w:val="22"/>
          <w:szCs w:val="22"/>
          <w:highlight w:val="none"/>
        </w:rPr>
      </w:pPr>
      <w:r>
        <w:rPr>
          <w:rFonts w:hint="default" w:ascii="Times New Roman" w:hAnsi="Times New Roman" w:cs="Times New Roman"/>
          <w:b/>
          <w:color w:val="auto"/>
          <w:sz w:val="22"/>
          <w:szCs w:val="22"/>
          <w:highlight w:val="none"/>
        </w:rPr>
        <w:t>7.6</w:t>
      </w:r>
      <w:r>
        <w:rPr>
          <w:rFonts w:hint="default" w:ascii="Times New Roman" w:hAnsi="Times New Roman" w:cs="Times New Roman"/>
          <w:color w:val="auto"/>
          <w:sz w:val="22"/>
          <w:szCs w:val="22"/>
          <w:highlight w:val="none"/>
        </w:rPr>
        <w:t>由于勘察、设计等单位的过失引起工程设计变更并造成损失的，勘察、设计等单位应承担相应责任，并对此造成的损失按照责任比例向发包人支付赔偿金。个人不履行或者不正确履行工作职责，给国家利益、人民生命财产、公共财产造成重大损失或者恶劣影响的，有权机关依法追究法律责任。</w:t>
      </w:r>
    </w:p>
    <w:p w14:paraId="181B7F45">
      <w:pPr>
        <w:spacing w:line="360" w:lineRule="auto"/>
        <w:ind w:firstLine="555"/>
        <w:rPr>
          <w:rFonts w:hint="default" w:ascii="Times New Roman" w:hAnsi="Times New Roman" w:cs="Times New Roman"/>
          <w:color w:val="auto"/>
          <w:sz w:val="22"/>
          <w:szCs w:val="22"/>
          <w:highlight w:val="none"/>
        </w:rPr>
      </w:pPr>
      <w:r>
        <w:rPr>
          <w:rFonts w:hint="default" w:ascii="Times New Roman" w:hAnsi="Times New Roman" w:cs="Times New Roman"/>
          <w:b/>
          <w:color w:val="auto"/>
          <w:sz w:val="24"/>
          <w:highlight w:val="none"/>
        </w:rPr>
        <w:t xml:space="preserve">7.7 </w:t>
      </w:r>
      <w:r>
        <w:rPr>
          <w:rFonts w:hint="default" w:ascii="Times New Roman" w:hAnsi="Times New Roman" w:cs="Times New Roman"/>
          <w:color w:val="auto"/>
          <w:sz w:val="24"/>
          <w:highlight w:val="none"/>
        </w:rPr>
        <w:t>合同生效后，设计人要求终止或解除合同，设计人还应按本合同第四条设计费暂定总额的20%向发包人支付违约金。</w:t>
      </w:r>
    </w:p>
    <w:p w14:paraId="372355C9">
      <w:pPr>
        <w:spacing w:line="360" w:lineRule="auto"/>
        <w:ind w:firstLine="555"/>
        <w:rPr>
          <w:rFonts w:hint="default" w:ascii="Times New Roman" w:hAnsi="Times New Roman" w:cs="Times New Roman"/>
          <w:color w:val="auto"/>
          <w:sz w:val="22"/>
          <w:szCs w:val="22"/>
          <w:highlight w:val="none"/>
        </w:rPr>
      </w:pPr>
      <w:r>
        <w:rPr>
          <w:rFonts w:hint="default" w:ascii="Times New Roman" w:hAnsi="Times New Roman" w:cs="Times New Roman"/>
          <w:b/>
          <w:color w:val="auto"/>
          <w:sz w:val="24"/>
          <w:highlight w:val="none"/>
        </w:rPr>
        <w:t xml:space="preserve">7.8 </w:t>
      </w:r>
      <w:r>
        <w:rPr>
          <w:rFonts w:hint="default" w:ascii="Times New Roman" w:hAnsi="Times New Roman" w:cs="Times New Roman"/>
          <w:color w:val="auto"/>
          <w:sz w:val="22"/>
          <w:szCs w:val="22"/>
          <w:highlight w:val="none"/>
        </w:rPr>
        <w:t>若设计人提交的设计成果文件不符合本合同及发包人要求，设计人应按发包人要求限期内予以补正及完善，因此造成的延期提交按该条第7.4款承担违约责任；若设计人怠于补正完善，或补正完善后提交的成果文件仍不符合本合同及甲方要求的，发包人有权单方解除本合同并不予支付费用，设计人还应按本合同第四条设计费暂定总额的20%向发包人支付违约金。</w:t>
      </w:r>
    </w:p>
    <w:p w14:paraId="688A7F1D">
      <w:pPr>
        <w:spacing w:line="360" w:lineRule="auto"/>
        <w:ind w:firstLine="555"/>
        <w:rPr>
          <w:rFonts w:hint="default" w:ascii="Times New Roman" w:hAnsi="Times New Roman" w:cs="Times New Roman"/>
          <w:color w:val="auto"/>
          <w:sz w:val="22"/>
          <w:szCs w:val="22"/>
          <w:highlight w:val="none"/>
        </w:rPr>
      </w:pPr>
      <w:r>
        <w:rPr>
          <w:rFonts w:hint="default" w:ascii="Times New Roman" w:hAnsi="Times New Roman" w:cs="Times New Roman"/>
          <w:b/>
          <w:color w:val="auto"/>
          <w:sz w:val="24"/>
          <w:highlight w:val="none"/>
        </w:rPr>
        <w:t xml:space="preserve">7.9 </w:t>
      </w:r>
      <w:r>
        <w:rPr>
          <w:rFonts w:hint="default" w:ascii="Times New Roman" w:hAnsi="Times New Roman" w:cs="Times New Roman"/>
          <w:color w:val="auto"/>
          <w:sz w:val="22"/>
          <w:szCs w:val="22"/>
          <w:highlight w:val="none"/>
        </w:rPr>
        <w:t>设计人在本工程验收前更换在投标文件中所承诺的人员的，需经发包人书面批准并办理更换手续。因人员辞职更换设计人员的，应在相关人员辞职手续完成后一周内向发包人提交相关证明材料</w:t>
      </w:r>
      <w:r>
        <w:rPr>
          <w:rFonts w:hint="default" w:ascii="Times New Roman" w:hAnsi="Times New Roman" w:cs="Times New Roman"/>
          <w:color w:val="auto"/>
          <w:sz w:val="22"/>
          <w:szCs w:val="22"/>
          <w:highlight w:val="none"/>
          <w:lang w:eastAsia="zh-CN"/>
        </w:rPr>
        <w:t>（</w:t>
      </w:r>
      <w:r>
        <w:rPr>
          <w:rFonts w:hint="default" w:ascii="Times New Roman" w:hAnsi="Times New Roman" w:cs="Times New Roman"/>
          <w:color w:val="auto"/>
          <w:sz w:val="22"/>
          <w:szCs w:val="22"/>
          <w:highlight w:val="none"/>
        </w:rPr>
        <w:t>辞职流程文件或社保停保证明等</w:t>
      </w:r>
      <w:r>
        <w:rPr>
          <w:rFonts w:hint="default" w:ascii="Times New Roman" w:hAnsi="Times New Roman" w:cs="Times New Roman"/>
          <w:color w:val="auto"/>
          <w:sz w:val="22"/>
          <w:szCs w:val="22"/>
          <w:highlight w:val="none"/>
          <w:lang w:eastAsia="zh-CN"/>
        </w:rPr>
        <w:t>）</w:t>
      </w:r>
      <w:r>
        <w:rPr>
          <w:rFonts w:hint="default" w:ascii="Times New Roman" w:hAnsi="Times New Roman" w:cs="Times New Roman"/>
          <w:color w:val="auto"/>
          <w:sz w:val="22"/>
          <w:szCs w:val="22"/>
          <w:highlight w:val="none"/>
        </w:rPr>
        <w:t>申请更换。因其他原因更换负责人的，承包人应支付违约金 20 万元/人次</w:t>
      </w:r>
      <w:r>
        <w:rPr>
          <w:rFonts w:hint="default" w:ascii="Times New Roman" w:hAnsi="Times New Roman" w:cs="Times New Roman"/>
          <w:color w:val="auto"/>
          <w:sz w:val="22"/>
          <w:szCs w:val="22"/>
          <w:highlight w:val="none"/>
          <w:lang w:eastAsia="zh-CN"/>
        </w:rPr>
        <w:t>（</w:t>
      </w:r>
      <w:r>
        <w:rPr>
          <w:rFonts w:hint="default" w:ascii="Times New Roman" w:hAnsi="Times New Roman" w:cs="Times New Roman"/>
          <w:color w:val="auto"/>
          <w:sz w:val="22"/>
          <w:szCs w:val="22"/>
          <w:highlight w:val="none"/>
        </w:rPr>
        <w:t>负责人不能按要求到位累计 5 次或以上，视为更换</w:t>
      </w:r>
      <w:r>
        <w:rPr>
          <w:rFonts w:hint="default" w:ascii="Times New Roman" w:hAnsi="Times New Roman" w:cs="Times New Roman"/>
          <w:color w:val="auto"/>
          <w:sz w:val="22"/>
          <w:szCs w:val="22"/>
          <w:highlight w:val="none"/>
          <w:lang w:eastAsia="zh-CN"/>
        </w:rPr>
        <w:t>）</w:t>
      </w:r>
      <w:r>
        <w:rPr>
          <w:rFonts w:hint="default" w:ascii="Times New Roman" w:hAnsi="Times New Roman" w:cs="Times New Roman"/>
          <w:color w:val="auto"/>
          <w:sz w:val="22"/>
          <w:szCs w:val="22"/>
          <w:highlight w:val="none"/>
        </w:rPr>
        <w:t>；更换一般人员的，承包人应支付违约金 5万元/人次</w:t>
      </w:r>
      <w:r>
        <w:rPr>
          <w:rFonts w:hint="default" w:ascii="Times New Roman" w:hAnsi="Times New Roman" w:cs="Times New Roman"/>
          <w:color w:val="auto"/>
          <w:sz w:val="22"/>
          <w:szCs w:val="22"/>
          <w:highlight w:val="none"/>
          <w:lang w:eastAsia="zh-CN"/>
        </w:rPr>
        <w:t>（</w:t>
      </w:r>
      <w:r>
        <w:rPr>
          <w:rFonts w:hint="default" w:ascii="Times New Roman" w:hAnsi="Times New Roman" w:cs="Times New Roman"/>
          <w:color w:val="auto"/>
          <w:sz w:val="22"/>
          <w:szCs w:val="22"/>
          <w:highlight w:val="none"/>
        </w:rPr>
        <w:t>负责人不能按要求到位累计 5 次或以上，视为更换</w:t>
      </w:r>
      <w:r>
        <w:rPr>
          <w:rFonts w:hint="default" w:ascii="Times New Roman" w:hAnsi="Times New Roman" w:cs="Times New Roman"/>
          <w:color w:val="auto"/>
          <w:sz w:val="22"/>
          <w:szCs w:val="22"/>
          <w:highlight w:val="none"/>
          <w:lang w:eastAsia="zh-CN"/>
        </w:rPr>
        <w:t>）</w:t>
      </w:r>
      <w:r>
        <w:rPr>
          <w:rFonts w:hint="default" w:ascii="Times New Roman" w:hAnsi="Times New Roman" w:cs="Times New Roman"/>
          <w:color w:val="auto"/>
          <w:sz w:val="22"/>
          <w:szCs w:val="22"/>
          <w:highlight w:val="none"/>
        </w:rPr>
        <w:t>: (重病[重病</w:t>
      </w:r>
      <w:r>
        <w:rPr>
          <w:rFonts w:hint="default" w:ascii="Times New Roman" w:hAnsi="Times New Roman" w:cs="Times New Roman"/>
          <w:color w:val="auto"/>
          <w:sz w:val="22"/>
          <w:szCs w:val="22"/>
          <w:highlight w:val="none"/>
          <w:lang w:eastAsia="zh-CN"/>
        </w:rPr>
        <w:t>（</w:t>
      </w:r>
      <w:r>
        <w:rPr>
          <w:rFonts w:hint="default" w:ascii="Times New Roman" w:hAnsi="Times New Roman" w:cs="Times New Roman"/>
          <w:color w:val="auto"/>
          <w:sz w:val="22"/>
          <w:szCs w:val="22"/>
          <w:highlight w:val="none"/>
        </w:rPr>
        <w:t>持有 县、区以上医院证明，两个月以上不能履行职责] 及身故办理更换除外</w:t>
      </w:r>
      <w:r>
        <w:rPr>
          <w:rFonts w:hint="default" w:ascii="Times New Roman" w:hAnsi="Times New Roman" w:cs="Times New Roman"/>
          <w:color w:val="auto"/>
          <w:sz w:val="22"/>
          <w:szCs w:val="22"/>
          <w:highlight w:val="none"/>
          <w:lang w:eastAsia="zh-CN"/>
        </w:rPr>
        <w:t>）</w:t>
      </w:r>
      <w:r>
        <w:rPr>
          <w:rFonts w:hint="default" w:ascii="Times New Roman" w:hAnsi="Times New Roman" w:cs="Times New Roman"/>
          <w:color w:val="auto"/>
          <w:sz w:val="22"/>
          <w:szCs w:val="22"/>
          <w:highlight w:val="none"/>
        </w:rPr>
        <w:t>。</w:t>
      </w:r>
    </w:p>
    <w:p w14:paraId="20CF2B46">
      <w:pPr>
        <w:spacing w:line="360" w:lineRule="auto"/>
        <w:ind w:firstLine="555"/>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接任的设计人员的资质、资历、学历、职称、业绩、实际工作能力应不低于前任设计人员，且应继续行使合同规定的前任设计人员的职权和履行相应的义务，否则设计单位需按照上述违约金的双倍支付违约金。更换人员比例达到 20%及以上的，发包人有权解除合同并扣除全部履约保证金。</w:t>
      </w:r>
    </w:p>
    <w:p w14:paraId="586239F9">
      <w:pPr>
        <w:pStyle w:val="6"/>
        <w:ind w:left="2940"/>
        <w:rPr>
          <w:rFonts w:hint="default" w:ascii="Times New Roman" w:hAnsi="Times New Roman" w:cs="Times New Roman"/>
          <w:color w:val="auto"/>
          <w:highlight w:val="none"/>
        </w:rPr>
      </w:pPr>
    </w:p>
    <w:p w14:paraId="16711FF8">
      <w:pPr>
        <w:spacing w:line="420" w:lineRule="exact"/>
        <w:ind w:left="42" w:leftChars="20"/>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2"/>
          <w:szCs w:val="22"/>
          <w:highlight w:val="none"/>
          <w:lang w:val="en-US" w:eastAsia="zh-CN"/>
        </w:rPr>
        <w:t xml:space="preserve">8. </w:t>
      </w:r>
      <w:r>
        <w:rPr>
          <w:rFonts w:hint="default" w:ascii="Times New Roman" w:hAnsi="Times New Roman" w:cs="Times New Roman"/>
          <w:b/>
          <w:bCs/>
          <w:color w:val="auto"/>
          <w:sz w:val="22"/>
          <w:szCs w:val="22"/>
          <w:highlight w:val="none"/>
        </w:rPr>
        <w:t>其他</w:t>
      </w:r>
    </w:p>
    <w:p w14:paraId="0E085F3A">
      <w:pPr>
        <w:spacing w:line="420" w:lineRule="exact"/>
        <w:ind w:left="42" w:leftChars="20" w:firstLine="442" w:firstLineChars="200"/>
        <w:rPr>
          <w:rFonts w:hint="default" w:ascii="Times New Roman" w:hAnsi="Times New Roman" w:cs="Times New Roman"/>
          <w:color w:val="auto"/>
          <w:sz w:val="22"/>
          <w:szCs w:val="22"/>
          <w:highlight w:val="none"/>
        </w:rPr>
      </w:pPr>
      <w:r>
        <w:rPr>
          <w:rFonts w:hint="default" w:ascii="Times New Roman" w:hAnsi="Times New Roman" w:cs="Times New Roman"/>
          <w:b/>
          <w:color w:val="auto"/>
          <w:sz w:val="22"/>
          <w:szCs w:val="22"/>
          <w:highlight w:val="none"/>
        </w:rPr>
        <w:t>8.1</w:t>
      </w:r>
      <w:r>
        <w:rPr>
          <w:rFonts w:hint="default" w:ascii="Times New Roman" w:hAnsi="Times New Roman" w:cs="Times New Roman"/>
          <w:color w:val="auto"/>
          <w:sz w:val="22"/>
          <w:szCs w:val="22"/>
          <w:highlight w:val="none"/>
        </w:rPr>
        <w:t>设计人派专人留驻施工现场进行配合与解决有关问题。</w:t>
      </w:r>
    </w:p>
    <w:p w14:paraId="5D96D071">
      <w:pPr>
        <w:spacing w:line="420" w:lineRule="exact"/>
        <w:ind w:left="42" w:leftChars="20" w:firstLine="442" w:firstLineChars="200"/>
        <w:rPr>
          <w:rFonts w:hint="default" w:ascii="Times New Roman" w:hAnsi="Times New Roman" w:cs="Times New Roman"/>
          <w:color w:val="auto"/>
          <w:sz w:val="22"/>
          <w:szCs w:val="22"/>
          <w:highlight w:val="none"/>
        </w:rPr>
      </w:pPr>
      <w:r>
        <w:rPr>
          <w:rFonts w:hint="default" w:ascii="Times New Roman" w:hAnsi="Times New Roman" w:cs="Times New Roman"/>
          <w:b/>
          <w:color w:val="auto"/>
          <w:sz w:val="22"/>
          <w:szCs w:val="22"/>
          <w:highlight w:val="none"/>
        </w:rPr>
        <w:t>8.2</w:t>
      </w:r>
      <w:r>
        <w:rPr>
          <w:rFonts w:hint="default" w:ascii="Times New Roman" w:hAnsi="Times New Roman" w:cs="Times New Roman"/>
          <w:color w:val="auto"/>
          <w:sz w:val="22"/>
          <w:szCs w:val="22"/>
          <w:highlight w:val="none"/>
        </w:rPr>
        <w:t>设计人为本合同项目所采用的国家或地方标准图，由设计人自费向有关出版部门购买。</w:t>
      </w:r>
    </w:p>
    <w:p w14:paraId="111372D6">
      <w:pPr>
        <w:spacing w:line="420" w:lineRule="exact"/>
        <w:ind w:left="42" w:leftChars="20" w:firstLine="442" w:firstLineChars="200"/>
        <w:rPr>
          <w:rFonts w:hint="default" w:ascii="Times New Roman" w:hAnsi="Times New Roman" w:cs="Times New Roman"/>
          <w:color w:val="auto"/>
          <w:sz w:val="22"/>
          <w:szCs w:val="22"/>
          <w:highlight w:val="none"/>
        </w:rPr>
      </w:pPr>
      <w:r>
        <w:rPr>
          <w:rFonts w:hint="default" w:ascii="Times New Roman" w:hAnsi="Times New Roman" w:cs="Times New Roman"/>
          <w:b/>
          <w:color w:val="auto"/>
          <w:sz w:val="22"/>
          <w:szCs w:val="22"/>
          <w:highlight w:val="none"/>
        </w:rPr>
        <w:t>8.3</w:t>
      </w:r>
      <w:r>
        <w:rPr>
          <w:rFonts w:hint="default" w:ascii="Times New Roman" w:hAnsi="Times New Roman" w:cs="Times New Roman"/>
          <w:color w:val="auto"/>
          <w:sz w:val="22"/>
          <w:szCs w:val="22"/>
          <w:highlight w:val="none"/>
        </w:rPr>
        <w:t>本工程设计资料及文件中，建筑材料、建筑构配件和设备，应当注明其规格、型号、性能等技术指标，设计人不得指定生产厂、供应商。</w:t>
      </w:r>
    </w:p>
    <w:p w14:paraId="7323B0E4">
      <w:pPr>
        <w:spacing w:line="420" w:lineRule="exact"/>
        <w:ind w:left="42" w:leftChars="20" w:firstLine="442" w:firstLineChars="200"/>
        <w:rPr>
          <w:rFonts w:hint="default" w:ascii="Times New Roman" w:hAnsi="Times New Roman" w:cs="Times New Roman"/>
          <w:color w:val="auto"/>
          <w:sz w:val="22"/>
          <w:szCs w:val="22"/>
          <w:highlight w:val="none"/>
        </w:rPr>
      </w:pPr>
      <w:r>
        <w:rPr>
          <w:rFonts w:hint="default" w:ascii="Times New Roman" w:hAnsi="Times New Roman" w:cs="Times New Roman"/>
          <w:b/>
          <w:color w:val="auto"/>
          <w:sz w:val="22"/>
          <w:szCs w:val="22"/>
          <w:highlight w:val="none"/>
        </w:rPr>
        <w:t>8.4</w:t>
      </w:r>
      <w:r>
        <w:rPr>
          <w:rFonts w:hint="default" w:ascii="Times New Roman" w:hAnsi="Times New Roman" w:cs="Times New Roman"/>
          <w:color w:val="auto"/>
          <w:sz w:val="22"/>
          <w:szCs w:val="22"/>
          <w:highlight w:val="none"/>
        </w:rPr>
        <w:t>发包人委托设计人配合引进项目的设计任务，从询价、对外谈判、国内外技术考察直至建成投产的各个阶段，应吸收承担有关设计任务的设计人参加。出国费用，除制装费外，其它费用由发包人支付。</w:t>
      </w:r>
    </w:p>
    <w:p w14:paraId="6D4AE93D">
      <w:pPr>
        <w:spacing w:line="420" w:lineRule="exact"/>
        <w:ind w:left="42" w:leftChars="20" w:firstLine="442" w:firstLineChars="200"/>
        <w:rPr>
          <w:rFonts w:hint="default" w:ascii="Times New Roman" w:hAnsi="Times New Roman" w:cs="Times New Roman"/>
          <w:color w:val="auto"/>
          <w:sz w:val="22"/>
          <w:szCs w:val="22"/>
          <w:highlight w:val="none"/>
        </w:rPr>
      </w:pPr>
      <w:r>
        <w:rPr>
          <w:rFonts w:hint="default" w:ascii="Times New Roman" w:hAnsi="Times New Roman" w:cs="Times New Roman"/>
          <w:b/>
          <w:color w:val="auto"/>
          <w:sz w:val="22"/>
          <w:szCs w:val="22"/>
          <w:highlight w:val="none"/>
        </w:rPr>
        <w:t>8.5</w:t>
      </w:r>
      <w:r>
        <w:rPr>
          <w:rFonts w:hint="default" w:ascii="Times New Roman" w:hAnsi="Times New Roman" w:cs="Times New Roman"/>
          <w:color w:val="auto"/>
          <w:sz w:val="22"/>
          <w:szCs w:val="22"/>
          <w:highlight w:val="none"/>
        </w:rPr>
        <w:t>发包人委托设计人承担本合同内容之外的工作服务，另行支付费用。</w:t>
      </w:r>
    </w:p>
    <w:p w14:paraId="083F379F">
      <w:pPr>
        <w:spacing w:line="420" w:lineRule="exact"/>
        <w:ind w:left="42" w:leftChars="20" w:firstLine="442" w:firstLineChars="200"/>
        <w:rPr>
          <w:rFonts w:hint="default" w:ascii="Times New Roman" w:hAnsi="Times New Roman" w:cs="Times New Roman"/>
          <w:color w:val="auto"/>
          <w:sz w:val="22"/>
          <w:szCs w:val="22"/>
          <w:highlight w:val="none"/>
        </w:rPr>
      </w:pPr>
      <w:r>
        <w:rPr>
          <w:rFonts w:hint="default" w:ascii="Times New Roman" w:hAnsi="Times New Roman" w:cs="Times New Roman"/>
          <w:b/>
          <w:color w:val="auto"/>
          <w:sz w:val="22"/>
          <w:szCs w:val="22"/>
          <w:highlight w:val="none"/>
        </w:rPr>
        <w:t xml:space="preserve">8.6 </w:t>
      </w:r>
      <w:r>
        <w:rPr>
          <w:rFonts w:hint="default" w:ascii="Times New Roman" w:hAnsi="Times New Roman" w:cs="Times New Roman"/>
          <w:color w:val="auto"/>
          <w:sz w:val="22"/>
          <w:szCs w:val="22"/>
          <w:highlight w:val="none"/>
        </w:rPr>
        <w:t>由于不可抗力因素致使合同无法履行时，双方应及时协商解决。</w:t>
      </w:r>
    </w:p>
    <w:p w14:paraId="07F5328B">
      <w:pPr>
        <w:spacing w:line="420" w:lineRule="exact"/>
        <w:ind w:left="42" w:leftChars="20" w:firstLine="442" w:firstLineChars="200"/>
        <w:rPr>
          <w:rFonts w:hint="default" w:ascii="Times New Roman" w:hAnsi="Times New Roman" w:cs="Times New Roman"/>
          <w:color w:val="auto"/>
          <w:sz w:val="22"/>
          <w:szCs w:val="22"/>
          <w:highlight w:val="none"/>
        </w:rPr>
      </w:pPr>
      <w:r>
        <w:rPr>
          <w:rFonts w:hint="default" w:ascii="Times New Roman" w:hAnsi="Times New Roman" w:cs="Times New Roman"/>
          <w:b/>
          <w:color w:val="auto"/>
          <w:sz w:val="22"/>
          <w:szCs w:val="22"/>
          <w:highlight w:val="none"/>
        </w:rPr>
        <w:t>8.7</w:t>
      </w:r>
      <w:r>
        <w:rPr>
          <w:rFonts w:hint="default" w:ascii="Times New Roman" w:hAnsi="Times New Roman" w:cs="Times New Roman"/>
          <w:color w:val="auto"/>
          <w:sz w:val="22"/>
          <w:szCs w:val="22"/>
          <w:highlight w:val="none"/>
        </w:rPr>
        <w:t>本合同在履行过程中发生的争议，由双方当事人协商解决，协商不成的按下列第（二）种方式解决：</w:t>
      </w:r>
    </w:p>
    <w:p w14:paraId="2EB4C452">
      <w:pPr>
        <w:spacing w:line="420" w:lineRule="exact"/>
        <w:ind w:left="42" w:leftChars="20" w:firstLine="440" w:firstLineChars="2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（一）提交广州仲裁委员会仲裁；</w:t>
      </w:r>
    </w:p>
    <w:p w14:paraId="5CAE0540">
      <w:pPr>
        <w:spacing w:line="420" w:lineRule="exact"/>
        <w:ind w:left="42" w:leftChars="20" w:firstLine="440" w:firstLineChars="2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（二）依法向发包人所在地人民法院起诉。</w:t>
      </w:r>
    </w:p>
    <w:p w14:paraId="20689278">
      <w:pPr>
        <w:spacing w:line="420" w:lineRule="exact"/>
        <w:ind w:left="42" w:leftChars="20" w:firstLine="442" w:firstLineChars="200"/>
        <w:rPr>
          <w:rFonts w:hint="default" w:ascii="Times New Roman" w:hAnsi="Times New Roman" w:cs="Times New Roman"/>
          <w:color w:val="auto"/>
          <w:kern w:val="0"/>
          <w:sz w:val="22"/>
          <w:szCs w:val="22"/>
          <w:highlight w:val="none"/>
        </w:rPr>
      </w:pPr>
      <w:r>
        <w:rPr>
          <w:rFonts w:hint="default" w:ascii="Times New Roman" w:hAnsi="Times New Roman" w:cs="Times New Roman"/>
          <w:b/>
          <w:color w:val="auto"/>
          <w:sz w:val="22"/>
          <w:szCs w:val="22"/>
          <w:highlight w:val="none"/>
        </w:rPr>
        <w:t>8.8</w:t>
      </w:r>
      <w:r>
        <w:rPr>
          <w:rFonts w:hint="default" w:ascii="Times New Roman" w:hAnsi="Times New Roman" w:cs="Times New Roman"/>
          <w:color w:val="auto"/>
          <w:kern w:val="0"/>
          <w:sz w:val="22"/>
          <w:szCs w:val="22"/>
          <w:highlight w:val="none"/>
        </w:rPr>
        <w:t>合同的份数：</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u w:val="single"/>
          <w:lang w:val="en-US" w:eastAsia="zh-CN"/>
        </w:rPr>
        <w:t xml:space="preserve">   </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rPr>
        <w:t>份。</w:t>
      </w:r>
    </w:p>
    <w:p w14:paraId="2A2644C6">
      <w:pPr>
        <w:spacing w:line="420" w:lineRule="exact"/>
        <w:ind w:left="42" w:leftChars="20" w:firstLine="440" w:firstLineChars="200"/>
        <w:rPr>
          <w:rFonts w:hint="default" w:ascii="Times New Roman" w:hAnsi="Times New Roman" w:cs="Times New Roman"/>
          <w:color w:val="auto"/>
          <w:sz w:val="22"/>
          <w:szCs w:val="22"/>
          <w:highlight w:val="none"/>
        </w:rPr>
      </w:pPr>
      <w:r>
        <w:rPr>
          <w:rFonts w:hint="default" w:ascii="Times New Roman" w:hAnsi="Times New Roman" w:cs="Times New Roman"/>
          <w:color w:val="auto"/>
          <w:kern w:val="0"/>
          <w:sz w:val="22"/>
          <w:szCs w:val="22"/>
          <w:highlight w:val="none"/>
        </w:rPr>
        <w:t>其中：发包人</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u w:val="single"/>
          <w:lang w:val="en-US" w:eastAsia="zh-CN"/>
        </w:rPr>
        <w:t xml:space="preserve">   </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rPr>
        <w:t xml:space="preserve">份，承包人 </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u w:val="single"/>
          <w:lang w:val="en-US" w:eastAsia="zh-CN"/>
        </w:rPr>
        <w:t xml:space="preserve">   </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rPr>
        <w:t>。</w:t>
      </w:r>
    </w:p>
    <w:p w14:paraId="10910EED">
      <w:pPr>
        <w:spacing w:line="420" w:lineRule="exact"/>
        <w:ind w:left="42" w:leftChars="20" w:firstLine="442" w:firstLineChars="200"/>
        <w:rPr>
          <w:rFonts w:hint="default" w:ascii="Times New Roman" w:hAnsi="Times New Roman" w:cs="Times New Roman"/>
          <w:color w:val="auto"/>
          <w:sz w:val="22"/>
          <w:szCs w:val="22"/>
          <w:highlight w:val="none"/>
        </w:rPr>
      </w:pPr>
      <w:r>
        <w:rPr>
          <w:rFonts w:hint="default" w:ascii="Times New Roman" w:hAnsi="Times New Roman" w:cs="Times New Roman"/>
          <w:b/>
          <w:color w:val="auto"/>
          <w:sz w:val="22"/>
          <w:szCs w:val="22"/>
          <w:highlight w:val="none"/>
        </w:rPr>
        <w:t>8.9</w:t>
      </w:r>
      <w:r>
        <w:rPr>
          <w:rFonts w:hint="default" w:ascii="Times New Roman" w:hAnsi="Times New Roman" w:cs="Times New Roman"/>
          <w:color w:val="auto"/>
          <w:sz w:val="22"/>
          <w:szCs w:val="22"/>
          <w:highlight w:val="none"/>
        </w:rPr>
        <w:t>本合同经双方签章后生效。</w:t>
      </w:r>
    </w:p>
    <w:p w14:paraId="33E75D26">
      <w:pPr>
        <w:spacing w:line="420" w:lineRule="exact"/>
        <w:ind w:left="42" w:leftChars="20" w:firstLine="442" w:firstLineChars="200"/>
        <w:rPr>
          <w:rFonts w:hint="default" w:ascii="Times New Roman" w:hAnsi="Times New Roman" w:cs="Times New Roman"/>
          <w:color w:val="auto"/>
          <w:sz w:val="22"/>
          <w:szCs w:val="22"/>
          <w:highlight w:val="none"/>
        </w:rPr>
      </w:pPr>
      <w:r>
        <w:rPr>
          <w:rFonts w:hint="default" w:ascii="Times New Roman" w:hAnsi="Times New Roman" w:cs="Times New Roman"/>
          <w:b/>
          <w:color w:val="auto"/>
          <w:sz w:val="22"/>
          <w:szCs w:val="22"/>
          <w:highlight w:val="none"/>
        </w:rPr>
        <w:t>8.10</w:t>
      </w:r>
      <w:r>
        <w:rPr>
          <w:rFonts w:hint="default" w:ascii="Times New Roman" w:hAnsi="Times New Roman" w:cs="Times New Roman"/>
          <w:color w:val="auto"/>
          <w:sz w:val="22"/>
          <w:szCs w:val="22"/>
          <w:highlight w:val="none"/>
        </w:rPr>
        <w:t>本合同生效后，按规定到项目所在省级建设行政主管部门规定的审查部门备案。双方认为必要时，到项目所在地工商行政管理部门申请鉴证。双方履行完合同规定的义务后，本合同即行终止。</w:t>
      </w:r>
    </w:p>
    <w:p w14:paraId="4FEFB866">
      <w:pPr>
        <w:spacing w:line="420" w:lineRule="exact"/>
        <w:ind w:left="42" w:leftChars="20" w:firstLine="442" w:firstLineChars="200"/>
        <w:rPr>
          <w:rFonts w:hint="default" w:ascii="Times New Roman" w:hAnsi="Times New Roman" w:cs="Times New Roman"/>
          <w:color w:val="auto"/>
          <w:sz w:val="22"/>
          <w:szCs w:val="22"/>
          <w:highlight w:val="none"/>
        </w:rPr>
      </w:pPr>
      <w:r>
        <w:rPr>
          <w:rFonts w:hint="default" w:ascii="Times New Roman" w:hAnsi="Times New Roman" w:cs="Times New Roman"/>
          <w:b/>
          <w:color w:val="auto"/>
          <w:sz w:val="22"/>
          <w:szCs w:val="22"/>
          <w:highlight w:val="none"/>
        </w:rPr>
        <w:t>8.11</w:t>
      </w:r>
      <w:r>
        <w:rPr>
          <w:rFonts w:hint="default" w:ascii="Times New Roman" w:hAnsi="Times New Roman" w:cs="Times New Roman"/>
          <w:color w:val="auto"/>
          <w:sz w:val="22"/>
          <w:szCs w:val="22"/>
          <w:highlight w:val="none"/>
        </w:rPr>
        <w:t>本合同未尽事宜，双方可签订补充协议，有关协议及双方认可的来往电报、传真、会议纪要等，均为本合同组成部分，与本合同具有同等法律效力。</w:t>
      </w:r>
    </w:p>
    <w:p w14:paraId="6A169EC0">
      <w:pPr>
        <w:spacing w:line="420" w:lineRule="exact"/>
        <w:ind w:left="42" w:leftChars="20" w:firstLine="555"/>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（本页以下无正文）</w:t>
      </w:r>
    </w:p>
    <w:p w14:paraId="71AC65FB">
      <w:pPr>
        <w:autoSpaceDE w:val="0"/>
        <w:autoSpaceDN w:val="0"/>
        <w:adjustRightInd w:val="0"/>
        <w:spacing w:line="360" w:lineRule="auto"/>
        <w:jc w:val="center"/>
        <w:rPr>
          <w:rFonts w:hint="default" w:ascii="Times New Roman" w:hAnsi="Times New Roman" w:cs="Times New Roman"/>
          <w:b/>
          <w:color w:val="auto"/>
          <w:kern w:val="0"/>
          <w:sz w:val="44"/>
          <w:szCs w:val="44"/>
          <w:highlight w:val="none"/>
        </w:rPr>
      </w:pPr>
    </w:p>
    <w:p w14:paraId="6C966FEC">
      <w:pPr>
        <w:rPr>
          <w:rFonts w:hint="default" w:ascii="Times New Roman" w:hAnsi="Times New Roman" w:cs="Times New Roman"/>
          <w:b/>
          <w:color w:val="auto"/>
          <w:kern w:val="0"/>
          <w:sz w:val="36"/>
          <w:szCs w:val="36"/>
          <w:highlight w:val="none"/>
        </w:rPr>
      </w:pPr>
      <w:r>
        <w:rPr>
          <w:rFonts w:hint="default" w:ascii="Times New Roman" w:hAnsi="Times New Roman" w:cs="Times New Roman"/>
          <w:b/>
          <w:color w:val="auto"/>
          <w:kern w:val="0"/>
          <w:sz w:val="36"/>
          <w:szCs w:val="36"/>
          <w:highlight w:val="none"/>
        </w:rPr>
        <w:br w:type="page"/>
      </w:r>
    </w:p>
    <w:p w14:paraId="751F2509">
      <w:pPr>
        <w:pStyle w:val="4"/>
        <w:numPr>
          <w:ilvl w:val="1"/>
          <w:numId w:val="0"/>
        </w:numPr>
        <w:tabs>
          <w:tab w:val="left" w:pos="360"/>
          <w:tab w:val="left" w:pos="864"/>
        </w:tabs>
        <w:ind w:left="864" w:hanging="864"/>
        <w:jc w:val="center"/>
        <w:rPr>
          <w:rFonts w:hint="default" w:ascii="Times New Roman" w:hAnsi="Times New Roman" w:cs="Times New Roman"/>
          <w:color w:val="auto"/>
          <w:highlight w:val="none"/>
        </w:rPr>
      </w:pPr>
      <w:bookmarkStart w:id="308" w:name="_Toc284135925"/>
      <w:bookmarkStart w:id="309" w:name="_Toc18987"/>
      <w:r>
        <w:rPr>
          <w:rFonts w:hint="default" w:ascii="Times New Roman" w:hAnsi="Times New Roman" w:cs="Times New Roman"/>
          <w:color w:val="auto"/>
          <w:highlight w:val="none"/>
        </w:rPr>
        <w:t>(二)施工部分</w:t>
      </w:r>
      <w:bookmarkEnd w:id="308"/>
      <w:bookmarkEnd w:id="309"/>
    </w:p>
    <w:p w14:paraId="5D6A14FD">
      <w:pPr>
        <w:pStyle w:val="4"/>
        <w:numPr>
          <w:ilvl w:val="0"/>
          <w:numId w:val="0"/>
        </w:numPr>
        <w:tabs>
          <w:tab w:val="left" w:pos="360"/>
          <w:tab w:val="left" w:pos="420"/>
          <w:tab w:val="left" w:pos="576"/>
        </w:tabs>
        <w:spacing w:line="420" w:lineRule="exact"/>
        <w:rPr>
          <w:rFonts w:hint="default" w:ascii="Times New Roman" w:hAnsi="Times New Roman" w:cs="Times New Roman"/>
          <w:b/>
          <w:bCs/>
          <w:color w:val="auto"/>
          <w:sz w:val="22"/>
          <w:szCs w:val="22"/>
          <w:highlight w:val="none"/>
        </w:rPr>
      </w:pPr>
      <w:bookmarkStart w:id="310" w:name="_Toc469384082"/>
      <w:bookmarkStart w:id="311" w:name="_Toc891738585"/>
      <w:bookmarkStart w:id="312" w:name="_Toc19454"/>
      <w:r>
        <w:rPr>
          <w:rFonts w:hint="default" w:ascii="Times New Roman" w:hAnsi="Times New Roman" w:cs="Times New Roman"/>
          <w:b/>
          <w:bCs/>
          <w:color w:val="auto"/>
          <w:sz w:val="22"/>
          <w:szCs w:val="22"/>
          <w:highlight w:val="none"/>
        </w:rPr>
        <w:t>1．定义</w:t>
      </w:r>
      <w:bookmarkEnd w:id="310"/>
      <w:bookmarkEnd w:id="311"/>
      <w:bookmarkEnd w:id="312"/>
      <w:r>
        <w:rPr>
          <w:rFonts w:hint="default" w:ascii="Times New Roman" w:hAnsi="Times New Roman" w:cs="Times New Roman"/>
          <w:b/>
          <w:bCs/>
          <w:color w:val="auto"/>
          <w:sz w:val="22"/>
          <w:szCs w:val="22"/>
          <w:highlight w:val="none"/>
        </w:rPr>
        <w:t xml:space="preserve"> </w:t>
      </w:r>
    </w:p>
    <w:p w14:paraId="29F6106D">
      <w:pPr>
        <w:autoSpaceDE w:val="0"/>
        <w:autoSpaceDN w:val="0"/>
        <w:adjustRightInd w:val="0"/>
        <w:spacing w:line="360" w:lineRule="auto"/>
        <w:jc w:val="lef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w:t>
      </w:r>
      <w:r>
        <w:rPr>
          <w:rFonts w:hint="default" w:ascii="Times New Roman" w:hAnsi="Times New Roman" w:cs="Times New Roman"/>
          <w:color w:val="auto"/>
          <w:kern w:val="0"/>
          <w:sz w:val="24"/>
          <w:highlight w:val="none"/>
        </w:rPr>
        <w:t xml:space="preserve">  </w:t>
      </w:r>
      <w:r>
        <w:rPr>
          <w:rFonts w:hint="default" w:ascii="Times New Roman" w:hAnsi="Times New Roman" w:cs="Times New Roman"/>
          <w:color w:val="auto"/>
          <w:kern w:val="0"/>
          <w:sz w:val="22"/>
          <w:szCs w:val="22"/>
          <w:highlight w:val="none"/>
        </w:rPr>
        <w:t>1.43 单位工程</w:t>
      </w:r>
    </w:p>
    <w:p w14:paraId="19ADE63B">
      <w:pPr>
        <w:keepNext w:val="0"/>
        <w:keepLines w:val="0"/>
        <w:widowControl w:val="0"/>
        <w:suppressLineNumbers w:val="0"/>
        <w:autoSpaceDE w:val="0"/>
        <w:autoSpaceDN w:val="0"/>
        <w:adjustRightInd w:val="0"/>
        <w:spacing w:before="0" w:beforeAutospacing="0" w:after="0" w:afterAutospacing="0" w:line="420" w:lineRule="exact"/>
        <w:ind w:left="0" w:right="0" w:firstLine="330" w:firstLineChars="150"/>
        <w:jc w:val="left"/>
        <w:rPr>
          <w:rFonts w:hint="default" w:ascii="Times New Roman" w:hAnsi="Times New Roman" w:eastAsia="宋体" w:cs="Times New Roman"/>
          <w:color w:val="auto"/>
          <w:kern w:val="0"/>
          <w:sz w:val="22"/>
          <w:szCs w:val="22"/>
          <w:highlight w:val="none"/>
          <w:u w:val="single"/>
          <w:lang w:val="en-US"/>
        </w:rPr>
      </w:pPr>
      <w:r>
        <w:rPr>
          <w:rFonts w:hint="default" w:ascii="Times New Roman" w:hAnsi="Times New Roman" w:eastAsia="宋体" w:cs="Times New Roman"/>
          <w:color w:val="auto"/>
          <w:kern w:val="0"/>
          <w:sz w:val="22"/>
          <w:szCs w:val="22"/>
          <w:highlight w:val="none"/>
          <w:lang w:val="en-US" w:eastAsia="zh-CN" w:bidi="ar"/>
        </w:rPr>
        <w:t>□名称：</w:t>
      </w:r>
      <w:r>
        <w:rPr>
          <w:rFonts w:hint="default" w:ascii="Times New Roman" w:hAnsi="Times New Roman" w:eastAsia="宋体" w:cs="Times New Roman"/>
          <w:color w:val="auto"/>
          <w:kern w:val="0"/>
          <w:sz w:val="22"/>
          <w:szCs w:val="22"/>
          <w:highlight w:val="none"/>
          <w:u w:val="single"/>
          <w:lang w:val="en-US" w:eastAsia="zh-CN" w:bidi="ar"/>
        </w:rPr>
        <w:t xml:space="preserve">                                                                             </w:t>
      </w:r>
    </w:p>
    <w:p w14:paraId="486123D7">
      <w:pPr>
        <w:keepNext w:val="0"/>
        <w:keepLines w:val="0"/>
        <w:widowControl w:val="0"/>
        <w:suppressLineNumbers w:val="0"/>
        <w:autoSpaceDE w:val="0"/>
        <w:autoSpaceDN w:val="0"/>
        <w:adjustRightInd w:val="0"/>
        <w:spacing w:before="0" w:beforeAutospacing="0" w:after="0" w:afterAutospacing="0" w:line="420" w:lineRule="exact"/>
        <w:ind w:left="0" w:right="0" w:firstLine="330" w:firstLineChars="150"/>
        <w:jc w:val="left"/>
        <w:rPr>
          <w:rFonts w:hint="default" w:ascii="Times New Roman" w:hAnsi="Times New Roman" w:eastAsia="宋体" w:cs="Times New Roman"/>
          <w:color w:val="auto"/>
          <w:kern w:val="0"/>
          <w:sz w:val="22"/>
          <w:szCs w:val="22"/>
          <w:highlight w:val="none"/>
          <w:lang w:val="en-US"/>
        </w:rPr>
      </w:pPr>
      <w:r>
        <w:rPr>
          <w:rFonts w:hint="default" w:ascii="Times New Roman" w:hAnsi="Times New Roman" w:eastAsia="宋体" w:cs="Times New Roman"/>
          <w:color w:val="auto"/>
          <w:kern w:val="0"/>
          <w:sz w:val="22"/>
          <w:szCs w:val="22"/>
          <w:highlight w:val="none"/>
          <w:lang w:val="en-US" w:eastAsia="zh-CN" w:bidi="ar"/>
        </w:rPr>
        <w:t>□内容：</w:t>
      </w:r>
      <w:r>
        <w:rPr>
          <w:rFonts w:hint="default" w:ascii="Times New Roman" w:hAnsi="Times New Roman" w:cs="Times New Roman"/>
          <w:color w:val="auto"/>
          <w:kern w:val="0"/>
          <w:sz w:val="24"/>
          <w:highlight w:val="none"/>
          <w:u w:val="single"/>
        </w:rPr>
        <w:t>详见本合同</w:t>
      </w:r>
      <w:r>
        <w:rPr>
          <w:rFonts w:hint="default" w:ascii="Times New Roman" w:hAnsi="Times New Roman" w:cs="Times New Roman"/>
          <w:color w:val="auto"/>
          <w:sz w:val="24"/>
          <w:highlight w:val="none"/>
          <w:u w:val="single"/>
        </w:rPr>
        <w:t>第一部分协议书第一条工程概况中的工程内容</w:t>
      </w:r>
      <w:r>
        <w:rPr>
          <w:rFonts w:hint="default" w:ascii="Times New Roman" w:hAnsi="Times New Roman" w:cs="Times New Roman"/>
          <w:color w:val="auto"/>
          <w:sz w:val="24"/>
          <w:highlight w:val="none"/>
          <w:u w:val="single"/>
          <w:lang w:eastAsia="zh-CN"/>
        </w:rPr>
        <w:t>；具体以经审核的单位工程划分表。</w:t>
      </w:r>
      <w:r>
        <w:rPr>
          <w:rFonts w:hint="default" w:ascii="Times New Roman" w:hAnsi="Times New Roman" w:eastAsia="宋体" w:cs="Times New Roman"/>
          <w:color w:val="auto"/>
          <w:kern w:val="0"/>
          <w:sz w:val="22"/>
          <w:szCs w:val="22"/>
          <w:highlight w:val="none"/>
          <w:u w:val="single"/>
          <w:lang w:val="en-US" w:eastAsia="zh-CN" w:bidi="ar"/>
        </w:rPr>
        <w:t xml:space="preserve">                                                                            </w:t>
      </w:r>
    </w:p>
    <w:p w14:paraId="7A1BCE60">
      <w:pPr>
        <w:autoSpaceDE w:val="0"/>
        <w:autoSpaceDN w:val="0"/>
        <w:adjustRightInd w:val="0"/>
        <w:spacing w:line="360" w:lineRule="auto"/>
        <w:ind w:firstLine="330" w:firstLineChars="150"/>
        <w:jc w:val="left"/>
        <w:rPr>
          <w:rFonts w:hint="default" w:ascii="Times New Roman" w:hAnsi="Times New Roman" w:cs="Times New Roman"/>
          <w:color w:val="auto"/>
          <w:kern w:val="0"/>
          <w:sz w:val="24"/>
          <w:highlight w:val="none"/>
        </w:rPr>
      </w:pPr>
      <w:r>
        <w:rPr>
          <w:rFonts w:hint="default" w:ascii="Times New Roman" w:hAnsi="Times New Roman" w:eastAsia="宋体" w:cs="Times New Roman"/>
          <w:color w:val="auto"/>
          <w:kern w:val="0"/>
          <w:sz w:val="22"/>
          <w:szCs w:val="22"/>
          <w:highlight w:val="none"/>
          <w:lang w:val="en-US" w:eastAsia="zh-CN" w:bidi="ar"/>
        </w:rPr>
        <w:t>□范围：</w:t>
      </w:r>
      <w:r>
        <w:rPr>
          <w:rFonts w:hint="default" w:ascii="Times New Roman" w:hAnsi="Times New Roman" w:cs="Times New Roman"/>
          <w:color w:val="auto"/>
          <w:kern w:val="0"/>
          <w:sz w:val="24"/>
          <w:highlight w:val="none"/>
          <w:u w:val="single"/>
        </w:rPr>
        <w:t>详见本合同第一部分协议书第二条工</w:t>
      </w:r>
      <w:r>
        <w:rPr>
          <w:rFonts w:hint="default" w:ascii="Times New Roman" w:hAnsi="Times New Roman" w:cs="Times New Roman"/>
          <w:color w:val="auto"/>
          <w:sz w:val="24"/>
          <w:highlight w:val="none"/>
          <w:u w:val="single"/>
        </w:rPr>
        <w:t>程承包范围和承包方式</w:t>
      </w:r>
    </w:p>
    <w:p w14:paraId="300960ED">
      <w:pPr>
        <w:keepNext w:val="0"/>
        <w:keepLines w:val="0"/>
        <w:widowControl w:val="0"/>
        <w:suppressLineNumbers w:val="0"/>
        <w:autoSpaceDE w:val="0"/>
        <w:autoSpaceDN w:val="0"/>
        <w:adjustRightInd w:val="0"/>
        <w:spacing w:before="0" w:beforeAutospacing="0" w:after="0" w:afterAutospacing="0" w:line="420" w:lineRule="exact"/>
        <w:ind w:left="0" w:right="0" w:firstLine="220" w:firstLineChars="100"/>
        <w:jc w:val="left"/>
        <w:rPr>
          <w:rFonts w:hint="default" w:ascii="Times New Roman" w:hAnsi="Times New Roman" w:eastAsia="宋体" w:cs="Times New Roman"/>
          <w:color w:val="auto"/>
          <w:kern w:val="0"/>
          <w:sz w:val="22"/>
          <w:szCs w:val="22"/>
          <w:highlight w:val="none"/>
          <w:lang w:val="en-US"/>
        </w:rPr>
      </w:pPr>
      <w:r>
        <w:rPr>
          <w:rFonts w:hint="default" w:ascii="Times New Roman" w:hAnsi="Times New Roman" w:eastAsia="宋体" w:cs="Times New Roman"/>
          <w:color w:val="auto"/>
          <w:kern w:val="0"/>
          <w:sz w:val="22"/>
          <w:szCs w:val="22"/>
          <w:highlight w:val="none"/>
          <w:lang w:val="en-US" w:eastAsia="zh-CN" w:bidi="ar"/>
        </w:rPr>
        <w:t xml:space="preserve">1.53  所采用的书面形式包括： </w:t>
      </w:r>
    </w:p>
    <w:p w14:paraId="2DEADC20">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420" w:lineRule="exact"/>
        <w:ind w:left="0" w:leftChars="0" w:right="0" w:firstLine="440" w:firstLineChars="200"/>
        <w:jc w:val="left"/>
        <w:textAlignment w:val="auto"/>
        <w:rPr>
          <w:rFonts w:hint="default" w:ascii="Times New Roman" w:hAnsi="Times New Roman" w:eastAsia="宋体" w:cs="Times New Roman"/>
          <w:color w:val="auto"/>
          <w:kern w:val="0"/>
          <w:sz w:val="22"/>
          <w:szCs w:val="22"/>
          <w:highlight w:val="none"/>
          <w:lang w:val="en-US"/>
        </w:rPr>
      </w:pPr>
      <w:r>
        <w:rPr>
          <w:rFonts w:hint="default" w:ascii="Times New Roman" w:hAnsi="Times New Roman" w:cs="Times New Roman"/>
          <w:color w:val="auto"/>
          <w:kern w:val="0"/>
          <w:sz w:val="22"/>
          <w:szCs w:val="22"/>
          <w:highlight w:val="none"/>
          <w:lang w:val="en-US" w:eastAsia="zh-CN" w:bidi="ar"/>
        </w:rPr>
        <w:t>☑</w:t>
      </w:r>
      <w:r>
        <w:rPr>
          <w:rFonts w:hint="default" w:ascii="Times New Roman" w:hAnsi="Times New Roman" w:eastAsia="宋体" w:cs="Times New Roman"/>
          <w:color w:val="auto"/>
          <w:kern w:val="0"/>
          <w:sz w:val="22"/>
          <w:szCs w:val="22"/>
          <w:highlight w:val="none"/>
          <w:lang w:val="en-US" w:eastAsia="zh-CN" w:bidi="ar"/>
        </w:rPr>
        <w:t xml:space="preserve">文书； </w:t>
      </w:r>
    </w:p>
    <w:p w14:paraId="588E3073">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420" w:lineRule="exact"/>
        <w:ind w:left="0" w:leftChars="0" w:right="0" w:firstLine="440" w:firstLineChars="200"/>
        <w:jc w:val="left"/>
        <w:textAlignment w:val="auto"/>
        <w:rPr>
          <w:rFonts w:hint="default" w:ascii="Times New Roman" w:hAnsi="Times New Roman" w:eastAsia="宋体" w:cs="Times New Roman"/>
          <w:color w:val="auto"/>
          <w:kern w:val="0"/>
          <w:sz w:val="22"/>
          <w:szCs w:val="22"/>
          <w:highlight w:val="none"/>
          <w:lang w:val="en-US"/>
        </w:rPr>
      </w:pPr>
      <w:r>
        <w:rPr>
          <w:rFonts w:hint="default" w:ascii="Times New Roman" w:hAnsi="Times New Roman" w:eastAsia="宋体" w:cs="Times New Roman"/>
          <w:color w:val="auto"/>
          <w:kern w:val="0"/>
          <w:sz w:val="22"/>
          <w:szCs w:val="22"/>
          <w:highlight w:val="none"/>
          <w:lang w:val="en-US" w:eastAsia="zh-CN" w:bidi="ar"/>
        </w:rPr>
        <w:t xml:space="preserve">□信件； </w:t>
      </w:r>
    </w:p>
    <w:p w14:paraId="723CFE98">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420" w:lineRule="exact"/>
        <w:ind w:left="0" w:leftChars="0" w:right="0" w:firstLine="440" w:firstLineChars="200"/>
        <w:jc w:val="left"/>
        <w:textAlignment w:val="auto"/>
        <w:rPr>
          <w:rFonts w:hint="default" w:ascii="Times New Roman" w:hAnsi="Times New Roman" w:eastAsia="宋体" w:cs="Times New Roman"/>
          <w:color w:val="auto"/>
          <w:kern w:val="0"/>
          <w:sz w:val="22"/>
          <w:szCs w:val="22"/>
          <w:highlight w:val="none"/>
          <w:lang w:val="en-US"/>
        </w:rPr>
      </w:pPr>
      <w:r>
        <w:rPr>
          <w:rFonts w:hint="default" w:ascii="Times New Roman" w:hAnsi="Times New Roman" w:eastAsia="宋体" w:cs="Times New Roman"/>
          <w:color w:val="auto"/>
          <w:kern w:val="0"/>
          <w:sz w:val="22"/>
          <w:szCs w:val="22"/>
          <w:highlight w:val="none"/>
          <w:lang w:val="en-US" w:eastAsia="zh-CN" w:bidi="ar"/>
        </w:rPr>
        <w:t xml:space="preserve">☑电报； </w:t>
      </w:r>
    </w:p>
    <w:p w14:paraId="27AF3F04">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420" w:lineRule="exact"/>
        <w:ind w:left="0" w:leftChars="0" w:right="0" w:firstLine="440" w:firstLineChars="200"/>
        <w:jc w:val="left"/>
        <w:textAlignment w:val="auto"/>
        <w:rPr>
          <w:rFonts w:hint="default" w:ascii="Times New Roman" w:hAnsi="Times New Roman" w:eastAsia="宋体" w:cs="Times New Roman"/>
          <w:color w:val="auto"/>
          <w:kern w:val="0"/>
          <w:sz w:val="22"/>
          <w:szCs w:val="22"/>
          <w:highlight w:val="none"/>
          <w:lang w:val="en-US"/>
        </w:rPr>
      </w:pPr>
      <w:r>
        <w:rPr>
          <w:rFonts w:hint="default" w:ascii="Times New Roman" w:hAnsi="Times New Roman" w:cs="Times New Roman"/>
          <w:color w:val="auto"/>
          <w:kern w:val="0"/>
          <w:sz w:val="22"/>
          <w:szCs w:val="22"/>
          <w:highlight w:val="none"/>
          <w:lang w:val="en-US" w:eastAsia="zh-CN" w:bidi="ar"/>
        </w:rPr>
        <w:t>□</w:t>
      </w:r>
      <w:r>
        <w:rPr>
          <w:rFonts w:hint="default" w:ascii="Times New Roman" w:hAnsi="Times New Roman" w:eastAsia="宋体" w:cs="Times New Roman"/>
          <w:color w:val="auto"/>
          <w:kern w:val="0"/>
          <w:sz w:val="22"/>
          <w:szCs w:val="22"/>
          <w:highlight w:val="none"/>
          <w:lang w:val="en-US" w:eastAsia="zh-CN" w:bidi="ar"/>
        </w:rPr>
        <w:t xml:space="preserve">传真； </w:t>
      </w:r>
    </w:p>
    <w:p w14:paraId="14539C68">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420" w:lineRule="exact"/>
        <w:ind w:left="0" w:leftChars="0" w:right="0" w:firstLine="440" w:firstLineChars="200"/>
        <w:jc w:val="left"/>
        <w:textAlignment w:val="auto"/>
        <w:rPr>
          <w:rFonts w:hint="default" w:ascii="Times New Roman" w:hAnsi="Times New Roman" w:eastAsia="宋体" w:cs="Times New Roman"/>
          <w:color w:val="auto"/>
          <w:kern w:val="0"/>
          <w:sz w:val="22"/>
          <w:szCs w:val="22"/>
          <w:highlight w:val="none"/>
          <w:lang w:val="en-US"/>
        </w:rPr>
      </w:pPr>
      <w:r>
        <w:rPr>
          <w:rFonts w:hint="default" w:ascii="Times New Roman" w:hAnsi="Times New Roman" w:eastAsia="宋体" w:cs="Times New Roman"/>
          <w:color w:val="auto"/>
          <w:kern w:val="0"/>
          <w:sz w:val="22"/>
          <w:szCs w:val="22"/>
          <w:highlight w:val="none"/>
          <w:lang w:val="en-US" w:eastAsia="zh-CN" w:bidi="ar"/>
        </w:rPr>
        <w:t xml:space="preserve">□电子邮件； </w:t>
      </w:r>
    </w:p>
    <w:p w14:paraId="3F0A3D7A">
      <w:pPr>
        <w:keepNext w:val="0"/>
        <w:keepLines w:val="0"/>
        <w:pageBreakBefore w:val="0"/>
        <w:widowControl w:val="0"/>
        <w:kinsoku/>
        <w:wordWrap/>
        <w:overflowPunct/>
        <w:topLinePunct w:val="0"/>
        <w:autoSpaceDE/>
        <w:autoSpaceDN/>
        <w:bidi w:val="0"/>
        <w:adjustRightInd/>
        <w:snapToGrid/>
        <w:spacing w:line="420" w:lineRule="exact"/>
        <w:ind w:left="0" w:leftChars="0" w:firstLine="440" w:firstLineChars="200"/>
        <w:textAlignment w:val="auto"/>
        <w:rPr>
          <w:rFonts w:hint="default" w:ascii="Times New Roman" w:hAnsi="Times New Roman" w:cs="Times New Roman"/>
          <w:b/>
          <w:bCs/>
          <w:color w:val="auto"/>
          <w:sz w:val="22"/>
          <w:szCs w:val="22"/>
          <w:highlight w:val="none"/>
        </w:rPr>
      </w:pPr>
      <w:r>
        <w:rPr>
          <w:rFonts w:hint="default" w:ascii="Times New Roman" w:hAnsi="Times New Roman" w:cs="Times New Roman"/>
          <w:color w:val="auto"/>
          <w:kern w:val="0"/>
          <w:sz w:val="22"/>
          <w:szCs w:val="22"/>
          <w:highlight w:val="none"/>
          <w:lang w:val="en-US" w:eastAsia="zh-CN" w:bidi="ar"/>
        </w:rPr>
        <w:t>☑</w:t>
      </w:r>
      <w:r>
        <w:rPr>
          <w:rFonts w:hint="default" w:ascii="Times New Roman" w:hAnsi="Times New Roman" w:eastAsia="宋体" w:cs="Times New Roman"/>
          <w:color w:val="auto"/>
          <w:kern w:val="0"/>
          <w:sz w:val="22"/>
          <w:szCs w:val="22"/>
          <w:highlight w:val="none"/>
          <w:lang w:val="en-US" w:eastAsia="zh-CN" w:bidi="ar"/>
        </w:rPr>
        <w:t xml:space="preserve"> 其他：</w:t>
      </w:r>
      <w:r>
        <w:rPr>
          <w:rFonts w:hint="default" w:ascii="Times New Roman" w:hAnsi="Times New Roman" w:eastAsia="宋体" w:cs="Times New Roman"/>
          <w:color w:val="auto"/>
          <w:kern w:val="0"/>
          <w:sz w:val="22"/>
          <w:szCs w:val="22"/>
          <w:highlight w:val="none"/>
          <w:u w:val="single"/>
          <w:lang w:val="en-US" w:eastAsia="zh-CN" w:bidi="ar"/>
        </w:rPr>
        <w:t xml:space="preserve"> </w:t>
      </w:r>
      <w:r>
        <w:rPr>
          <w:rFonts w:hint="default" w:ascii="Times New Roman" w:hAnsi="Times New Roman" w:cs="Times New Roman"/>
          <w:color w:val="auto"/>
          <w:kern w:val="0"/>
          <w:sz w:val="24"/>
          <w:highlight w:val="none"/>
          <w:u w:val="single"/>
        </w:rPr>
        <w:t>特快专递、挂号信。</w:t>
      </w:r>
      <w:r>
        <w:rPr>
          <w:rFonts w:hint="default" w:ascii="Times New Roman" w:hAnsi="Times New Roman" w:eastAsia="宋体" w:cs="Times New Roman"/>
          <w:color w:val="auto"/>
          <w:kern w:val="0"/>
          <w:sz w:val="22"/>
          <w:szCs w:val="22"/>
          <w:highlight w:val="none"/>
          <w:u w:val="single"/>
          <w:lang w:val="en-US" w:eastAsia="zh-CN" w:bidi="ar"/>
        </w:rPr>
        <w:t xml:space="preserve">                                                    </w:t>
      </w:r>
    </w:p>
    <w:p w14:paraId="5E30F6BC">
      <w:pPr>
        <w:pStyle w:val="4"/>
        <w:numPr>
          <w:ilvl w:val="0"/>
          <w:numId w:val="0"/>
        </w:numPr>
        <w:tabs>
          <w:tab w:val="left" w:pos="360"/>
          <w:tab w:val="left" w:pos="420"/>
          <w:tab w:val="left" w:pos="576"/>
        </w:tabs>
        <w:spacing w:before="0" w:line="420" w:lineRule="exact"/>
        <w:rPr>
          <w:rFonts w:hint="default" w:ascii="Times New Roman" w:hAnsi="Times New Roman" w:cs="Times New Roman"/>
          <w:b/>
          <w:bCs/>
          <w:color w:val="auto"/>
          <w:sz w:val="22"/>
          <w:szCs w:val="22"/>
          <w:highlight w:val="none"/>
        </w:rPr>
      </w:pPr>
      <w:bookmarkStart w:id="313" w:name="_Toc469384083"/>
      <w:bookmarkStart w:id="314" w:name="_Toc9120"/>
      <w:bookmarkStart w:id="315" w:name="_Toc776324693"/>
      <w:r>
        <w:rPr>
          <w:rFonts w:hint="default" w:ascii="Times New Roman" w:hAnsi="Times New Roman" w:cs="Times New Roman"/>
          <w:b/>
          <w:bCs/>
          <w:color w:val="auto"/>
          <w:sz w:val="22"/>
          <w:szCs w:val="22"/>
          <w:highlight w:val="none"/>
        </w:rPr>
        <w:t>2．合同文件及解释</w:t>
      </w:r>
      <w:bookmarkEnd w:id="313"/>
      <w:bookmarkEnd w:id="314"/>
      <w:bookmarkEnd w:id="315"/>
      <w:r>
        <w:rPr>
          <w:rFonts w:hint="default" w:ascii="Times New Roman" w:hAnsi="Times New Roman" w:cs="Times New Roman"/>
          <w:b/>
          <w:bCs/>
          <w:color w:val="auto"/>
          <w:sz w:val="22"/>
          <w:szCs w:val="22"/>
          <w:highlight w:val="none"/>
        </w:rPr>
        <w:t xml:space="preserve"> </w:t>
      </w:r>
    </w:p>
    <w:p w14:paraId="3E644846">
      <w:pPr>
        <w:spacing w:line="420" w:lineRule="exact"/>
        <w:ind w:firstLine="220" w:firstLineChars="10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2.2（10）组成合同的其他文件：</w:t>
      </w:r>
      <w:r>
        <w:rPr>
          <w:rFonts w:hint="default" w:ascii="Times New Roman" w:hAnsi="Times New Roman" w:cs="Times New Roman"/>
          <w:color w:val="auto"/>
          <w:kern w:val="0"/>
          <w:sz w:val="22"/>
          <w:szCs w:val="22"/>
          <w:highlight w:val="none"/>
          <w:u w:val="single"/>
        </w:rPr>
        <w:t>（1）相关政府主管部门关于本工程的有关文件；履行本合同的相关补充协议（含工程洽商记录</w:t>
      </w:r>
      <w:r>
        <w:rPr>
          <w:rFonts w:hint="default" w:ascii="Times New Roman" w:hAnsi="Times New Roman" w:cs="Times New Roman"/>
          <w:color w:val="auto"/>
          <w:kern w:val="0"/>
          <w:sz w:val="22"/>
          <w:szCs w:val="22"/>
          <w:highlight w:val="none"/>
          <w:u w:val="single"/>
          <w:lang w:eastAsia="zh-CN"/>
        </w:rPr>
        <w:t>、</w:t>
      </w:r>
      <w:r>
        <w:rPr>
          <w:rFonts w:hint="default" w:ascii="Times New Roman" w:hAnsi="Times New Roman" w:cs="Times New Roman"/>
          <w:color w:val="auto"/>
          <w:kern w:val="0"/>
          <w:sz w:val="22"/>
          <w:szCs w:val="22"/>
          <w:highlight w:val="none"/>
          <w:u w:val="single"/>
        </w:rPr>
        <w:t>会议纪要、工程变更、现场签证）；（2）协议书；（3）中标通知书;（4）专用条款；（5）招标文件[含招标文件补充文件、澄清文件、答疑文件、招标图等；（6）承包人投标文件及其附件（含评标期间的澄清文件和补充资料）；（7）通用条款；（8）标准、规范及有关技术文件；（</w:t>
      </w:r>
      <w:r>
        <w:rPr>
          <w:rFonts w:hint="default" w:ascii="Times New Roman" w:hAnsi="Times New Roman" w:cs="Times New Roman"/>
          <w:color w:val="auto"/>
          <w:kern w:val="0"/>
          <w:sz w:val="22"/>
          <w:szCs w:val="22"/>
          <w:highlight w:val="none"/>
          <w:u w:val="single"/>
          <w:lang w:val="en-US" w:eastAsia="zh-CN"/>
        </w:rPr>
        <w:t>9</w:t>
      </w:r>
      <w:r>
        <w:rPr>
          <w:rFonts w:hint="default" w:ascii="Times New Roman" w:hAnsi="Times New Roman" w:cs="Times New Roman"/>
          <w:color w:val="auto"/>
          <w:kern w:val="0"/>
          <w:sz w:val="22"/>
          <w:szCs w:val="22"/>
          <w:highlight w:val="none"/>
          <w:u w:val="single"/>
        </w:rPr>
        <w:t>）组成合同的其它文件。</w:t>
      </w:r>
    </w:p>
    <w:p w14:paraId="312AADC0">
      <w:pPr>
        <w:spacing w:line="420" w:lineRule="exact"/>
        <w:rPr>
          <w:rFonts w:hint="default" w:ascii="Times New Roman" w:hAnsi="Times New Roman" w:cs="Times New Roman"/>
          <w:color w:val="auto"/>
          <w:kern w:val="0"/>
          <w:sz w:val="22"/>
          <w:szCs w:val="22"/>
          <w:highlight w:val="none"/>
        </w:rPr>
      </w:pPr>
    </w:p>
    <w:p w14:paraId="586576CD">
      <w:pPr>
        <w:pStyle w:val="4"/>
        <w:numPr>
          <w:ilvl w:val="0"/>
          <w:numId w:val="0"/>
        </w:numPr>
        <w:tabs>
          <w:tab w:val="left" w:pos="360"/>
          <w:tab w:val="left" w:pos="420"/>
          <w:tab w:val="left" w:pos="576"/>
        </w:tabs>
        <w:spacing w:before="0" w:line="420" w:lineRule="exact"/>
        <w:rPr>
          <w:rFonts w:hint="default" w:ascii="Times New Roman" w:hAnsi="Times New Roman" w:cs="Times New Roman"/>
          <w:b/>
          <w:bCs/>
          <w:color w:val="auto"/>
          <w:sz w:val="22"/>
          <w:szCs w:val="22"/>
          <w:highlight w:val="none"/>
        </w:rPr>
      </w:pPr>
      <w:bookmarkStart w:id="316" w:name="_Toc3933"/>
      <w:bookmarkStart w:id="317" w:name="_Toc469384084"/>
      <w:bookmarkStart w:id="318" w:name="_Toc812482060"/>
      <w:r>
        <w:rPr>
          <w:rFonts w:hint="default" w:ascii="Times New Roman" w:hAnsi="Times New Roman" w:cs="Times New Roman"/>
          <w:b/>
          <w:bCs/>
          <w:color w:val="auto"/>
          <w:sz w:val="22"/>
          <w:szCs w:val="22"/>
          <w:highlight w:val="none"/>
        </w:rPr>
        <w:t>4．语言及适用的法律、标准与规范</w:t>
      </w:r>
      <w:bookmarkEnd w:id="316"/>
      <w:bookmarkEnd w:id="317"/>
      <w:bookmarkEnd w:id="318"/>
      <w:r>
        <w:rPr>
          <w:rFonts w:hint="default" w:ascii="Times New Roman" w:hAnsi="Times New Roman" w:cs="Times New Roman"/>
          <w:b/>
          <w:bCs/>
          <w:color w:val="auto"/>
          <w:sz w:val="22"/>
          <w:szCs w:val="22"/>
          <w:highlight w:val="none"/>
        </w:rPr>
        <w:t xml:space="preserve"> </w:t>
      </w:r>
    </w:p>
    <w:p w14:paraId="03EB7E66">
      <w:pPr>
        <w:spacing w:line="420" w:lineRule="exact"/>
        <w:ind w:firstLine="220" w:firstLineChars="10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4.3 约定适用的标准、规范的名称：</w:t>
      </w:r>
      <w:r>
        <w:rPr>
          <w:rFonts w:hint="default" w:ascii="Times New Roman" w:hAnsi="Times New Roman" w:cs="Times New Roman"/>
          <w:color w:val="auto"/>
          <w:kern w:val="0"/>
          <w:sz w:val="22"/>
          <w:szCs w:val="22"/>
          <w:highlight w:val="none"/>
          <w:u w:val="single"/>
        </w:rPr>
        <w:t>国家现行有效的有关建设项目管理、设计、施工及验收规范和验收标准，以及项目主管部门批准的文件。</w:t>
      </w:r>
    </w:p>
    <w:p w14:paraId="37196642">
      <w:pPr>
        <w:pStyle w:val="4"/>
        <w:numPr>
          <w:ilvl w:val="0"/>
          <w:numId w:val="0"/>
        </w:numPr>
        <w:tabs>
          <w:tab w:val="left" w:pos="360"/>
          <w:tab w:val="left" w:pos="420"/>
          <w:tab w:val="left" w:pos="576"/>
        </w:tabs>
        <w:spacing w:line="420" w:lineRule="exact"/>
        <w:rPr>
          <w:rFonts w:hint="default" w:ascii="Times New Roman" w:hAnsi="Times New Roman" w:cs="Times New Roman"/>
          <w:b/>
          <w:bCs/>
          <w:color w:val="auto"/>
          <w:sz w:val="22"/>
          <w:szCs w:val="22"/>
          <w:highlight w:val="none"/>
        </w:rPr>
      </w:pPr>
      <w:bookmarkStart w:id="319" w:name="_Toc5741"/>
      <w:bookmarkStart w:id="320" w:name="_Toc1988173336"/>
      <w:bookmarkStart w:id="321" w:name="_Toc469384085"/>
      <w:r>
        <w:rPr>
          <w:rFonts w:hint="default" w:ascii="Times New Roman" w:hAnsi="Times New Roman" w:cs="Times New Roman"/>
          <w:b/>
          <w:bCs/>
          <w:color w:val="auto"/>
          <w:sz w:val="22"/>
          <w:szCs w:val="22"/>
          <w:highlight w:val="none"/>
        </w:rPr>
        <w:t>5. 施工设计图纸</w:t>
      </w:r>
      <w:bookmarkEnd w:id="319"/>
      <w:bookmarkEnd w:id="320"/>
      <w:bookmarkEnd w:id="321"/>
    </w:p>
    <w:p w14:paraId="02D08DD3">
      <w:pPr>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 xml:space="preserve">  5.1 发包人提供施工设计图纸</w:t>
      </w:r>
    </w:p>
    <w:p w14:paraId="3B7D255E">
      <w:pPr>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 xml:space="preserve">  （1）提供的时间：</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u w:val="single"/>
          <w:lang w:val="en-US" w:eastAsia="zh-CN"/>
        </w:rPr>
        <w:t xml:space="preserve">  </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kern w:val="0"/>
          <w:sz w:val="22"/>
          <w:szCs w:val="22"/>
          <w:highlight w:val="none"/>
          <w:u w:val="single"/>
          <w:lang w:eastAsia="zh-CN"/>
        </w:rPr>
        <w:t>合同生效后的</w:t>
      </w:r>
      <w:r>
        <w:rPr>
          <w:rFonts w:hint="default" w:ascii="Times New Roman" w:hAnsi="Times New Roman" w:cs="Times New Roman"/>
          <w:color w:val="auto"/>
          <w:kern w:val="0"/>
          <w:sz w:val="22"/>
          <w:szCs w:val="22"/>
          <w:highlight w:val="none"/>
          <w:u w:val="single"/>
          <w:lang w:val="en-US" w:eastAsia="zh-CN"/>
        </w:rPr>
        <w:t>15天内</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sz w:val="22"/>
          <w:szCs w:val="22"/>
          <w:highlight w:val="none"/>
          <w:u w:val="single"/>
        </w:rPr>
        <w:t xml:space="preserve">              </w:t>
      </w:r>
    </w:p>
    <w:p w14:paraId="73A2CA09">
      <w:pPr>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 xml:space="preserve">  （2）提供的数量：</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kern w:val="0"/>
          <w:sz w:val="22"/>
          <w:szCs w:val="22"/>
          <w:highlight w:val="none"/>
          <w:u w:val="single"/>
          <w:lang w:eastAsia="zh-CN"/>
        </w:rPr>
        <w:t>伍份</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u w:val="single"/>
          <w:lang w:val="en-US" w:eastAsia="zh-CN"/>
        </w:rPr>
        <w:t xml:space="preserve"> </w:t>
      </w:r>
      <w:r>
        <w:rPr>
          <w:rFonts w:hint="default" w:ascii="Times New Roman" w:hAnsi="Times New Roman" w:cs="Times New Roman"/>
          <w:color w:val="auto"/>
          <w:sz w:val="22"/>
          <w:szCs w:val="22"/>
          <w:highlight w:val="none"/>
          <w:u w:val="single"/>
        </w:rPr>
        <w:t xml:space="preserve">                   </w:t>
      </w:r>
    </w:p>
    <w:p w14:paraId="0F011E49">
      <w:pPr>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 xml:space="preserve">  5.2 承包人提供施工设计图纸</w:t>
      </w:r>
    </w:p>
    <w:p w14:paraId="548159F5">
      <w:pPr>
        <w:spacing w:line="420" w:lineRule="exact"/>
        <w:ind w:firstLine="220" w:firstLineChars="1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（1）提供的时间：</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u w:val="single"/>
          <w:lang w:val="en-US" w:eastAsia="zh-CN"/>
        </w:rPr>
        <w:t xml:space="preserve"> </w:t>
      </w:r>
      <w:r>
        <w:rPr>
          <w:rFonts w:hint="default" w:ascii="Times New Roman" w:hAnsi="Times New Roman" w:cs="Times New Roman"/>
          <w:color w:val="auto"/>
          <w:sz w:val="22"/>
          <w:szCs w:val="22"/>
          <w:highlight w:val="none"/>
          <w:u w:val="single"/>
        </w:rPr>
        <w:t xml:space="preserve">                      </w:t>
      </w:r>
    </w:p>
    <w:p w14:paraId="7967A94E">
      <w:pPr>
        <w:spacing w:line="420" w:lineRule="exact"/>
        <w:rPr>
          <w:rFonts w:hint="default" w:ascii="Times New Roman" w:hAnsi="Times New Roman" w:cs="Times New Roman"/>
          <w:color w:val="auto"/>
          <w:sz w:val="22"/>
          <w:szCs w:val="22"/>
          <w:highlight w:val="none"/>
          <w:u w:val="single"/>
        </w:rPr>
      </w:pPr>
      <w:r>
        <w:rPr>
          <w:rFonts w:hint="default" w:ascii="Times New Roman" w:hAnsi="Times New Roman" w:cs="Times New Roman"/>
          <w:color w:val="auto"/>
          <w:sz w:val="22"/>
          <w:szCs w:val="22"/>
          <w:highlight w:val="none"/>
        </w:rPr>
        <w:t xml:space="preserve">  （2）提供的数量：</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u w:val="single"/>
          <w:lang w:val="en-US" w:eastAsia="zh-CN"/>
        </w:rPr>
        <w:t xml:space="preserve">  </w:t>
      </w:r>
      <w:r>
        <w:rPr>
          <w:rFonts w:hint="default" w:ascii="Times New Roman" w:hAnsi="Times New Roman" w:cs="Times New Roman"/>
          <w:color w:val="auto"/>
          <w:sz w:val="22"/>
          <w:szCs w:val="22"/>
          <w:highlight w:val="none"/>
          <w:u w:val="single"/>
        </w:rPr>
        <w:t xml:space="preserve">                     </w:t>
      </w:r>
    </w:p>
    <w:p w14:paraId="26180ADF">
      <w:pPr>
        <w:spacing w:line="420" w:lineRule="exact"/>
        <w:ind w:firstLine="220" w:firstLineChars="1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（3）监理工程师答复的时间：</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u w:val="single"/>
          <w:lang w:val="en-US" w:eastAsia="zh-CN"/>
        </w:rPr>
        <w:t xml:space="preserve">  </w:t>
      </w:r>
      <w:r>
        <w:rPr>
          <w:rFonts w:hint="default" w:ascii="Times New Roman" w:hAnsi="Times New Roman" w:cs="Times New Roman"/>
          <w:color w:val="auto"/>
          <w:sz w:val="22"/>
          <w:szCs w:val="22"/>
          <w:highlight w:val="none"/>
          <w:u w:val="single"/>
        </w:rPr>
        <w:t xml:space="preserve">                     </w:t>
      </w:r>
    </w:p>
    <w:p w14:paraId="3046B734">
      <w:pPr>
        <w:pStyle w:val="4"/>
        <w:numPr>
          <w:ilvl w:val="0"/>
          <w:numId w:val="0"/>
        </w:numPr>
        <w:tabs>
          <w:tab w:val="left" w:pos="360"/>
          <w:tab w:val="left" w:pos="420"/>
          <w:tab w:val="left" w:pos="576"/>
        </w:tabs>
        <w:spacing w:line="420" w:lineRule="exact"/>
        <w:rPr>
          <w:rFonts w:hint="default" w:ascii="Times New Roman" w:hAnsi="Times New Roman" w:cs="Times New Roman"/>
          <w:b/>
          <w:bCs/>
          <w:color w:val="auto"/>
          <w:sz w:val="22"/>
          <w:szCs w:val="22"/>
          <w:highlight w:val="none"/>
        </w:rPr>
      </w:pPr>
      <w:bookmarkStart w:id="322" w:name="_Toc469384086"/>
      <w:bookmarkStart w:id="323" w:name="_Toc31703"/>
      <w:bookmarkStart w:id="324" w:name="_Toc398916273"/>
      <w:r>
        <w:rPr>
          <w:rFonts w:hint="default" w:ascii="Times New Roman" w:hAnsi="Times New Roman" w:cs="Times New Roman"/>
          <w:b/>
          <w:bCs/>
          <w:color w:val="auto"/>
          <w:sz w:val="22"/>
          <w:szCs w:val="22"/>
          <w:highlight w:val="none"/>
        </w:rPr>
        <w:t>6. 通信联络</w:t>
      </w:r>
      <w:bookmarkEnd w:id="322"/>
      <w:bookmarkEnd w:id="323"/>
      <w:bookmarkEnd w:id="324"/>
    </w:p>
    <w:p w14:paraId="625D9288">
      <w:pPr>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 xml:space="preserve">  6.2各方通讯地址、收件人及其他送达方式</w:t>
      </w:r>
    </w:p>
    <w:p w14:paraId="08AB02E1">
      <w:pPr>
        <w:numPr>
          <w:ilvl w:val="0"/>
          <w:numId w:val="30"/>
        </w:numPr>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各方通讯地址和收件人：</w:t>
      </w:r>
    </w:p>
    <w:p w14:paraId="4298F23E">
      <w:pPr>
        <w:spacing w:line="360" w:lineRule="auto"/>
        <w:ind w:firstLine="220" w:firstLineChars="1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发包人：</w:t>
      </w:r>
      <w:r>
        <w:rPr>
          <w:rFonts w:hint="default" w:ascii="Times New Roman" w:hAnsi="Times New Roman" w:cs="Times New Roman"/>
          <w:color w:val="auto"/>
          <w:sz w:val="22"/>
          <w:szCs w:val="22"/>
          <w:highlight w:val="none"/>
          <w:u w:val="single"/>
          <w:lang w:val="en-US" w:eastAsia="zh-CN"/>
        </w:rPr>
        <w:t xml:space="preserve">                                   </w:t>
      </w:r>
      <w:r>
        <w:rPr>
          <w:rFonts w:hint="default" w:ascii="Times New Roman" w:hAnsi="Times New Roman" w:cs="Times New Roman"/>
          <w:color w:val="auto"/>
          <w:sz w:val="22"/>
          <w:szCs w:val="22"/>
          <w:highlight w:val="none"/>
        </w:rPr>
        <w:t xml:space="preserve"> </w:t>
      </w:r>
    </w:p>
    <w:p w14:paraId="50F23D84">
      <w:pPr>
        <w:spacing w:line="360" w:lineRule="auto"/>
        <w:ind w:firstLine="220" w:firstLineChars="1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通讯地址：</w:t>
      </w:r>
      <w:r>
        <w:rPr>
          <w:rFonts w:hint="default" w:ascii="Times New Roman" w:hAnsi="Times New Roman" w:cs="Times New Roman"/>
          <w:color w:val="auto"/>
          <w:sz w:val="22"/>
          <w:szCs w:val="22"/>
          <w:highlight w:val="none"/>
          <w:u w:val="single"/>
          <w:lang w:val="en-US" w:eastAsia="zh-CN"/>
        </w:rPr>
        <w:t xml:space="preserve">                                   </w:t>
      </w:r>
      <w:r>
        <w:rPr>
          <w:rFonts w:hint="default" w:ascii="Times New Roman" w:hAnsi="Times New Roman" w:cs="Times New Roman"/>
          <w:color w:val="auto"/>
          <w:sz w:val="22"/>
          <w:szCs w:val="22"/>
          <w:highlight w:val="none"/>
        </w:rPr>
        <w:t xml:space="preserve">   收件人：</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rPr>
        <w:t xml:space="preserve"> 邮政编码：</w:t>
      </w:r>
      <w:r>
        <w:rPr>
          <w:rFonts w:hint="default" w:ascii="Times New Roman" w:hAnsi="Times New Roman" w:cs="Times New Roman"/>
          <w:color w:val="auto"/>
          <w:sz w:val="22"/>
          <w:szCs w:val="22"/>
          <w:highlight w:val="none"/>
          <w:u w:val="single"/>
        </w:rPr>
        <w:t xml:space="preserve">                  </w:t>
      </w:r>
    </w:p>
    <w:p w14:paraId="75E5CAD6">
      <w:pPr>
        <w:spacing w:line="360" w:lineRule="auto"/>
        <w:ind w:firstLine="220" w:firstLineChars="1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承包人：</w:t>
      </w:r>
      <w:r>
        <w:rPr>
          <w:rFonts w:hint="default" w:ascii="Times New Roman" w:hAnsi="Times New Roman" w:cs="Times New Roman"/>
          <w:color w:val="auto"/>
          <w:sz w:val="22"/>
          <w:szCs w:val="22"/>
          <w:highlight w:val="none"/>
          <w:u w:val="single"/>
          <w:lang w:val="en-US" w:eastAsia="zh-CN"/>
        </w:rPr>
        <w:t xml:space="preserve">                                   </w:t>
      </w:r>
      <w:r>
        <w:rPr>
          <w:rFonts w:hint="default" w:ascii="Times New Roman" w:hAnsi="Times New Roman" w:cs="Times New Roman"/>
          <w:color w:val="auto"/>
          <w:sz w:val="22"/>
          <w:szCs w:val="22"/>
          <w:highlight w:val="none"/>
        </w:rPr>
        <w:t xml:space="preserve">                                                                               </w:t>
      </w:r>
    </w:p>
    <w:p w14:paraId="67D5A640">
      <w:pPr>
        <w:spacing w:line="360" w:lineRule="auto"/>
        <w:ind w:firstLine="220" w:firstLineChars="100"/>
        <w:rPr>
          <w:rFonts w:hint="default" w:ascii="Times New Roman" w:hAnsi="Times New Roman" w:cs="Times New Roman"/>
          <w:color w:val="auto"/>
          <w:sz w:val="22"/>
          <w:szCs w:val="22"/>
          <w:highlight w:val="none"/>
          <w:u w:val="single"/>
        </w:rPr>
      </w:pPr>
      <w:r>
        <w:rPr>
          <w:rFonts w:hint="default" w:ascii="Times New Roman" w:hAnsi="Times New Roman" w:cs="Times New Roman"/>
          <w:color w:val="auto"/>
          <w:sz w:val="22"/>
          <w:szCs w:val="22"/>
          <w:highlight w:val="none"/>
        </w:rPr>
        <w:t>通讯地址：</w:t>
      </w:r>
      <w:r>
        <w:rPr>
          <w:rFonts w:hint="default" w:ascii="Times New Roman" w:hAnsi="Times New Roman" w:cs="Times New Roman"/>
          <w:color w:val="auto"/>
          <w:sz w:val="22"/>
          <w:szCs w:val="22"/>
          <w:highlight w:val="none"/>
          <w:u w:val="single"/>
          <w:lang w:val="en-US" w:eastAsia="zh-CN"/>
        </w:rPr>
        <w:t xml:space="preserve">                                   </w:t>
      </w:r>
      <w:r>
        <w:rPr>
          <w:rFonts w:hint="default" w:ascii="Times New Roman" w:hAnsi="Times New Roman" w:cs="Times New Roman"/>
          <w:color w:val="auto"/>
          <w:sz w:val="22"/>
          <w:szCs w:val="22"/>
          <w:highlight w:val="none"/>
        </w:rPr>
        <w:t xml:space="preserve">   收件人：</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rPr>
        <w:t>邮政编码：</w:t>
      </w:r>
      <w:r>
        <w:rPr>
          <w:rFonts w:hint="default" w:ascii="Times New Roman" w:hAnsi="Times New Roman" w:cs="Times New Roman"/>
          <w:color w:val="auto"/>
          <w:sz w:val="22"/>
          <w:szCs w:val="22"/>
          <w:highlight w:val="none"/>
          <w:u w:val="single"/>
        </w:rPr>
        <w:t xml:space="preserve">             </w:t>
      </w:r>
    </w:p>
    <w:p w14:paraId="1B1868C4">
      <w:pPr>
        <w:spacing w:line="360" w:lineRule="auto"/>
        <w:ind w:firstLine="220" w:firstLineChars="1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监理人：</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u w:val="single"/>
          <w:lang w:val="en-US" w:eastAsia="zh-CN"/>
        </w:rPr>
        <w:t xml:space="preserve">          </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rPr>
        <w:t xml:space="preserve">                                                                                 </w:t>
      </w:r>
    </w:p>
    <w:p w14:paraId="4ED1DADD">
      <w:pPr>
        <w:spacing w:line="420" w:lineRule="exact"/>
        <w:ind w:firstLine="220" w:firstLineChars="100"/>
        <w:rPr>
          <w:rFonts w:hint="default" w:ascii="Times New Roman" w:hAnsi="Times New Roman" w:cs="Times New Roman"/>
          <w:color w:val="auto"/>
          <w:sz w:val="22"/>
          <w:szCs w:val="22"/>
          <w:highlight w:val="none"/>
          <w:u w:val="single"/>
        </w:rPr>
      </w:pPr>
      <w:r>
        <w:rPr>
          <w:rFonts w:hint="default" w:ascii="Times New Roman" w:hAnsi="Times New Roman" w:cs="Times New Roman"/>
          <w:color w:val="auto"/>
          <w:sz w:val="22"/>
          <w:szCs w:val="22"/>
          <w:highlight w:val="none"/>
        </w:rPr>
        <w:t>通讯地址：</w:t>
      </w:r>
      <w:r>
        <w:rPr>
          <w:rFonts w:hint="default" w:ascii="Times New Roman" w:hAnsi="Times New Roman" w:cs="Times New Roman"/>
          <w:color w:val="auto"/>
          <w:sz w:val="22"/>
          <w:szCs w:val="22"/>
          <w:highlight w:val="none"/>
          <w:u w:val="single"/>
          <w:lang w:val="en-US" w:eastAsia="zh-CN"/>
        </w:rPr>
        <w:t xml:space="preserve">                                   </w:t>
      </w:r>
      <w:r>
        <w:rPr>
          <w:rFonts w:hint="default" w:ascii="Times New Roman" w:hAnsi="Times New Roman" w:cs="Times New Roman"/>
          <w:color w:val="auto"/>
          <w:sz w:val="22"/>
          <w:szCs w:val="22"/>
          <w:highlight w:val="none"/>
          <w:u w:val="none"/>
          <w:lang w:val="en-US" w:eastAsia="zh-CN"/>
        </w:rPr>
        <w:t xml:space="preserve">  </w:t>
      </w:r>
      <w:r>
        <w:rPr>
          <w:rFonts w:hint="default" w:ascii="Times New Roman" w:hAnsi="Times New Roman" w:cs="Times New Roman"/>
          <w:color w:val="auto"/>
          <w:sz w:val="22"/>
          <w:szCs w:val="22"/>
          <w:highlight w:val="none"/>
          <w:u w:val="none"/>
        </w:rPr>
        <w:t xml:space="preserve"> </w:t>
      </w:r>
      <w:r>
        <w:rPr>
          <w:rFonts w:hint="default" w:ascii="Times New Roman" w:hAnsi="Times New Roman" w:cs="Times New Roman"/>
          <w:color w:val="auto"/>
          <w:sz w:val="22"/>
          <w:szCs w:val="22"/>
          <w:highlight w:val="none"/>
        </w:rPr>
        <w:t>收件人：</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rPr>
        <w:t xml:space="preserve"> 邮政编码：</w:t>
      </w:r>
      <w:r>
        <w:rPr>
          <w:rFonts w:hint="default" w:ascii="Times New Roman" w:hAnsi="Times New Roman" w:cs="Times New Roman"/>
          <w:color w:val="auto"/>
          <w:sz w:val="22"/>
          <w:szCs w:val="22"/>
          <w:highlight w:val="none"/>
          <w:u w:val="single"/>
        </w:rPr>
        <w:t xml:space="preserve">                   </w:t>
      </w:r>
    </w:p>
    <w:p w14:paraId="07B7206B">
      <w:pPr>
        <w:spacing w:line="420" w:lineRule="exact"/>
        <w:ind w:firstLine="220" w:firstLineChars="1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 xml:space="preserve">工程造价咨询人（如有）： </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rPr>
        <w:t xml:space="preserve">                                                                      </w:t>
      </w:r>
    </w:p>
    <w:p w14:paraId="57E9C2CB">
      <w:pPr>
        <w:spacing w:line="420" w:lineRule="exact"/>
        <w:ind w:firstLine="220" w:firstLineChars="100"/>
        <w:rPr>
          <w:rFonts w:hint="default" w:ascii="Times New Roman" w:hAnsi="Times New Roman" w:cs="Times New Roman"/>
          <w:color w:val="auto"/>
          <w:sz w:val="22"/>
          <w:szCs w:val="22"/>
          <w:highlight w:val="none"/>
          <w:u w:val="single"/>
        </w:rPr>
      </w:pPr>
      <w:r>
        <w:rPr>
          <w:rFonts w:hint="default" w:ascii="Times New Roman" w:hAnsi="Times New Roman" w:cs="Times New Roman"/>
          <w:color w:val="auto"/>
          <w:sz w:val="22"/>
          <w:szCs w:val="22"/>
          <w:highlight w:val="none"/>
        </w:rPr>
        <w:t>通讯地址：</w:t>
      </w:r>
      <w:r>
        <w:rPr>
          <w:rFonts w:hint="default" w:ascii="Times New Roman" w:hAnsi="Times New Roman" w:cs="Times New Roman"/>
          <w:color w:val="auto"/>
          <w:sz w:val="22"/>
          <w:szCs w:val="22"/>
          <w:highlight w:val="none"/>
          <w:u w:val="single"/>
          <w:lang w:val="en-US" w:eastAsia="zh-CN"/>
        </w:rPr>
        <w:t xml:space="preserve">                                  </w:t>
      </w:r>
      <w:r>
        <w:rPr>
          <w:rFonts w:hint="default" w:ascii="Times New Roman" w:hAnsi="Times New Roman" w:cs="Times New Roman"/>
          <w:color w:val="auto"/>
          <w:sz w:val="22"/>
          <w:szCs w:val="22"/>
          <w:highlight w:val="none"/>
          <w:u w:val="none"/>
          <w:lang w:val="en-US" w:eastAsia="zh-CN"/>
        </w:rPr>
        <w:t xml:space="preserve">  </w:t>
      </w:r>
      <w:r>
        <w:rPr>
          <w:rFonts w:hint="default" w:ascii="Times New Roman" w:hAnsi="Times New Roman" w:cs="Times New Roman"/>
          <w:color w:val="auto"/>
          <w:sz w:val="22"/>
          <w:szCs w:val="22"/>
          <w:highlight w:val="none"/>
          <w:u w:val="none"/>
        </w:rPr>
        <w:t xml:space="preserve"> </w:t>
      </w:r>
      <w:r>
        <w:rPr>
          <w:rFonts w:hint="default" w:ascii="Times New Roman" w:hAnsi="Times New Roman" w:cs="Times New Roman"/>
          <w:color w:val="auto"/>
          <w:sz w:val="22"/>
          <w:szCs w:val="22"/>
          <w:highlight w:val="none"/>
          <w:u w:val="none"/>
          <w:lang w:val="en-US" w:eastAsia="zh-CN"/>
        </w:rPr>
        <w:t xml:space="preserve"> </w:t>
      </w:r>
      <w:r>
        <w:rPr>
          <w:rFonts w:hint="default" w:ascii="Times New Roman" w:hAnsi="Times New Roman" w:cs="Times New Roman"/>
          <w:color w:val="auto"/>
          <w:sz w:val="22"/>
          <w:szCs w:val="22"/>
          <w:highlight w:val="none"/>
        </w:rPr>
        <w:t>收件人：</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rPr>
        <w:t xml:space="preserve"> 邮政编码：</w:t>
      </w:r>
      <w:r>
        <w:rPr>
          <w:rFonts w:hint="default" w:ascii="Times New Roman" w:hAnsi="Times New Roman" w:cs="Times New Roman"/>
          <w:color w:val="auto"/>
          <w:sz w:val="22"/>
          <w:szCs w:val="22"/>
          <w:highlight w:val="none"/>
          <w:u w:val="single"/>
        </w:rPr>
        <w:t xml:space="preserve">                   </w:t>
      </w:r>
    </w:p>
    <w:p w14:paraId="4D5CAF4D">
      <w:pPr>
        <w:numPr>
          <w:ilvl w:val="0"/>
          <w:numId w:val="30"/>
        </w:numPr>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视为送达的其他方式：</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u w:val="single"/>
          <w:lang w:val="en-US" w:eastAsia="zh-CN"/>
        </w:rPr>
        <w:t xml:space="preserve"> </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u w:val="single"/>
          <w:lang w:val="en-US" w:eastAsia="zh-CN"/>
        </w:rPr>
        <w:t xml:space="preserve">      </w:t>
      </w:r>
      <w:r>
        <w:rPr>
          <w:rFonts w:hint="default" w:ascii="Times New Roman" w:hAnsi="Times New Roman" w:cs="Times New Roman"/>
          <w:color w:val="auto"/>
          <w:sz w:val="22"/>
          <w:szCs w:val="22"/>
          <w:highlight w:val="none"/>
          <w:u w:val="single"/>
        </w:rPr>
        <w:t xml:space="preserve">                            </w:t>
      </w:r>
    </w:p>
    <w:p w14:paraId="39E3B1C0">
      <w:pPr>
        <w:spacing w:line="420" w:lineRule="exact"/>
        <w:ind w:left="120"/>
        <w:rPr>
          <w:rFonts w:hint="default" w:ascii="Times New Roman" w:hAnsi="Times New Roman" w:cs="Times New Roman"/>
          <w:color w:val="auto"/>
          <w:sz w:val="22"/>
          <w:szCs w:val="22"/>
          <w:highlight w:val="none"/>
        </w:rPr>
      </w:pPr>
    </w:p>
    <w:p w14:paraId="0ED0D22F">
      <w:pPr>
        <w:pStyle w:val="4"/>
        <w:numPr>
          <w:ilvl w:val="0"/>
          <w:numId w:val="0"/>
        </w:numPr>
        <w:tabs>
          <w:tab w:val="left" w:pos="360"/>
          <w:tab w:val="left" w:pos="420"/>
          <w:tab w:val="left" w:pos="576"/>
        </w:tabs>
        <w:spacing w:before="0" w:line="420" w:lineRule="exact"/>
        <w:rPr>
          <w:rFonts w:hint="default" w:ascii="Times New Roman" w:hAnsi="Times New Roman" w:cs="Times New Roman"/>
          <w:b/>
          <w:bCs/>
          <w:color w:val="auto"/>
          <w:sz w:val="22"/>
          <w:szCs w:val="22"/>
          <w:highlight w:val="none"/>
        </w:rPr>
      </w:pPr>
      <w:bookmarkStart w:id="325" w:name="_Toc736357979"/>
      <w:bookmarkStart w:id="326" w:name="_Toc3964"/>
      <w:bookmarkStart w:id="327" w:name="_Toc469384087"/>
      <w:r>
        <w:rPr>
          <w:rFonts w:hint="default" w:ascii="Times New Roman" w:hAnsi="Times New Roman" w:cs="Times New Roman"/>
          <w:b/>
          <w:bCs/>
          <w:color w:val="auto"/>
          <w:sz w:val="22"/>
          <w:szCs w:val="22"/>
          <w:highlight w:val="none"/>
        </w:rPr>
        <w:t>7. 工程分包</w:t>
      </w:r>
      <w:bookmarkEnd w:id="325"/>
      <w:bookmarkEnd w:id="326"/>
      <w:bookmarkEnd w:id="327"/>
    </w:p>
    <w:p w14:paraId="7C75229A">
      <w:pPr>
        <w:spacing w:line="420" w:lineRule="exact"/>
        <w:ind w:left="120"/>
        <w:rPr>
          <w:rFonts w:hint="default" w:ascii="Times New Roman" w:hAnsi="Times New Roman" w:cs="Times New Roman"/>
          <w:color w:val="auto"/>
          <w:sz w:val="22"/>
          <w:szCs w:val="22"/>
          <w:highlight w:val="none"/>
          <w:u w:val="single"/>
        </w:rPr>
      </w:pPr>
      <w:r>
        <w:rPr>
          <w:rFonts w:hint="default" w:ascii="Times New Roman" w:hAnsi="Times New Roman" w:cs="Times New Roman"/>
          <w:color w:val="auto"/>
          <w:sz w:val="22"/>
          <w:szCs w:val="22"/>
          <w:highlight w:val="none"/>
        </w:rPr>
        <w:t xml:space="preserve"> 7.2 指定分包工程名称：</w:t>
      </w:r>
      <w:r>
        <w:rPr>
          <w:rFonts w:hint="default" w:ascii="Times New Roman" w:hAnsi="Times New Roman" w:cs="Times New Roman"/>
          <w:color w:val="auto"/>
          <w:sz w:val="22"/>
          <w:szCs w:val="22"/>
          <w:highlight w:val="none"/>
          <w:u w:val="single"/>
        </w:rPr>
        <w:t xml:space="preserve">                            /                           </w:t>
      </w:r>
    </w:p>
    <w:p w14:paraId="2747AFBE">
      <w:pPr>
        <w:spacing w:line="420" w:lineRule="exact"/>
        <w:rPr>
          <w:rFonts w:hint="default" w:ascii="Times New Roman" w:hAnsi="Times New Roman" w:cs="Times New Roman"/>
          <w:color w:val="auto"/>
          <w:sz w:val="22"/>
          <w:szCs w:val="22"/>
          <w:highlight w:val="none"/>
          <w:u w:val="single"/>
        </w:rPr>
      </w:pPr>
      <w:r>
        <w:rPr>
          <w:rFonts w:hint="default" w:ascii="Times New Roman" w:hAnsi="Times New Roman" w:cs="Times New Roman"/>
          <w:color w:val="auto"/>
          <w:sz w:val="22"/>
          <w:szCs w:val="22"/>
          <w:highlight w:val="none"/>
        </w:rPr>
        <w:t xml:space="preserve">  7.4 分包工程款的支付方式：</w:t>
      </w:r>
      <w:r>
        <w:rPr>
          <w:rFonts w:hint="default" w:ascii="Times New Roman" w:hAnsi="Times New Roman" w:cs="Times New Roman"/>
          <w:color w:val="auto"/>
          <w:sz w:val="22"/>
          <w:szCs w:val="22"/>
          <w:highlight w:val="none"/>
          <w:u w:val="single"/>
        </w:rPr>
        <w:t xml:space="preserve">                         /                          </w:t>
      </w:r>
    </w:p>
    <w:p w14:paraId="21415FBC">
      <w:pPr>
        <w:spacing w:line="420" w:lineRule="exact"/>
        <w:rPr>
          <w:rFonts w:hint="default" w:ascii="Times New Roman" w:hAnsi="Times New Roman" w:cs="Times New Roman"/>
          <w:color w:val="auto"/>
          <w:sz w:val="22"/>
          <w:szCs w:val="22"/>
          <w:highlight w:val="none"/>
          <w:u w:val="single"/>
        </w:rPr>
      </w:pPr>
    </w:p>
    <w:p w14:paraId="124B56B4">
      <w:pPr>
        <w:pStyle w:val="4"/>
        <w:numPr>
          <w:ilvl w:val="0"/>
          <w:numId w:val="0"/>
        </w:numPr>
        <w:tabs>
          <w:tab w:val="left" w:pos="360"/>
          <w:tab w:val="left" w:pos="420"/>
          <w:tab w:val="left" w:pos="576"/>
        </w:tabs>
        <w:spacing w:before="0" w:line="420" w:lineRule="exact"/>
        <w:rPr>
          <w:rFonts w:hint="default" w:ascii="Times New Roman" w:hAnsi="Times New Roman" w:cs="Times New Roman"/>
          <w:color w:val="auto"/>
          <w:sz w:val="22"/>
          <w:szCs w:val="22"/>
          <w:highlight w:val="none"/>
        </w:rPr>
      </w:pPr>
      <w:bookmarkStart w:id="328" w:name="_Toc1965735677"/>
      <w:bookmarkStart w:id="329" w:name="_Toc469384088"/>
      <w:bookmarkStart w:id="330" w:name="_Toc11727"/>
      <w:r>
        <w:rPr>
          <w:rFonts w:hint="default" w:ascii="Times New Roman" w:hAnsi="Times New Roman" w:cs="Times New Roman"/>
          <w:b/>
          <w:bCs/>
          <w:color w:val="auto"/>
          <w:sz w:val="22"/>
          <w:szCs w:val="22"/>
          <w:highlight w:val="none"/>
        </w:rPr>
        <w:t>13. 交通运输</w:t>
      </w:r>
      <w:bookmarkEnd w:id="328"/>
      <w:bookmarkEnd w:id="329"/>
      <w:bookmarkEnd w:id="330"/>
      <w:r>
        <w:rPr>
          <w:rFonts w:hint="default" w:ascii="Times New Roman" w:hAnsi="Times New Roman" w:cs="Times New Roman"/>
          <w:color w:val="auto"/>
          <w:sz w:val="22"/>
          <w:szCs w:val="22"/>
          <w:highlight w:val="none"/>
        </w:rPr>
        <w:t xml:space="preserve"> </w:t>
      </w:r>
    </w:p>
    <w:p w14:paraId="1943F64D">
      <w:pPr>
        <w:numPr>
          <w:ilvl w:val="0"/>
          <w:numId w:val="0"/>
        </w:numPr>
        <w:spacing w:line="420" w:lineRule="exact"/>
        <w:ind w:leftChars="0"/>
        <w:rPr>
          <w:rFonts w:hint="default" w:ascii="Times New Roman" w:hAnsi="Times New Roman" w:cs="Times New Roman"/>
          <w:color w:val="auto"/>
          <w:kern w:val="0"/>
          <w:sz w:val="22"/>
          <w:szCs w:val="22"/>
          <w:highlight w:val="none"/>
          <w:u w:val="single"/>
        </w:rPr>
      </w:pPr>
      <w:r>
        <w:rPr>
          <w:rFonts w:hint="default" w:ascii="Times New Roman" w:hAnsi="Times New Roman" w:cs="Times New Roman"/>
          <w:color w:val="auto"/>
          <w:sz w:val="22"/>
          <w:szCs w:val="22"/>
          <w:highlight w:val="none"/>
        </w:rPr>
        <w:t xml:space="preserve"> 13.1 办理道路通行权和修建场外设施的费用：</w:t>
      </w:r>
      <w:r>
        <w:rPr>
          <w:rFonts w:hint="default" w:ascii="Times New Roman" w:hAnsi="Times New Roman" w:cs="Times New Roman"/>
          <w:color w:val="auto"/>
          <w:kern w:val="0"/>
          <w:sz w:val="22"/>
          <w:szCs w:val="22"/>
          <w:highlight w:val="none"/>
          <w:u w:val="single"/>
        </w:rPr>
        <w:t xml:space="preserve"> 场地清理、平整等工作由承包人负责办理，费用已包含在投标报价中，发包人不另行计量支付，场地清理范围为项目红线范围内，清理场地包括拆迁剩余的残余建筑垃圾，本工程若需要二次人工运输，承包人须在投标前实地察堪并作充分的评估。费用由承包人承担。 </w:t>
      </w:r>
    </w:p>
    <w:p w14:paraId="24D8E065">
      <w:pPr>
        <w:spacing w:line="420" w:lineRule="exact"/>
        <w:ind w:left="120"/>
        <w:rPr>
          <w:rFonts w:hint="default" w:ascii="Times New Roman" w:hAnsi="Times New Roman" w:cs="Times New Roman"/>
          <w:color w:val="auto"/>
          <w:sz w:val="22"/>
          <w:szCs w:val="22"/>
          <w:highlight w:val="none"/>
          <w:u w:val="single"/>
        </w:rPr>
      </w:pPr>
      <w:r>
        <w:rPr>
          <w:rFonts w:hint="default" w:ascii="Times New Roman" w:hAnsi="Times New Roman" w:cs="Times New Roman"/>
          <w:color w:val="auto"/>
          <w:sz w:val="22"/>
          <w:szCs w:val="22"/>
          <w:highlight w:val="none"/>
        </w:rPr>
        <w:t>13.2 修建场内临时道路和交通设施的费用：</w:t>
      </w:r>
      <w:r>
        <w:rPr>
          <w:rFonts w:hint="default" w:ascii="Times New Roman" w:hAnsi="Times New Roman" w:cs="Times New Roman"/>
          <w:color w:val="auto"/>
          <w:sz w:val="22"/>
          <w:szCs w:val="22"/>
          <w:highlight w:val="none"/>
          <w:u w:val="single"/>
        </w:rPr>
        <w:t xml:space="preserve"> 施工期间为保证当地居民生活出行需发生的临时便道等由承包人自行负责，费用已包含在投标报价中，发包人不另行计量支付。                  </w:t>
      </w:r>
      <w:r>
        <w:rPr>
          <w:rFonts w:hint="default" w:ascii="Times New Roman" w:hAnsi="Times New Roman" w:cs="Times New Roman"/>
          <w:color w:val="auto"/>
          <w:sz w:val="22"/>
          <w:szCs w:val="22"/>
          <w:highlight w:val="none"/>
          <w:u w:val="single"/>
          <w:lang w:val="en-US" w:eastAsia="zh-CN"/>
        </w:rPr>
        <w:t xml:space="preserve">  </w:t>
      </w:r>
      <w:r>
        <w:rPr>
          <w:rFonts w:hint="default" w:ascii="Times New Roman" w:hAnsi="Times New Roman" w:cs="Times New Roman"/>
          <w:color w:val="auto"/>
          <w:sz w:val="22"/>
          <w:szCs w:val="22"/>
          <w:highlight w:val="none"/>
          <w:u w:val="single"/>
        </w:rPr>
        <w:t xml:space="preserve">            </w:t>
      </w:r>
    </w:p>
    <w:p w14:paraId="4B15824B">
      <w:pPr>
        <w:spacing w:line="420" w:lineRule="exact"/>
        <w:ind w:left="120"/>
        <w:rPr>
          <w:rFonts w:hint="default" w:ascii="Times New Roman" w:hAnsi="Times New Roman" w:cs="Times New Roman"/>
          <w:color w:val="auto"/>
          <w:sz w:val="22"/>
          <w:szCs w:val="22"/>
          <w:highlight w:val="none"/>
          <w:u w:val="single"/>
        </w:rPr>
      </w:pPr>
      <w:r>
        <w:rPr>
          <w:rFonts w:hint="default" w:ascii="Times New Roman" w:hAnsi="Times New Roman" w:cs="Times New Roman"/>
          <w:color w:val="auto"/>
          <w:sz w:val="22"/>
          <w:szCs w:val="22"/>
          <w:highlight w:val="none"/>
        </w:rPr>
        <w:t>13.4 运输超大件和超重件的费用：</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u w:val="single"/>
          <w:lang w:val="en-US" w:eastAsia="zh-CN"/>
        </w:rPr>
        <w:t xml:space="preserve">   </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u w:val="single"/>
          <w:lang w:eastAsia="zh-CN"/>
        </w:rPr>
        <w:t>由承包单位负责</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u w:val="single"/>
          <w:lang w:val="en-US" w:eastAsia="zh-CN"/>
        </w:rPr>
        <w:t xml:space="preserve">   </w:t>
      </w:r>
      <w:r>
        <w:rPr>
          <w:rFonts w:hint="default" w:ascii="Times New Roman" w:hAnsi="Times New Roman" w:cs="Times New Roman"/>
          <w:color w:val="auto"/>
          <w:sz w:val="22"/>
          <w:szCs w:val="22"/>
          <w:highlight w:val="none"/>
          <w:u w:val="single"/>
        </w:rPr>
        <w:t xml:space="preserve">                </w:t>
      </w:r>
    </w:p>
    <w:p w14:paraId="793B29D2">
      <w:pPr>
        <w:pStyle w:val="4"/>
        <w:numPr>
          <w:ilvl w:val="0"/>
          <w:numId w:val="0"/>
        </w:numPr>
        <w:tabs>
          <w:tab w:val="left" w:pos="360"/>
          <w:tab w:val="left" w:pos="420"/>
          <w:tab w:val="left" w:pos="576"/>
        </w:tabs>
        <w:spacing w:line="420" w:lineRule="exact"/>
        <w:rPr>
          <w:rFonts w:hint="default" w:ascii="Times New Roman" w:hAnsi="Times New Roman" w:cs="Times New Roman"/>
          <w:b/>
          <w:bCs/>
          <w:color w:val="auto"/>
          <w:sz w:val="22"/>
          <w:szCs w:val="22"/>
          <w:highlight w:val="none"/>
        </w:rPr>
      </w:pPr>
      <w:bookmarkStart w:id="331" w:name="_Toc469384089"/>
      <w:bookmarkStart w:id="332" w:name="_Toc6208"/>
      <w:bookmarkStart w:id="333" w:name="_Toc1099141183"/>
      <w:r>
        <w:rPr>
          <w:rFonts w:hint="default" w:ascii="Times New Roman" w:hAnsi="Times New Roman" w:cs="Times New Roman"/>
          <w:b/>
          <w:bCs/>
          <w:color w:val="auto"/>
          <w:sz w:val="22"/>
          <w:szCs w:val="22"/>
          <w:highlight w:val="none"/>
        </w:rPr>
        <w:t>14. 专项批准事件的签认</w:t>
      </w:r>
      <w:bookmarkEnd w:id="331"/>
      <w:bookmarkEnd w:id="332"/>
      <w:bookmarkEnd w:id="333"/>
    </w:p>
    <w:p w14:paraId="6E142556">
      <w:pPr>
        <w:spacing w:line="420" w:lineRule="exact"/>
        <w:ind w:left="120"/>
        <w:rPr>
          <w:rFonts w:hint="default" w:ascii="Times New Roman" w:hAnsi="Times New Roman" w:cs="Times New Roman"/>
          <w:color w:val="auto"/>
          <w:sz w:val="22"/>
          <w:szCs w:val="22"/>
          <w:highlight w:val="none"/>
        </w:rPr>
      </w:pPr>
    </w:p>
    <w:p w14:paraId="0097950C">
      <w:pPr>
        <w:spacing w:line="420" w:lineRule="exact"/>
        <w:ind w:left="12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 xml:space="preserve"> 14.2 专项批准事件的签认人选</w:t>
      </w:r>
    </w:p>
    <w:p w14:paraId="3A406C6D">
      <w:pPr>
        <w:spacing w:line="420" w:lineRule="exact"/>
        <w:ind w:left="120"/>
        <w:rPr>
          <w:rFonts w:hint="default" w:ascii="Times New Roman" w:hAnsi="Times New Roman" w:cs="Times New Roman"/>
          <w:color w:val="auto"/>
          <w:sz w:val="22"/>
          <w:szCs w:val="22"/>
          <w:highlight w:val="none"/>
        </w:rPr>
      </w:pPr>
    </w:p>
    <w:p w14:paraId="79CC2C73">
      <w:pPr>
        <w:numPr>
          <w:ilvl w:val="0"/>
          <w:numId w:val="31"/>
        </w:numPr>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监理工程师：</w:t>
      </w:r>
    </w:p>
    <w:p w14:paraId="33F953F1">
      <w:pPr>
        <w:spacing w:line="420" w:lineRule="exact"/>
        <w:ind w:left="240"/>
        <w:rPr>
          <w:rFonts w:hint="default" w:ascii="Times New Roman" w:hAnsi="Times New Roman" w:cs="Times New Roman"/>
          <w:color w:val="auto"/>
          <w:sz w:val="22"/>
          <w:szCs w:val="22"/>
          <w:highlight w:val="none"/>
        </w:rPr>
      </w:pPr>
    </w:p>
    <w:p w14:paraId="0AED75B0">
      <w:pPr>
        <w:spacing w:line="420" w:lineRule="exact"/>
        <w:ind w:left="240"/>
        <w:rPr>
          <w:rFonts w:hint="default" w:ascii="Times New Roman" w:hAnsi="Times New Roman" w:cs="Times New Roman"/>
          <w:color w:val="auto"/>
          <w:sz w:val="22"/>
          <w:szCs w:val="22"/>
          <w:highlight w:val="none"/>
          <w:u w:val="single"/>
        </w:rPr>
      </w:pPr>
      <w:r>
        <w:rPr>
          <w:rFonts w:hint="default" w:ascii="Times New Roman" w:hAnsi="Times New Roman" w:cs="Times New Roman"/>
          <w:color w:val="auto"/>
          <w:sz w:val="22"/>
          <w:szCs w:val="22"/>
          <w:highlight w:val="none"/>
        </w:rPr>
        <w:t xml:space="preserve"> 姓名：</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rPr>
        <w:t xml:space="preserve">  印章样式：                签字样式：</w:t>
      </w:r>
      <w:r>
        <w:rPr>
          <w:rFonts w:hint="default" w:ascii="Times New Roman" w:hAnsi="Times New Roman" w:cs="Times New Roman"/>
          <w:color w:val="auto"/>
          <w:sz w:val="22"/>
          <w:szCs w:val="22"/>
          <w:highlight w:val="none"/>
          <w:u w:val="single"/>
        </w:rPr>
        <w:t xml:space="preserve">                </w:t>
      </w:r>
    </w:p>
    <w:p w14:paraId="6A136D56">
      <w:pPr>
        <w:spacing w:line="420" w:lineRule="exact"/>
        <w:ind w:left="240"/>
        <w:rPr>
          <w:rFonts w:hint="default" w:ascii="Times New Roman" w:hAnsi="Times New Roman" w:cs="Times New Roman"/>
          <w:color w:val="auto"/>
          <w:sz w:val="22"/>
          <w:szCs w:val="22"/>
          <w:highlight w:val="none"/>
        </w:rPr>
      </w:pPr>
    </w:p>
    <w:p w14:paraId="38A34263">
      <w:pPr>
        <w:numPr>
          <w:ilvl w:val="0"/>
          <w:numId w:val="31"/>
        </w:numPr>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造价工程师：</w:t>
      </w:r>
    </w:p>
    <w:p w14:paraId="76A1F99F">
      <w:pPr>
        <w:spacing w:line="420" w:lineRule="exact"/>
        <w:ind w:left="240"/>
        <w:rPr>
          <w:rFonts w:hint="default" w:ascii="Times New Roman" w:hAnsi="Times New Roman" w:cs="Times New Roman"/>
          <w:color w:val="auto"/>
          <w:sz w:val="22"/>
          <w:szCs w:val="22"/>
          <w:highlight w:val="none"/>
        </w:rPr>
      </w:pPr>
    </w:p>
    <w:p w14:paraId="0DF2104C">
      <w:pPr>
        <w:spacing w:line="420" w:lineRule="exact"/>
        <w:ind w:left="239" w:leftChars="114" w:firstLine="110" w:firstLineChars="50"/>
        <w:rPr>
          <w:rFonts w:hint="default" w:ascii="Times New Roman" w:hAnsi="Times New Roman" w:cs="Times New Roman"/>
          <w:color w:val="auto"/>
          <w:sz w:val="22"/>
          <w:szCs w:val="22"/>
          <w:highlight w:val="none"/>
          <w:u w:val="single"/>
        </w:rPr>
      </w:pPr>
      <w:r>
        <w:rPr>
          <w:rFonts w:hint="default" w:ascii="Times New Roman" w:hAnsi="Times New Roman" w:cs="Times New Roman"/>
          <w:color w:val="auto"/>
          <w:sz w:val="22"/>
          <w:szCs w:val="22"/>
          <w:highlight w:val="none"/>
        </w:rPr>
        <w:t>姓名：</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rPr>
        <w:t xml:space="preserve">   印章样式：                签字样式：</w:t>
      </w:r>
      <w:r>
        <w:rPr>
          <w:rFonts w:hint="default" w:ascii="Times New Roman" w:hAnsi="Times New Roman" w:cs="Times New Roman"/>
          <w:color w:val="auto"/>
          <w:sz w:val="22"/>
          <w:szCs w:val="22"/>
          <w:highlight w:val="none"/>
          <w:u w:val="single"/>
        </w:rPr>
        <w:t xml:space="preserve">                 </w:t>
      </w:r>
    </w:p>
    <w:p w14:paraId="4214DF25">
      <w:pPr>
        <w:spacing w:line="420" w:lineRule="exact"/>
        <w:ind w:left="239" w:leftChars="114" w:firstLine="110" w:firstLineChars="50"/>
        <w:rPr>
          <w:rFonts w:hint="default" w:ascii="Times New Roman" w:hAnsi="Times New Roman" w:cs="Times New Roman"/>
          <w:color w:val="auto"/>
          <w:sz w:val="22"/>
          <w:szCs w:val="22"/>
          <w:highlight w:val="none"/>
        </w:rPr>
      </w:pPr>
    </w:p>
    <w:p w14:paraId="171D5A3C">
      <w:pPr>
        <w:numPr>
          <w:ilvl w:val="0"/>
          <w:numId w:val="31"/>
        </w:numPr>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建造师：</w:t>
      </w:r>
    </w:p>
    <w:p w14:paraId="6AE144F3">
      <w:pPr>
        <w:spacing w:line="420" w:lineRule="exact"/>
        <w:ind w:left="240"/>
        <w:rPr>
          <w:rFonts w:hint="default" w:ascii="Times New Roman" w:hAnsi="Times New Roman" w:cs="Times New Roman"/>
          <w:color w:val="auto"/>
          <w:sz w:val="22"/>
          <w:szCs w:val="22"/>
          <w:highlight w:val="none"/>
        </w:rPr>
      </w:pPr>
    </w:p>
    <w:p w14:paraId="34D7DA7E">
      <w:pPr>
        <w:spacing w:line="420" w:lineRule="exact"/>
        <w:ind w:left="239" w:leftChars="114" w:firstLine="110" w:firstLineChars="5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姓名：</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rPr>
        <w:t xml:space="preserve"> 印章样式：                签字样式：</w:t>
      </w:r>
      <w:r>
        <w:rPr>
          <w:rFonts w:hint="default" w:ascii="Times New Roman" w:hAnsi="Times New Roman" w:cs="Times New Roman"/>
          <w:color w:val="auto"/>
          <w:sz w:val="22"/>
          <w:szCs w:val="22"/>
          <w:highlight w:val="none"/>
          <w:u w:val="single"/>
        </w:rPr>
        <w:t xml:space="preserve">                  </w:t>
      </w:r>
    </w:p>
    <w:p w14:paraId="365F4393">
      <w:pPr>
        <w:pStyle w:val="4"/>
        <w:numPr>
          <w:ilvl w:val="0"/>
          <w:numId w:val="0"/>
        </w:numPr>
        <w:tabs>
          <w:tab w:val="left" w:pos="360"/>
          <w:tab w:val="left" w:pos="420"/>
          <w:tab w:val="left" w:pos="576"/>
        </w:tabs>
        <w:spacing w:line="420" w:lineRule="exact"/>
        <w:rPr>
          <w:rFonts w:hint="default" w:ascii="Times New Roman" w:hAnsi="Times New Roman" w:cs="Times New Roman"/>
          <w:b/>
          <w:bCs/>
          <w:color w:val="auto"/>
          <w:sz w:val="22"/>
          <w:szCs w:val="22"/>
          <w:highlight w:val="none"/>
        </w:rPr>
      </w:pPr>
      <w:bookmarkStart w:id="334" w:name="_Toc682098415"/>
      <w:bookmarkStart w:id="335" w:name="_Toc21794"/>
      <w:bookmarkStart w:id="336" w:name="_Toc469384090"/>
      <w:r>
        <w:rPr>
          <w:rFonts w:hint="default" w:ascii="Times New Roman" w:hAnsi="Times New Roman" w:cs="Times New Roman"/>
          <w:b/>
          <w:bCs/>
          <w:color w:val="auto"/>
          <w:sz w:val="22"/>
          <w:szCs w:val="22"/>
          <w:highlight w:val="none"/>
        </w:rPr>
        <w:t>19. 发包人</w:t>
      </w:r>
      <w:bookmarkEnd w:id="334"/>
      <w:bookmarkEnd w:id="335"/>
      <w:bookmarkEnd w:id="336"/>
    </w:p>
    <w:p w14:paraId="1B301ED3">
      <w:pPr>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 xml:space="preserve"> </w:t>
      </w:r>
    </w:p>
    <w:p w14:paraId="6323C6B4">
      <w:pPr>
        <w:spacing w:line="420" w:lineRule="exact"/>
        <w:ind w:firstLine="110" w:firstLineChars="5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19.2 发包人完成下列工作的约定</w:t>
      </w:r>
    </w:p>
    <w:p w14:paraId="71008599">
      <w:pPr>
        <w:spacing w:line="420" w:lineRule="exact"/>
        <w:ind w:firstLine="110" w:firstLineChars="50"/>
        <w:rPr>
          <w:rFonts w:hint="default" w:ascii="Times New Roman" w:hAnsi="Times New Roman" w:cs="Times New Roman"/>
          <w:color w:val="auto"/>
          <w:sz w:val="22"/>
          <w:szCs w:val="22"/>
          <w:highlight w:val="none"/>
        </w:rPr>
      </w:pPr>
    </w:p>
    <w:p w14:paraId="0E05C507">
      <w:pPr>
        <w:numPr>
          <w:ilvl w:val="0"/>
          <w:numId w:val="32"/>
        </w:numPr>
        <w:spacing w:line="420" w:lineRule="exact"/>
        <w:ind w:left="119" w:firstLine="0"/>
        <w:rPr>
          <w:rFonts w:hint="default" w:ascii="Times New Roman" w:hAnsi="Times New Roman" w:cs="Times New Roman"/>
          <w:color w:val="auto"/>
          <w:sz w:val="22"/>
          <w:szCs w:val="22"/>
          <w:highlight w:val="none"/>
          <w:u w:val="single"/>
        </w:rPr>
      </w:pPr>
      <w:r>
        <w:rPr>
          <w:rFonts w:hint="default" w:ascii="Times New Roman" w:hAnsi="Times New Roman" w:cs="Times New Roman"/>
          <w:color w:val="auto"/>
          <w:sz w:val="22"/>
          <w:szCs w:val="22"/>
          <w:highlight w:val="none"/>
        </w:rPr>
        <w:t>办理土地征用、拆迁、平整施工场地等工作：</w:t>
      </w:r>
      <w:r>
        <w:rPr>
          <w:rFonts w:hint="default" w:ascii="Times New Roman" w:hAnsi="Times New Roman" w:cs="Times New Roman"/>
          <w:color w:val="auto"/>
          <w:sz w:val="22"/>
          <w:szCs w:val="22"/>
          <w:highlight w:val="none"/>
          <w:u w:val="single"/>
          <w:lang w:eastAsia="zh-CN"/>
        </w:rPr>
        <w:t>原则上在开工前完成所有证件和批准手续，允许分步分期完成；</w:t>
      </w:r>
      <w:r>
        <w:rPr>
          <w:rFonts w:hint="default" w:ascii="Times New Roman" w:hAnsi="Times New Roman" w:cs="Times New Roman"/>
          <w:color w:val="auto"/>
          <w:sz w:val="22"/>
          <w:szCs w:val="22"/>
          <w:highlight w:val="none"/>
          <w:u w:val="single"/>
        </w:rPr>
        <w:t>场地清理、平整等工作由承包人负责办理，费用已包含在投标报价中，发包人不另行计量支付，场地清理范围为项目红线范围内，清理场地包括拆迁剩余的残余建筑垃圾，本工程若需要二次人工运输，承包人须在投标前实地察堪并作充分的评估</w:t>
      </w:r>
      <w:r>
        <w:rPr>
          <w:rFonts w:hint="default" w:ascii="Times New Roman" w:hAnsi="Times New Roman" w:cs="Times New Roman"/>
          <w:color w:val="auto"/>
          <w:sz w:val="22"/>
          <w:szCs w:val="22"/>
          <w:highlight w:val="none"/>
          <w:u w:val="single"/>
          <w:lang w:eastAsia="zh-CN"/>
        </w:rPr>
        <w:t>，</w:t>
      </w:r>
      <w:r>
        <w:rPr>
          <w:rFonts w:hint="default" w:ascii="Times New Roman" w:hAnsi="Times New Roman" w:cs="Times New Roman"/>
          <w:color w:val="auto"/>
          <w:sz w:val="22"/>
          <w:szCs w:val="22"/>
          <w:highlight w:val="none"/>
          <w:u w:val="single"/>
        </w:rPr>
        <w:t>费用由承包人承担。</w:t>
      </w:r>
    </w:p>
    <w:p w14:paraId="74E043CF">
      <w:pPr>
        <w:spacing w:line="420" w:lineRule="exact"/>
        <w:rPr>
          <w:rFonts w:hint="default" w:ascii="Times New Roman" w:hAnsi="Times New Roman" w:cs="Times New Roman"/>
          <w:color w:val="auto"/>
          <w:sz w:val="22"/>
          <w:szCs w:val="22"/>
          <w:highlight w:val="none"/>
        </w:rPr>
      </w:pPr>
    </w:p>
    <w:p w14:paraId="4E390532">
      <w:pPr>
        <w:numPr>
          <w:ilvl w:val="0"/>
          <w:numId w:val="32"/>
        </w:numPr>
        <w:spacing w:line="420" w:lineRule="exact"/>
        <w:ind w:left="0" w:firstLine="0"/>
        <w:rPr>
          <w:rFonts w:hint="default" w:ascii="Times New Roman" w:hAnsi="Times New Roman" w:cs="Times New Roman"/>
          <w:color w:val="auto"/>
          <w:sz w:val="22"/>
          <w:szCs w:val="22"/>
          <w:highlight w:val="none"/>
          <w:u w:val="single"/>
        </w:rPr>
      </w:pPr>
      <w:r>
        <w:rPr>
          <w:rFonts w:hint="default" w:ascii="Times New Roman" w:hAnsi="Times New Roman" w:cs="Times New Roman"/>
          <w:color w:val="auto"/>
          <w:sz w:val="22"/>
          <w:szCs w:val="22"/>
          <w:highlight w:val="none"/>
        </w:rPr>
        <w:t>完成施工所需水、电、通讯线路接驳：</w:t>
      </w:r>
      <w:r>
        <w:rPr>
          <w:rFonts w:hint="default" w:ascii="Times New Roman" w:hAnsi="Times New Roman" w:cs="Times New Roman"/>
          <w:color w:val="auto"/>
          <w:sz w:val="22"/>
          <w:szCs w:val="22"/>
          <w:highlight w:val="none"/>
          <w:u w:val="single"/>
          <w:lang w:eastAsia="zh-CN"/>
        </w:rPr>
        <w:t>相关临水临电接驳地点由发包人根据施工方案提出意见，由发包人协助承包人协调临水、临电的接驳位置；发包人应在收到承包人的书面协助函件的</w:t>
      </w:r>
      <w:r>
        <w:rPr>
          <w:rFonts w:hint="default" w:ascii="Times New Roman" w:hAnsi="Times New Roman" w:cs="Times New Roman"/>
          <w:color w:val="auto"/>
          <w:sz w:val="22"/>
          <w:szCs w:val="22"/>
          <w:highlight w:val="none"/>
          <w:u w:val="single"/>
          <w:lang w:val="en-US" w:eastAsia="zh-CN"/>
        </w:rPr>
        <w:t>7天内完成协调工作。</w:t>
      </w:r>
      <w:r>
        <w:rPr>
          <w:rFonts w:hint="default" w:ascii="Times New Roman" w:hAnsi="Times New Roman" w:cs="Times New Roman"/>
          <w:color w:val="auto"/>
          <w:sz w:val="22"/>
          <w:szCs w:val="22"/>
          <w:highlight w:val="none"/>
          <w:u w:val="single"/>
        </w:rPr>
        <w:t>施工场地临水临电接驳及工程费用、施工临时用水、用电、通讯设施由承包人自行负责，根据工程的实际情况，发包人可无条件要求承包人采取柴油发电机等临时发电设施，费用已包含在投标报价中，发包人不另行计量支付。</w:t>
      </w:r>
    </w:p>
    <w:p w14:paraId="62696CA6">
      <w:pPr>
        <w:spacing w:line="420" w:lineRule="exact"/>
        <w:rPr>
          <w:rFonts w:hint="default" w:ascii="Times New Roman" w:hAnsi="Times New Roman" w:cs="Times New Roman"/>
          <w:color w:val="auto"/>
          <w:sz w:val="22"/>
          <w:szCs w:val="22"/>
          <w:highlight w:val="none"/>
          <w:u w:val="single"/>
        </w:rPr>
      </w:pPr>
    </w:p>
    <w:p w14:paraId="5A4D3A38">
      <w:pPr>
        <w:numPr>
          <w:ilvl w:val="0"/>
          <w:numId w:val="32"/>
        </w:numPr>
        <w:spacing w:line="420" w:lineRule="exact"/>
        <w:ind w:left="119"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开通施工现场与城乡公共道路间的通道：</w:t>
      </w:r>
      <w:r>
        <w:rPr>
          <w:rFonts w:hint="default" w:ascii="Times New Roman" w:hAnsi="Times New Roman" w:cs="Times New Roman"/>
          <w:color w:val="auto"/>
          <w:sz w:val="22"/>
          <w:szCs w:val="22"/>
          <w:highlight w:val="none"/>
          <w:u w:val="single"/>
        </w:rPr>
        <w:t>施工期间为保证当地居民生活出行需发生的临时便道等由承包人自行负责，费用已包含在投标报价中，发包人不另行计量支付。</w:t>
      </w:r>
    </w:p>
    <w:p w14:paraId="2CC18D09">
      <w:pPr>
        <w:spacing w:line="420" w:lineRule="exact"/>
        <w:rPr>
          <w:rFonts w:hint="default" w:ascii="Times New Roman" w:hAnsi="Times New Roman" w:cs="Times New Roman"/>
          <w:color w:val="auto"/>
          <w:sz w:val="22"/>
          <w:szCs w:val="22"/>
          <w:highlight w:val="none"/>
        </w:rPr>
      </w:pPr>
    </w:p>
    <w:p w14:paraId="07C67292">
      <w:pPr>
        <w:numPr>
          <w:ilvl w:val="0"/>
          <w:numId w:val="32"/>
        </w:numPr>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提供施工所需的有关资料的时间：</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u w:val="single"/>
          <w:lang w:val="en-US" w:eastAsia="zh-CN"/>
        </w:rPr>
        <w:t xml:space="preserve">合同生效后的15天内 </w:t>
      </w:r>
      <w:r>
        <w:rPr>
          <w:rFonts w:hint="default" w:ascii="Times New Roman" w:hAnsi="Times New Roman" w:cs="Times New Roman"/>
          <w:color w:val="auto"/>
          <w:sz w:val="22"/>
          <w:szCs w:val="22"/>
          <w:highlight w:val="none"/>
          <w:u w:val="single"/>
        </w:rPr>
        <w:t xml:space="preserve">            </w:t>
      </w:r>
    </w:p>
    <w:p w14:paraId="01348666">
      <w:pPr>
        <w:spacing w:line="420" w:lineRule="exact"/>
        <w:rPr>
          <w:rFonts w:hint="default" w:ascii="Times New Roman" w:hAnsi="Times New Roman" w:cs="Times New Roman"/>
          <w:color w:val="auto"/>
          <w:sz w:val="22"/>
          <w:szCs w:val="22"/>
          <w:highlight w:val="none"/>
        </w:rPr>
      </w:pPr>
    </w:p>
    <w:p w14:paraId="1A05CC19">
      <w:pPr>
        <w:numPr>
          <w:ilvl w:val="0"/>
          <w:numId w:val="32"/>
        </w:numPr>
        <w:spacing w:line="420" w:lineRule="exact"/>
        <w:ind w:left="119" w:firstLine="0"/>
        <w:rPr>
          <w:rFonts w:hint="default" w:ascii="Times New Roman" w:hAnsi="Times New Roman" w:cs="Times New Roman"/>
          <w:color w:val="auto"/>
          <w:sz w:val="22"/>
          <w:szCs w:val="22"/>
          <w:highlight w:val="none"/>
          <w:u w:val="single"/>
        </w:rPr>
      </w:pPr>
      <w:r>
        <w:rPr>
          <w:rFonts w:hint="default" w:ascii="Times New Roman" w:hAnsi="Times New Roman" w:cs="Times New Roman"/>
          <w:color w:val="auto"/>
          <w:sz w:val="22"/>
          <w:szCs w:val="22"/>
          <w:highlight w:val="none"/>
        </w:rPr>
        <w:t>办理施工所需的有关证件和批准手续：</w:t>
      </w:r>
      <w:r>
        <w:rPr>
          <w:rFonts w:hint="default" w:ascii="Times New Roman" w:hAnsi="Times New Roman" w:cs="Times New Roman"/>
          <w:color w:val="auto"/>
          <w:sz w:val="22"/>
          <w:szCs w:val="22"/>
          <w:highlight w:val="none"/>
          <w:u w:val="single"/>
          <w:lang w:val="en-US" w:eastAsia="zh-CN"/>
        </w:rPr>
        <w:t>原则上在开工前完成所有证件和批准手续，允许分步分期完成；</w:t>
      </w:r>
      <w:r>
        <w:rPr>
          <w:rFonts w:hint="default" w:ascii="Times New Roman" w:hAnsi="Times New Roman" w:cs="Times New Roman"/>
          <w:color w:val="auto"/>
          <w:sz w:val="22"/>
          <w:szCs w:val="22"/>
          <w:highlight w:val="none"/>
          <w:u w:val="single"/>
        </w:rPr>
        <w:t>工程施工所需的办理有关行政许可手续和证件，由承包人协助发包人办理，如政府部门规定须由发包人支付的费用，由发包人据实支付外，其它费用已包含在承包人的投标报价中。</w:t>
      </w:r>
    </w:p>
    <w:p w14:paraId="45DC1617">
      <w:pPr>
        <w:spacing w:line="420" w:lineRule="exact"/>
        <w:rPr>
          <w:rFonts w:hint="default" w:ascii="Times New Roman" w:hAnsi="Times New Roman" w:cs="Times New Roman"/>
          <w:color w:val="auto"/>
          <w:sz w:val="22"/>
          <w:szCs w:val="22"/>
          <w:highlight w:val="none"/>
          <w:u w:val="single"/>
        </w:rPr>
      </w:pPr>
    </w:p>
    <w:p w14:paraId="14772488">
      <w:pPr>
        <w:numPr>
          <w:ilvl w:val="0"/>
          <w:numId w:val="32"/>
        </w:numPr>
        <w:spacing w:line="420" w:lineRule="exact"/>
        <w:rPr>
          <w:rFonts w:hint="default" w:ascii="Times New Roman" w:hAnsi="Times New Roman" w:cs="Times New Roman"/>
          <w:color w:val="auto"/>
          <w:sz w:val="22"/>
          <w:szCs w:val="22"/>
          <w:highlight w:val="none"/>
          <w:u w:val="single"/>
        </w:rPr>
      </w:pPr>
      <w:r>
        <w:rPr>
          <w:rFonts w:hint="default" w:ascii="Times New Roman" w:hAnsi="Times New Roman" w:cs="Times New Roman"/>
          <w:color w:val="auto"/>
          <w:sz w:val="22"/>
          <w:szCs w:val="22"/>
          <w:highlight w:val="none"/>
        </w:rPr>
        <w:t>现场交验的时间：</w:t>
      </w:r>
      <w:r>
        <w:rPr>
          <w:rFonts w:hint="default" w:ascii="Times New Roman" w:hAnsi="Times New Roman" w:cs="Times New Roman"/>
          <w:color w:val="auto"/>
          <w:sz w:val="22"/>
          <w:szCs w:val="22"/>
          <w:highlight w:val="none"/>
          <w:u w:val="single"/>
        </w:rPr>
        <w:t xml:space="preserve">       施工开工前三天。       </w:t>
      </w:r>
    </w:p>
    <w:p w14:paraId="664ACDA2">
      <w:pPr>
        <w:spacing w:line="420" w:lineRule="exact"/>
        <w:rPr>
          <w:rFonts w:hint="default" w:ascii="Times New Roman" w:hAnsi="Times New Roman" w:cs="Times New Roman"/>
          <w:color w:val="auto"/>
          <w:sz w:val="22"/>
          <w:szCs w:val="22"/>
          <w:highlight w:val="none"/>
        </w:rPr>
      </w:pPr>
    </w:p>
    <w:p w14:paraId="3988F664">
      <w:pPr>
        <w:numPr>
          <w:ilvl w:val="0"/>
          <w:numId w:val="32"/>
        </w:numPr>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提供标准与规范的时间：</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u w:val="single"/>
          <w:lang w:val="en-US" w:eastAsia="zh-CN"/>
        </w:rPr>
        <w:t xml:space="preserve">合同生效后的15天内 </w:t>
      </w:r>
      <w:r>
        <w:rPr>
          <w:rFonts w:hint="default" w:ascii="Times New Roman" w:hAnsi="Times New Roman" w:cs="Times New Roman"/>
          <w:color w:val="auto"/>
          <w:sz w:val="22"/>
          <w:szCs w:val="22"/>
          <w:highlight w:val="none"/>
          <w:u w:val="single"/>
        </w:rPr>
        <w:t xml:space="preserve">           </w:t>
      </w:r>
    </w:p>
    <w:p w14:paraId="47DFD6E5">
      <w:pPr>
        <w:spacing w:line="420" w:lineRule="exact"/>
        <w:rPr>
          <w:rFonts w:hint="default" w:ascii="Times New Roman" w:hAnsi="Times New Roman" w:cs="Times New Roman"/>
          <w:color w:val="auto"/>
          <w:sz w:val="22"/>
          <w:szCs w:val="22"/>
          <w:highlight w:val="none"/>
        </w:rPr>
      </w:pPr>
    </w:p>
    <w:p w14:paraId="76557C41">
      <w:pPr>
        <w:numPr>
          <w:ilvl w:val="0"/>
          <w:numId w:val="32"/>
        </w:numPr>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组织图纸会审和设计交底的时间：</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u w:val="single"/>
          <w:lang w:val="en-US" w:eastAsia="zh-CN"/>
        </w:rPr>
        <w:t xml:space="preserve">合同生效后的15天内 </w:t>
      </w:r>
      <w:r>
        <w:rPr>
          <w:rFonts w:hint="default" w:ascii="Times New Roman" w:hAnsi="Times New Roman" w:cs="Times New Roman"/>
          <w:color w:val="auto"/>
          <w:sz w:val="22"/>
          <w:szCs w:val="22"/>
          <w:highlight w:val="none"/>
          <w:u w:val="single"/>
        </w:rPr>
        <w:t xml:space="preserve">           </w:t>
      </w:r>
    </w:p>
    <w:p w14:paraId="50AFBC43">
      <w:pPr>
        <w:spacing w:line="420" w:lineRule="exact"/>
        <w:rPr>
          <w:rFonts w:hint="default" w:ascii="Times New Roman" w:hAnsi="Times New Roman" w:cs="Times New Roman"/>
          <w:color w:val="auto"/>
          <w:sz w:val="22"/>
          <w:szCs w:val="22"/>
          <w:highlight w:val="none"/>
        </w:rPr>
      </w:pPr>
    </w:p>
    <w:p w14:paraId="210103E5">
      <w:pPr>
        <w:numPr>
          <w:ilvl w:val="0"/>
          <w:numId w:val="32"/>
        </w:numPr>
        <w:spacing w:line="420" w:lineRule="exact"/>
        <w:ind w:left="119" w:firstLine="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协调处理施工周围场地系问题和邻近建筑物等保护工作的约定：</w:t>
      </w:r>
      <w:r>
        <w:rPr>
          <w:rFonts w:hint="default" w:ascii="Times New Roman" w:hAnsi="Times New Roman" w:cs="Times New Roman"/>
          <w:color w:val="auto"/>
          <w:sz w:val="22"/>
          <w:szCs w:val="22"/>
          <w:highlight w:val="none"/>
          <w:u w:val="single"/>
        </w:rPr>
        <w:t xml:space="preserve">协调和保护工作由承包人负责实施，发包人协助承包人做好上述保护工作的协调处理，因违规施工造成周边房屋和管线破坏的由承包人负责修复，因不可抗力或工程不可避免的自然客观因素导致周边房屋破坏的由承包人和发包人另行协商处理，周边管线破坏无条件由承包人负责修复。                       </w:t>
      </w:r>
      <w:r>
        <w:rPr>
          <w:rFonts w:hint="default" w:ascii="Times New Roman" w:hAnsi="Times New Roman" w:cs="Times New Roman"/>
          <w:color w:val="auto"/>
          <w:sz w:val="22"/>
          <w:szCs w:val="22"/>
          <w:highlight w:val="none"/>
        </w:rPr>
        <w:t xml:space="preserve">                </w:t>
      </w:r>
    </w:p>
    <w:p w14:paraId="349FCF63">
      <w:pPr>
        <w:spacing w:line="420" w:lineRule="exact"/>
        <w:rPr>
          <w:rFonts w:hint="default" w:ascii="Times New Roman" w:hAnsi="Times New Roman" w:cs="Times New Roman"/>
          <w:color w:val="auto"/>
          <w:sz w:val="22"/>
          <w:szCs w:val="22"/>
          <w:highlight w:val="none"/>
        </w:rPr>
      </w:pPr>
    </w:p>
    <w:p w14:paraId="66F348CC">
      <w:pPr>
        <w:numPr>
          <w:ilvl w:val="0"/>
          <w:numId w:val="32"/>
        </w:numPr>
        <w:spacing w:line="420" w:lineRule="exact"/>
        <w:ind w:left="119" w:leftChars="0" w:firstLine="0" w:firstLineChars="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委托承包人办理的工作有：</w:t>
      </w:r>
      <w:r>
        <w:rPr>
          <w:rFonts w:hint="default" w:ascii="Times New Roman" w:hAnsi="Times New Roman" w:cs="Times New Roman"/>
          <w:color w:val="auto"/>
          <w:sz w:val="22"/>
          <w:szCs w:val="22"/>
          <w:highlight w:val="none"/>
          <w:u w:val="single"/>
        </w:rPr>
        <w:t>除文物保护外，其它保护工作费用已包含在承包人的投标报价中。</w:t>
      </w:r>
      <w:r>
        <w:rPr>
          <w:rFonts w:hint="default" w:ascii="Times New Roman" w:hAnsi="Times New Roman" w:cs="Times New Roman"/>
          <w:color w:val="auto"/>
          <w:sz w:val="22"/>
          <w:szCs w:val="22"/>
          <w:highlight w:val="none"/>
        </w:rPr>
        <w:t xml:space="preserve">  </w:t>
      </w:r>
    </w:p>
    <w:p w14:paraId="151C3342">
      <w:pPr>
        <w:spacing w:line="420" w:lineRule="exact"/>
        <w:ind w:left="120"/>
        <w:rPr>
          <w:rFonts w:hint="default" w:ascii="Times New Roman" w:hAnsi="Times New Roman" w:cs="Times New Roman"/>
          <w:color w:val="auto"/>
          <w:sz w:val="22"/>
          <w:szCs w:val="22"/>
          <w:highlight w:val="none"/>
        </w:rPr>
      </w:pPr>
    </w:p>
    <w:p w14:paraId="1A0F5B5F">
      <w:pPr>
        <w:spacing w:line="420" w:lineRule="exact"/>
        <w:ind w:left="120"/>
        <w:rPr>
          <w:rFonts w:hint="default" w:ascii="Times New Roman" w:hAnsi="Times New Roman" w:cs="Times New Roman"/>
          <w:color w:val="auto"/>
          <w:sz w:val="22"/>
          <w:szCs w:val="22"/>
          <w:highlight w:val="none"/>
        </w:rPr>
      </w:pPr>
    </w:p>
    <w:p w14:paraId="24514AE2">
      <w:pPr>
        <w:spacing w:line="420" w:lineRule="exact"/>
        <w:ind w:left="120"/>
        <w:rPr>
          <w:rFonts w:hint="default" w:ascii="Times New Roman" w:hAnsi="Times New Roman" w:cs="Times New Roman"/>
          <w:color w:val="auto"/>
          <w:sz w:val="22"/>
          <w:szCs w:val="22"/>
          <w:highlight w:val="none"/>
          <w:u w:val="single"/>
        </w:rPr>
      </w:pPr>
      <w:r>
        <w:rPr>
          <w:rFonts w:hint="default" w:ascii="Times New Roman" w:hAnsi="Times New Roman" w:cs="Times New Roman"/>
          <w:color w:val="auto"/>
          <w:sz w:val="22"/>
          <w:szCs w:val="22"/>
          <w:highlight w:val="none"/>
        </w:rPr>
        <w:t>19.3 提供施工场地的时间：</w:t>
      </w:r>
      <w:r>
        <w:rPr>
          <w:rFonts w:hint="default" w:ascii="Times New Roman" w:hAnsi="Times New Roman" w:cs="Times New Roman"/>
          <w:color w:val="auto"/>
          <w:sz w:val="22"/>
          <w:szCs w:val="22"/>
          <w:highlight w:val="none"/>
          <w:u w:val="single"/>
        </w:rPr>
        <w:t>施工开工前三天。</w:t>
      </w:r>
    </w:p>
    <w:p w14:paraId="3C2338D4">
      <w:pPr>
        <w:spacing w:line="420" w:lineRule="exact"/>
        <w:ind w:left="120"/>
        <w:rPr>
          <w:rFonts w:hint="default" w:ascii="Times New Roman" w:hAnsi="Times New Roman" w:cs="Times New Roman"/>
          <w:color w:val="auto"/>
          <w:sz w:val="22"/>
          <w:szCs w:val="22"/>
          <w:highlight w:val="none"/>
          <w:u w:val="single"/>
        </w:rPr>
      </w:pPr>
    </w:p>
    <w:p w14:paraId="680FC42A">
      <w:pPr>
        <w:spacing w:line="420" w:lineRule="exact"/>
        <w:ind w:left="12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19.4 支付款项</w:t>
      </w:r>
    </w:p>
    <w:p w14:paraId="5CFAC1BA">
      <w:pPr>
        <w:spacing w:line="420" w:lineRule="exact"/>
        <w:ind w:left="12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（1） 工程款支付期限</w:t>
      </w:r>
    </w:p>
    <w:p w14:paraId="326AF993">
      <w:pPr>
        <w:spacing w:line="420" w:lineRule="exact"/>
        <w:ind w:firstLine="220" w:firstLineChars="10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按通用条款第80.3款、第81.3款、第83.3款等规定期限支付。</w:t>
      </w:r>
    </w:p>
    <w:p w14:paraId="4D6AC28C">
      <w:pPr>
        <w:spacing w:line="420" w:lineRule="exact"/>
        <w:ind w:firstLine="220" w:firstLineChars="100"/>
        <w:rPr>
          <w:rFonts w:hint="default" w:ascii="Times New Roman" w:hAnsi="Times New Roman" w:cs="Times New Roman"/>
          <w:color w:val="auto"/>
          <w:kern w:val="0"/>
          <w:sz w:val="22"/>
          <w:szCs w:val="22"/>
          <w:highlight w:val="none"/>
          <w:u w:val="single"/>
        </w:rPr>
      </w:pPr>
      <w:r>
        <w:rPr>
          <w:rFonts w:hint="default" w:ascii="Times New Roman" w:hAnsi="Times New Roman" w:cs="Times New Roman"/>
          <w:color w:val="auto"/>
          <w:kern w:val="0"/>
          <w:sz w:val="22"/>
          <w:szCs w:val="22"/>
          <w:highlight w:val="none"/>
          <w:lang w:val="en-US" w:eastAsia="zh-CN" w:bidi="ar"/>
        </w:rPr>
        <w:t>☑</w:t>
      </w:r>
      <w:r>
        <w:rPr>
          <w:rFonts w:hint="default" w:ascii="Times New Roman" w:hAnsi="Times New Roman" w:eastAsia="宋体" w:cs="Times New Roman"/>
          <w:color w:val="auto"/>
          <w:kern w:val="0"/>
          <w:sz w:val="22"/>
          <w:szCs w:val="22"/>
          <w:highlight w:val="none"/>
          <w:lang w:val="en-US" w:eastAsia="zh-CN" w:bidi="ar"/>
        </w:rPr>
        <w:t xml:space="preserve"> </w:t>
      </w:r>
      <w:r>
        <w:rPr>
          <w:rFonts w:hint="default" w:ascii="Times New Roman" w:hAnsi="Times New Roman" w:cs="Times New Roman"/>
          <w:color w:val="auto"/>
          <w:kern w:val="0"/>
          <w:sz w:val="22"/>
          <w:szCs w:val="22"/>
          <w:highlight w:val="none"/>
        </w:rPr>
        <w:t>另作约定：</w:t>
      </w:r>
      <w:r>
        <w:rPr>
          <w:rFonts w:hint="default" w:ascii="Times New Roman" w:hAnsi="Times New Roman" w:cs="Times New Roman"/>
          <w:color w:val="auto"/>
          <w:kern w:val="0"/>
          <w:sz w:val="22"/>
          <w:szCs w:val="22"/>
          <w:highlight w:val="none"/>
          <w:u w:val="single"/>
        </w:rPr>
        <w:t>详见专用条款 81.1款。</w:t>
      </w:r>
    </w:p>
    <w:p w14:paraId="0D492CE3">
      <w:pPr>
        <w:spacing w:line="420" w:lineRule="exact"/>
        <w:ind w:firstLine="330" w:firstLineChars="150"/>
        <w:rPr>
          <w:rFonts w:hint="default" w:ascii="Times New Roman" w:hAnsi="Times New Roman" w:cs="Times New Roman"/>
          <w:color w:val="auto"/>
          <w:kern w:val="0"/>
          <w:sz w:val="22"/>
          <w:szCs w:val="22"/>
          <w:highlight w:val="none"/>
        </w:rPr>
      </w:pPr>
    </w:p>
    <w:p w14:paraId="2A4A5996">
      <w:pPr>
        <w:spacing w:line="420" w:lineRule="exact"/>
        <w:ind w:firstLine="330" w:firstLineChars="150"/>
        <w:jc w:val="center"/>
        <w:rPr>
          <w:rFonts w:hint="default" w:ascii="Times New Roman" w:hAnsi="Times New Roman" w:cs="Times New Roman"/>
          <w:color w:val="auto"/>
          <w:kern w:val="0"/>
          <w:sz w:val="22"/>
          <w:szCs w:val="22"/>
          <w:highlight w:val="none"/>
        </w:rPr>
      </w:pPr>
    </w:p>
    <w:p w14:paraId="5AE0BF8B">
      <w:pPr>
        <w:spacing w:line="420" w:lineRule="exact"/>
        <w:ind w:firstLine="110" w:firstLineChars="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（2） 工程款支付方式</w:t>
      </w:r>
    </w:p>
    <w:p w14:paraId="31806F00">
      <w:pPr>
        <w:spacing w:line="420" w:lineRule="exact"/>
        <w:ind w:firstLine="220" w:firstLineChars="10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lang w:val="en-US" w:eastAsia="zh-CN" w:bidi="ar"/>
        </w:rPr>
        <w:t>☑</w:t>
      </w:r>
      <w:r>
        <w:rPr>
          <w:rFonts w:hint="default" w:ascii="Times New Roman" w:hAnsi="Times New Roman" w:eastAsia="宋体" w:cs="Times New Roman"/>
          <w:color w:val="auto"/>
          <w:kern w:val="0"/>
          <w:sz w:val="22"/>
          <w:szCs w:val="22"/>
          <w:highlight w:val="none"/>
          <w:lang w:val="en-US" w:eastAsia="zh-CN" w:bidi="ar"/>
        </w:rPr>
        <w:t xml:space="preserve"> </w:t>
      </w:r>
      <w:r>
        <w:rPr>
          <w:rFonts w:hint="default" w:ascii="Times New Roman" w:hAnsi="Times New Roman" w:cs="Times New Roman"/>
          <w:color w:val="auto"/>
          <w:kern w:val="0"/>
          <w:sz w:val="22"/>
          <w:szCs w:val="22"/>
          <w:highlight w:val="none"/>
        </w:rPr>
        <w:t>按协议书所注明的银行账户转账。</w:t>
      </w:r>
    </w:p>
    <w:p w14:paraId="306A5321">
      <w:pPr>
        <w:spacing w:line="420" w:lineRule="exact"/>
        <w:ind w:firstLine="220" w:firstLineChars="10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支票支付。</w:t>
      </w:r>
    </w:p>
    <w:p w14:paraId="1762A210">
      <w:pPr>
        <w:spacing w:line="420" w:lineRule="exact"/>
        <w:ind w:firstLine="220" w:firstLineChars="10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其他方式：</w:t>
      </w:r>
      <w:r>
        <w:rPr>
          <w:rFonts w:hint="default" w:ascii="Times New Roman" w:hAnsi="Times New Roman" w:cs="Times New Roman"/>
          <w:color w:val="auto"/>
          <w:kern w:val="0"/>
          <w:sz w:val="22"/>
          <w:szCs w:val="22"/>
          <w:highlight w:val="none"/>
          <w:u w:val="single"/>
        </w:rPr>
        <w:t xml:space="preserve">                                /                                           </w:t>
      </w:r>
      <w:r>
        <w:rPr>
          <w:rFonts w:hint="default" w:ascii="Times New Roman" w:hAnsi="Times New Roman" w:cs="Times New Roman"/>
          <w:color w:val="auto"/>
          <w:kern w:val="0"/>
          <w:sz w:val="22"/>
          <w:szCs w:val="22"/>
          <w:highlight w:val="none"/>
        </w:rPr>
        <w:t xml:space="preserve">            </w:t>
      </w:r>
    </w:p>
    <w:p w14:paraId="0BF8AA74">
      <w:pPr>
        <w:spacing w:line="420" w:lineRule="exact"/>
        <w:rPr>
          <w:rFonts w:hint="default" w:ascii="Times New Roman" w:hAnsi="Times New Roman" w:cs="Times New Roman"/>
          <w:color w:val="auto"/>
          <w:kern w:val="0"/>
          <w:sz w:val="22"/>
          <w:szCs w:val="22"/>
          <w:highlight w:val="none"/>
        </w:rPr>
      </w:pPr>
    </w:p>
    <w:p w14:paraId="3A45D53B">
      <w:pPr>
        <w:pStyle w:val="4"/>
        <w:numPr>
          <w:ilvl w:val="0"/>
          <w:numId w:val="0"/>
        </w:numPr>
        <w:tabs>
          <w:tab w:val="left" w:pos="360"/>
          <w:tab w:val="left" w:pos="420"/>
          <w:tab w:val="left" w:pos="576"/>
        </w:tabs>
        <w:spacing w:line="420" w:lineRule="exact"/>
        <w:rPr>
          <w:rFonts w:hint="default" w:ascii="Times New Roman" w:hAnsi="Times New Roman" w:cs="Times New Roman"/>
          <w:b/>
          <w:bCs/>
          <w:color w:val="auto"/>
          <w:sz w:val="22"/>
          <w:szCs w:val="22"/>
          <w:highlight w:val="none"/>
        </w:rPr>
      </w:pPr>
      <w:bookmarkStart w:id="337" w:name="_Toc1161"/>
      <w:bookmarkStart w:id="338" w:name="_Toc469384091"/>
      <w:bookmarkStart w:id="339" w:name="_Toc2118212857"/>
      <w:r>
        <w:rPr>
          <w:rFonts w:hint="default" w:ascii="Times New Roman" w:hAnsi="Times New Roman" w:cs="Times New Roman"/>
          <w:b/>
          <w:bCs/>
          <w:color w:val="auto"/>
          <w:sz w:val="22"/>
          <w:szCs w:val="22"/>
          <w:highlight w:val="none"/>
        </w:rPr>
        <w:t>20. 承包人</w:t>
      </w:r>
      <w:bookmarkEnd w:id="337"/>
      <w:bookmarkEnd w:id="338"/>
      <w:bookmarkEnd w:id="339"/>
    </w:p>
    <w:p w14:paraId="13EADDB6">
      <w:pPr>
        <w:spacing w:line="420" w:lineRule="exact"/>
        <w:rPr>
          <w:rFonts w:hint="default" w:ascii="Times New Roman" w:hAnsi="Times New Roman" w:cs="Times New Roman"/>
          <w:b/>
          <w:bCs/>
          <w:color w:val="auto"/>
          <w:kern w:val="0"/>
          <w:sz w:val="22"/>
          <w:szCs w:val="22"/>
          <w:highlight w:val="none"/>
        </w:rPr>
      </w:pPr>
    </w:p>
    <w:p w14:paraId="59197336">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20.1 遵守法律</w:t>
      </w:r>
    </w:p>
    <w:p w14:paraId="67134DFA">
      <w:pPr>
        <w:spacing w:line="420" w:lineRule="exact"/>
        <w:rPr>
          <w:rFonts w:hint="default" w:ascii="Times New Roman" w:hAnsi="Times New Roman" w:cs="Times New Roman"/>
          <w:b/>
          <w:bCs/>
          <w:color w:val="auto"/>
          <w:kern w:val="0"/>
          <w:sz w:val="22"/>
          <w:szCs w:val="22"/>
          <w:highlight w:val="none"/>
        </w:rPr>
      </w:pPr>
    </w:p>
    <w:p w14:paraId="21F7CDE5">
      <w:pPr>
        <w:spacing w:line="420" w:lineRule="exact"/>
        <w:rPr>
          <w:rFonts w:hint="default" w:ascii="Times New Roman" w:hAnsi="Times New Roman" w:cs="Times New Roman"/>
          <w:color w:val="auto"/>
          <w:kern w:val="0"/>
          <w:sz w:val="22"/>
          <w:szCs w:val="22"/>
          <w:highlight w:val="none"/>
          <w:u w:val="single"/>
        </w:rPr>
      </w:pPr>
      <w:r>
        <w:rPr>
          <w:rFonts w:hint="default" w:ascii="Times New Roman" w:hAnsi="Times New Roman" w:cs="Times New Roman"/>
          <w:color w:val="auto"/>
          <w:kern w:val="0"/>
          <w:sz w:val="22"/>
          <w:szCs w:val="22"/>
          <w:highlight w:val="none"/>
        </w:rPr>
        <w:t>承包人在本项目发包人的工程项目中存在通用条款20.1所列行为的，将被拒绝参与发包人后续工程投标。拒绝投标时限：</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u w:val="single"/>
          <w:lang w:eastAsia="zh-CN"/>
        </w:rPr>
        <w:t>一年</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rPr>
        <w:t xml:space="preserve"> 。</w:t>
      </w:r>
    </w:p>
    <w:p w14:paraId="3B9A26DE">
      <w:pPr>
        <w:spacing w:line="420" w:lineRule="exact"/>
        <w:rPr>
          <w:rFonts w:hint="default" w:ascii="Times New Roman" w:hAnsi="Times New Roman" w:cs="Times New Roman"/>
          <w:b/>
          <w:bCs/>
          <w:color w:val="auto"/>
          <w:kern w:val="0"/>
          <w:sz w:val="22"/>
          <w:szCs w:val="22"/>
          <w:highlight w:val="none"/>
        </w:rPr>
      </w:pPr>
    </w:p>
    <w:p w14:paraId="54CC922B">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20.2 承包人完成下列工作的约定</w:t>
      </w:r>
    </w:p>
    <w:p w14:paraId="4CE95A46">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w:t>
      </w:r>
    </w:p>
    <w:p w14:paraId="71A3FFA6">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（3） 提交支付申请和工程款额报告期限</w:t>
      </w:r>
    </w:p>
    <w:p w14:paraId="7BD9A0DB">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w:t>
      </w:r>
      <w:r>
        <w:rPr>
          <w:rFonts w:hint="default" w:ascii="Times New Roman" w:hAnsi="Times New Roman" w:cs="Times New Roman"/>
          <w:color w:val="auto"/>
          <w:kern w:val="0"/>
          <w:sz w:val="22"/>
          <w:szCs w:val="22"/>
          <w:highlight w:val="none"/>
          <w:lang w:val="en-US" w:eastAsia="zh-CN" w:bidi="ar"/>
        </w:rPr>
        <w:t>☑</w:t>
      </w:r>
      <w:r>
        <w:rPr>
          <w:rFonts w:hint="default" w:ascii="Times New Roman" w:hAnsi="Times New Roman" w:cs="Times New Roman"/>
          <w:color w:val="auto"/>
          <w:kern w:val="0"/>
          <w:sz w:val="22"/>
          <w:szCs w:val="22"/>
          <w:highlight w:val="none"/>
        </w:rPr>
        <w:t xml:space="preserve"> 按通用条款第80.2款、第81.1款、第83.1款等规定期限提交。</w:t>
      </w:r>
    </w:p>
    <w:p w14:paraId="2BFA9452">
      <w:pPr>
        <w:spacing w:line="420" w:lineRule="exact"/>
        <w:rPr>
          <w:rFonts w:hint="default" w:ascii="Times New Roman" w:hAnsi="Times New Roman" w:cs="Times New Roman"/>
          <w:color w:val="auto"/>
          <w:kern w:val="0"/>
          <w:sz w:val="22"/>
          <w:szCs w:val="22"/>
          <w:highlight w:val="none"/>
          <w:u w:val="single"/>
        </w:rPr>
      </w:pPr>
      <w:r>
        <w:rPr>
          <w:rFonts w:hint="default" w:ascii="Times New Roman" w:hAnsi="Times New Roman" w:cs="Times New Roman"/>
          <w:color w:val="auto"/>
          <w:kern w:val="0"/>
          <w:sz w:val="22"/>
          <w:szCs w:val="22"/>
          <w:highlight w:val="none"/>
        </w:rPr>
        <w:t xml:space="preserve">  □ 另作约定：</w:t>
      </w:r>
      <w:r>
        <w:rPr>
          <w:rFonts w:hint="default" w:ascii="Times New Roman" w:hAnsi="Times New Roman" w:cs="Times New Roman"/>
          <w:color w:val="auto"/>
          <w:kern w:val="0"/>
          <w:sz w:val="22"/>
          <w:szCs w:val="22"/>
          <w:highlight w:val="none"/>
          <w:u w:val="single"/>
        </w:rPr>
        <w:t xml:space="preserve">                                  /                                            </w:t>
      </w:r>
    </w:p>
    <w:p w14:paraId="4B326D89">
      <w:pPr>
        <w:spacing w:line="420" w:lineRule="exact"/>
        <w:rPr>
          <w:rFonts w:hint="default" w:ascii="Times New Roman" w:hAnsi="Times New Roman" w:cs="Times New Roman"/>
          <w:color w:val="auto"/>
          <w:kern w:val="0"/>
          <w:sz w:val="22"/>
          <w:szCs w:val="22"/>
          <w:highlight w:val="none"/>
          <w:u w:val="single"/>
        </w:rPr>
      </w:pPr>
    </w:p>
    <w:p w14:paraId="2F503CFF">
      <w:pPr>
        <w:spacing w:line="360" w:lineRule="auto"/>
        <w:ind w:firstLine="440" w:firstLineChars="20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w:t>
      </w:r>
      <w:r>
        <w:rPr>
          <w:rFonts w:hint="default" w:ascii="Times New Roman" w:hAnsi="Times New Roman" w:cs="Times New Roman"/>
          <w:color w:val="auto"/>
          <w:kern w:val="0"/>
          <w:sz w:val="22"/>
          <w:szCs w:val="22"/>
          <w:highlight w:val="none"/>
          <w:lang w:val="en-US" w:eastAsia="zh-CN"/>
        </w:rPr>
        <w:t>4</w:t>
      </w:r>
      <w:r>
        <w:rPr>
          <w:rFonts w:hint="default" w:ascii="Times New Roman" w:hAnsi="Times New Roman" w:cs="Times New Roman"/>
          <w:color w:val="auto"/>
          <w:kern w:val="0"/>
          <w:sz w:val="22"/>
          <w:szCs w:val="22"/>
          <w:highlight w:val="none"/>
        </w:rPr>
        <w:t>）负责施工场地安全保卫工作，防止因工程施工造成的人身伤害和财产损失，提供和维修夜间施工使用的照明、围栏设施等安全标志：承包人应负责现场全部作业的安全，在合同工程施工、完工及修补缺陷的整个工程期限内：</w:t>
      </w:r>
      <w:r>
        <w:rPr>
          <w:rFonts w:hint="default" w:ascii="Times New Roman" w:hAnsi="Times New Roman" w:cs="Times New Roman"/>
          <w:color w:val="auto"/>
          <w:sz w:val="22"/>
          <w:szCs w:val="22"/>
          <w:highlight w:val="none"/>
          <w:u w:val="single"/>
        </w:rPr>
        <w:t>全面负责所有留在现场上的人员的安全，保护其管辖范围的现场（包括尚未完工的和发包人尚未接管的工程）处于有条不紊和良好的状态。根据工程师或当地政府要求，在需要的时间和地点，提供和维持所有的照明灯光、护板、围墙、栅栏、警告信号标志和值班人员，对工程进行保护和为公众提供安全和方便，施工围蔽按广州市住房和城乡建设局等9部门关于印发广州市建设工程绿色施工围蔽指导图集</w:t>
      </w:r>
      <w:r>
        <w:rPr>
          <w:rFonts w:hint="default" w:ascii="Times New Roman" w:hAnsi="Times New Roman" w:cs="Times New Roman"/>
          <w:color w:val="auto"/>
          <w:sz w:val="22"/>
          <w:szCs w:val="22"/>
          <w:highlight w:val="none"/>
          <w:u w:val="single"/>
          <w:lang w:eastAsia="zh-CN"/>
        </w:rPr>
        <w:t>（</w:t>
      </w:r>
      <w:r>
        <w:rPr>
          <w:rFonts w:hint="default" w:ascii="Times New Roman" w:hAnsi="Times New Roman" w:cs="Times New Roman"/>
          <w:color w:val="auto"/>
          <w:sz w:val="22"/>
          <w:szCs w:val="22"/>
          <w:highlight w:val="none"/>
          <w:u w:val="single"/>
        </w:rPr>
        <w:t>V2.0版</w:t>
      </w:r>
      <w:r>
        <w:rPr>
          <w:rFonts w:hint="default" w:ascii="Times New Roman" w:hAnsi="Times New Roman" w:cs="Times New Roman"/>
          <w:color w:val="auto"/>
          <w:sz w:val="22"/>
          <w:szCs w:val="22"/>
          <w:highlight w:val="none"/>
          <w:u w:val="single"/>
          <w:lang w:eastAsia="zh-CN"/>
        </w:rPr>
        <w:t>）</w:t>
      </w:r>
      <w:r>
        <w:rPr>
          <w:rFonts w:hint="default" w:ascii="Times New Roman" w:hAnsi="Times New Roman" w:cs="Times New Roman"/>
          <w:color w:val="auto"/>
          <w:sz w:val="22"/>
          <w:szCs w:val="22"/>
          <w:highlight w:val="none"/>
          <w:u w:val="single"/>
        </w:rPr>
        <w:t>的通知、《广州市城乡委员会关于印发进一步提升建设工程施工围蔽水平的工作方案的函》（穗建质函[2014]3205号）及2012年1月5日广州市人民政府令第62号广州市建设工程文明施工管理规定要求执行。遵守和执行防火、安全文明施工和夜间施工规定。承包人应保证施工期间行人、车辆等的通行，不能进行全封闭施工。施工临时占用人行道等设施，由承包人办理有关手续，发包人协助，所需费用由承包人负责。同时承包人有责任协助公安、交通等部门维护所在现场地段的交通与人流，既保证施工安全，也保护车辆和行人的畅通和安全。承包人负责申请与办理路灯及交通工程永久用电接驳相关手续。承包人应在投标报价中考虑有关费用，并保证发包人免于受到或承担应由承包人负责的上述事项所引起的或与之有关的索赔、诉讼以及其它开支。</w:t>
      </w:r>
    </w:p>
    <w:p w14:paraId="7117A997">
      <w:pPr>
        <w:spacing w:line="360" w:lineRule="auto"/>
        <w:ind w:firstLine="440" w:firstLineChars="200"/>
        <w:rPr>
          <w:rFonts w:hint="default" w:ascii="Times New Roman" w:hAnsi="Times New Roman" w:cs="Times New Roman"/>
          <w:color w:val="auto"/>
          <w:kern w:val="0"/>
          <w:sz w:val="22"/>
          <w:szCs w:val="22"/>
          <w:highlight w:val="none"/>
          <w:u w:val="single"/>
        </w:rPr>
      </w:pPr>
      <w:r>
        <w:rPr>
          <w:rFonts w:hint="default" w:ascii="Times New Roman" w:hAnsi="Times New Roman" w:cs="Times New Roman"/>
          <w:color w:val="auto"/>
          <w:kern w:val="0"/>
          <w:sz w:val="22"/>
          <w:szCs w:val="22"/>
          <w:highlight w:val="none"/>
        </w:rPr>
        <w:t>（</w:t>
      </w:r>
      <w:r>
        <w:rPr>
          <w:rFonts w:hint="default" w:ascii="Times New Roman" w:hAnsi="Times New Roman" w:cs="Times New Roman"/>
          <w:color w:val="auto"/>
          <w:kern w:val="0"/>
          <w:sz w:val="22"/>
          <w:szCs w:val="22"/>
          <w:highlight w:val="none"/>
          <w:lang w:val="en-US" w:eastAsia="zh-CN"/>
        </w:rPr>
        <w:t>5</w:t>
      </w:r>
      <w:r>
        <w:rPr>
          <w:rFonts w:hint="default" w:ascii="Times New Roman" w:hAnsi="Times New Roman" w:cs="Times New Roman"/>
          <w:color w:val="auto"/>
          <w:kern w:val="0"/>
          <w:sz w:val="22"/>
          <w:szCs w:val="22"/>
          <w:highlight w:val="none"/>
        </w:rPr>
        <w:t>）向发包人提供施工场地办公和生活的房屋及设施的数量和时间等要求：</w:t>
      </w:r>
      <w:r>
        <w:rPr>
          <w:rFonts w:hint="default" w:ascii="Times New Roman" w:hAnsi="Times New Roman" w:cs="Times New Roman"/>
          <w:color w:val="auto"/>
          <w:kern w:val="0"/>
          <w:sz w:val="22"/>
          <w:szCs w:val="22"/>
          <w:highlight w:val="none"/>
          <w:u w:val="single"/>
        </w:rPr>
        <w:t xml:space="preserve">  /   </w:t>
      </w:r>
    </w:p>
    <w:p w14:paraId="30E23AF0">
      <w:pPr>
        <w:spacing w:line="360" w:lineRule="auto"/>
        <w:ind w:firstLine="440" w:firstLineChars="200"/>
        <w:rPr>
          <w:rFonts w:hint="default" w:ascii="Times New Roman" w:hAnsi="Times New Roman" w:cs="Times New Roman"/>
          <w:color w:val="auto"/>
          <w:sz w:val="22"/>
          <w:szCs w:val="22"/>
          <w:highlight w:val="none"/>
          <w:u w:val="single"/>
        </w:rPr>
      </w:pPr>
      <w:r>
        <w:rPr>
          <w:rFonts w:hint="default" w:ascii="Times New Roman" w:hAnsi="Times New Roman" w:cs="Times New Roman"/>
          <w:color w:val="auto"/>
          <w:kern w:val="0"/>
          <w:sz w:val="22"/>
          <w:szCs w:val="22"/>
          <w:highlight w:val="none"/>
        </w:rPr>
        <w:t>（</w:t>
      </w:r>
      <w:r>
        <w:rPr>
          <w:rFonts w:hint="default" w:ascii="Times New Roman" w:hAnsi="Times New Roman" w:cs="Times New Roman"/>
          <w:color w:val="auto"/>
          <w:kern w:val="0"/>
          <w:sz w:val="22"/>
          <w:szCs w:val="22"/>
          <w:highlight w:val="none"/>
          <w:lang w:val="en-US" w:eastAsia="zh-CN"/>
        </w:rPr>
        <w:t>6</w:t>
      </w:r>
      <w:r>
        <w:rPr>
          <w:rFonts w:hint="default" w:ascii="Times New Roman" w:hAnsi="Times New Roman" w:cs="Times New Roman"/>
          <w:color w:val="auto"/>
          <w:kern w:val="0"/>
          <w:sz w:val="22"/>
          <w:szCs w:val="22"/>
          <w:highlight w:val="none"/>
        </w:rPr>
        <w:t>）办完施工场地交通、环境保护、施工噪声、安全文明施工等手续的时间：</w:t>
      </w:r>
      <w:r>
        <w:rPr>
          <w:rFonts w:hint="default" w:ascii="Times New Roman" w:hAnsi="Times New Roman" w:cs="Times New Roman"/>
          <w:color w:val="auto"/>
          <w:sz w:val="22"/>
          <w:szCs w:val="22"/>
          <w:highlight w:val="none"/>
          <w:u w:val="single"/>
          <w:lang w:val="en-US" w:eastAsia="zh-CN"/>
        </w:rPr>
        <w:t>开工前的15天前，可按施工计划分期分部完成，其中承包人要根据水务、城管执法等部门要求，会同发包人落实泥渣土（土方、石方、淤泥）场外运输与排放有关要求，办理广州市建筑废弃物处置证（排放）并根据施工计划及时延期，规范建筑废弃物运输管理，按照市、区建筑废弃物运输电子联单管理要求做好电子联单信息录入等台账资料整理工作。</w:t>
      </w:r>
      <w:r>
        <w:rPr>
          <w:rFonts w:hint="default" w:ascii="Times New Roman" w:hAnsi="Times New Roman" w:cs="Times New Roman"/>
          <w:color w:val="auto"/>
          <w:sz w:val="22"/>
          <w:szCs w:val="22"/>
          <w:highlight w:val="none"/>
          <w:u w:val="single"/>
        </w:rPr>
        <w:t>承包人应当承担其出入现场所需要的专用或临时道路通行权，养路费等一切费用和税费，办理相关手续。承包人还应自费提供其所需要的工地以外的供工程使用的任何附加设施。退场前，对由于承包人自身原因引起的道路、建筑等设施的损坏自费恢复原状。在合同工程施工期间，根据政府有关环境保护的规定，承包人应采取所有合理的措施来保护现场内外的环境，并避免由于其操作方法所造成的污染、噪声或其它问题而对附近的人员或公私财产造成的干扰、损失或损害。承包人应在投标报价中考虑有关费用，并保证发包人免于受到或承担应由承包人负责的上述事项所引起的或与之有关的索赔、诉讼以及其它开支。</w:t>
      </w:r>
    </w:p>
    <w:p w14:paraId="074B197B">
      <w:pPr>
        <w:spacing w:line="360" w:lineRule="auto"/>
        <w:ind w:firstLine="440" w:firstLineChars="200"/>
        <w:rPr>
          <w:rFonts w:hint="default" w:ascii="Times New Roman" w:hAnsi="Times New Roman" w:cs="Times New Roman"/>
          <w:color w:val="auto"/>
          <w:sz w:val="22"/>
          <w:szCs w:val="22"/>
          <w:highlight w:val="none"/>
          <w:u w:val="single"/>
        </w:rPr>
      </w:pPr>
      <w:r>
        <w:rPr>
          <w:rFonts w:hint="default" w:ascii="Times New Roman" w:hAnsi="Times New Roman" w:cs="Times New Roman"/>
          <w:color w:val="auto"/>
          <w:sz w:val="22"/>
          <w:szCs w:val="22"/>
          <w:highlight w:val="none"/>
        </w:rPr>
        <w:t>（</w:t>
      </w:r>
      <w:r>
        <w:rPr>
          <w:rFonts w:hint="default" w:ascii="Times New Roman" w:hAnsi="Times New Roman" w:cs="Times New Roman"/>
          <w:color w:val="auto"/>
          <w:sz w:val="22"/>
          <w:szCs w:val="22"/>
          <w:highlight w:val="none"/>
          <w:lang w:val="en-US" w:eastAsia="zh-CN"/>
        </w:rPr>
        <w:t>7</w:t>
      </w:r>
      <w:r>
        <w:rPr>
          <w:rFonts w:hint="default" w:ascii="Times New Roman" w:hAnsi="Times New Roman" w:cs="Times New Roman"/>
          <w:color w:val="auto"/>
          <w:sz w:val="22"/>
          <w:szCs w:val="22"/>
          <w:highlight w:val="none"/>
        </w:rPr>
        <w:t>）已完工程成品保护的特殊要求及费用承担：</w:t>
      </w:r>
      <w:r>
        <w:rPr>
          <w:rFonts w:hint="default" w:ascii="Times New Roman" w:hAnsi="Times New Roman" w:cs="Times New Roman"/>
          <w:color w:val="auto"/>
          <w:sz w:val="22"/>
          <w:szCs w:val="22"/>
          <w:highlight w:val="none"/>
          <w:u w:val="single"/>
        </w:rPr>
        <w:t>承包人对工程使用的成品、半成品材料（尤其是雕塑等高标准手工艺材料）及设备负全面保护责任，直至工程交付发包人使用。成品、半成品材料及设备运抵施工现场后，承包人须负起以下包含但不限于以下责任：</w:t>
      </w:r>
    </w:p>
    <w:p w14:paraId="4D9270E1">
      <w:pPr>
        <w:spacing w:line="360" w:lineRule="auto"/>
        <w:ind w:firstLine="440" w:firstLineChars="200"/>
        <w:rPr>
          <w:rFonts w:hint="default" w:ascii="Times New Roman" w:hAnsi="Times New Roman" w:cs="Times New Roman"/>
          <w:color w:val="auto"/>
          <w:sz w:val="22"/>
          <w:szCs w:val="22"/>
          <w:highlight w:val="none"/>
          <w:u w:val="single"/>
        </w:rPr>
      </w:pPr>
      <w:r>
        <w:rPr>
          <w:rFonts w:hint="default" w:ascii="Times New Roman" w:hAnsi="Times New Roman" w:cs="Times New Roman"/>
          <w:color w:val="auto"/>
          <w:sz w:val="22"/>
          <w:szCs w:val="22"/>
          <w:highlight w:val="none"/>
          <w:u w:val="single"/>
        </w:rPr>
        <w:t>a.制定专项保护方案，组织保护人员架构和制定成品、半成品材料及设备制度</w:t>
      </w:r>
    </w:p>
    <w:p w14:paraId="0A02192D">
      <w:pPr>
        <w:spacing w:line="360" w:lineRule="auto"/>
        <w:ind w:firstLine="440" w:firstLineChars="200"/>
        <w:rPr>
          <w:rFonts w:hint="default" w:ascii="Times New Roman" w:hAnsi="Times New Roman" w:cs="Times New Roman"/>
          <w:color w:val="auto"/>
          <w:sz w:val="22"/>
          <w:szCs w:val="22"/>
          <w:highlight w:val="none"/>
          <w:u w:val="single"/>
        </w:rPr>
      </w:pPr>
      <w:r>
        <w:rPr>
          <w:rFonts w:hint="default" w:ascii="Times New Roman" w:hAnsi="Times New Roman" w:cs="Times New Roman"/>
          <w:color w:val="auto"/>
          <w:sz w:val="22"/>
          <w:szCs w:val="22"/>
          <w:highlight w:val="none"/>
          <w:u w:val="single"/>
        </w:rPr>
        <w:t>b.对成品、半成品材料及设备外观进行检查，安排指定的装卸位置</w:t>
      </w:r>
    </w:p>
    <w:p w14:paraId="505D9E01">
      <w:pPr>
        <w:spacing w:line="360" w:lineRule="auto"/>
        <w:ind w:firstLine="440" w:firstLineChars="200"/>
        <w:rPr>
          <w:rFonts w:hint="default" w:ascii="Times New Roman" w:hAnsi="Times New Roman" w:cs="Times New Roman"/>
          <w:color w:val="auto"/>
          <w:sz w:val="22"/>
          <w:szCs w:val="22"/>
          <w:highlight w:val="none"/>
          <w:u w:val="single"/>
        </w:rPr>
      </w:pPr>
      <w:r>
        <w:rPr>
          <w:rFonts w:hint="default" w:ascii="Times New Roman" w:hAnsi="Times New Roman" w:cs="Times New Roman"/>
          <w:color w:val="auto"/>
          <w:sz w:val="22"/>
          <w:szCs w:val="22"/>
          <w:highlight w:val="none"/>
          <w:u w:val="single"/>
        </w:rPr>
        <w:t>c．按照专项保护方案，落实成品、半成品材料及设备吊装、预埋和制作有效防护栏板。</w:t>
      </w:r>
    </w:p>
    <w:p w14:paraId="392F6EB7">
      <w:pPr>
        <w:spacing w:line="360" w:lineRule="auto"/>
        <w:ind w:firstLine="440" w:firstLineChars="200"/>
        <w:rPr>
          <w:rFonts w:hint="default" w:ascii="Times New Roman" w:hAnsi="Times New Roman" w:cs="Times New Roman"/>
          <w:color w:val="auto"/>
          <w:sz w:val="22"/>
          <w:szCs w:val="22"/>
          <w:highlight w:val="none"/>
          <w:u w:val="single"/>
        </w:rPr>
      </w:pPr>
      <w:r>
        <w:rPr>
          <w:rFonts w:hint="default" w:ascii="Times New Roman" w:hAnsi="Times New Roman" w:cs="Times New Roman"/>
          <w:color w:val="auto"/>
          <w:sz w:val="22"/>
          <w:szCs w:val="22"/>
          <w:highlight w:val="none"/>
          <w:u w:val="single"/>
        </w:rPr>
        <w:t>d.安排专人定期对成品、半成品材料及设备的保护情况进行巡查</w:t>
      </w:r>
    </w:p>
    <w:p w14:paraId="7560BB34">
      <w:pPr>
        <w:spacing w:line="360" w:lineRule="auto"/>
        <w:ind w:firstLine="440" w:firstLineChars="20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sz w:val="22"/>
          <w:szCs w:val="22"/>
          <w:highlight w:val="none"/>
          <w:u w:val="single"/>
        </w:rPr>
        <w:t>e.除不可抗力外，成品、半成品材料及设备进场后发生任何损坏，承包人全面负起经济和工期的损失，发包人不因此对成品、半成品材料及设备支付任何追加的费用。</w:t>
      </w:r>
    </w:p>
    <w:p w14:paraId="3754828F">
      <w:pPr>
        <w:widowControl/>
        <w:spacing w:line="360" w:lineRule="auto"/>
        <w:ind w:firstLine="440" w:firstLineChars="200"/>
        <w:jc w:val="left"/>
        <w:rPr>
          <w:rFonts w:hint="default" w:ascii="Times New Roman" w:hAnsi="Times New Roman" w:cs="Times New Roman"/>
          <w:color w:val="auto"/>
          <w:sz w:val="22"/>
          <w:szCs w:val="22"/>
          <w:highlight w:val="none"/>
          <w:u w:val="single"/>
        </w:rPr>
      </w:pPr>
      <w:r>
        <w:rPr>
          <w:rFonts w:hint="default" w:ascii="Times New Roman" w:hAnsi="Times New Roman" w:cs="Times New Roman"/>
          <w:color w:val="auto"/>
          <w:sz w:val="22"/>
          <w:szCs w:val="22"/>
          <w:highlight w:val="none"/>
          <w:u w:val="none"/>
        </w:rPr>
        <w:t>（</w:t>
      </w:r>
      <w:r>
        <w:rPr>
          <w:rFonts w:hint="default" w:ascii="Times New Roman" w:hAnsi="Times New Roman" w:cs="Times New Roman"/>
          <w:color w:val="auto"/>
          <w:sz w:val="22"/>
          <w:szCs w:val="22"/>
          <w:highlight w:val="none"/>
          <w:u w:val="none"/>
          <w:lang w:val="en-US" w:eastAsia="zh-CN"/>
        </w:rPr>
        <w:t>8</w:t>
      </w:r>
      <w:r>
        <w:rPr>
          <w:rFonts w:hint="default" w:ascii="Times New Roman" w:hAnsi="Times New Roman" w:cs="Times New Roman"/>
          <w:color w:val="auto"/>
          <w:sz w:val="22"/>
          <w:szCs w:val="22"/>
          <w:highlight w:val="none"/>
          <w:u w:val="none"/>
        </w:rPr>
        <w:t>）做好施工场地地下管线和邻近建筑物、构筑物（包括文物保护建筑）、古树名木保护工作的约定：</w:t>
      </w:r>
      <w:r>
        <w:rPr>
          <w:rFonts w:hint="default" w:ascii="Times New Roman" w:hAnsi="Times New Roman" w:cs="Times New Roman"/>
          <w:color w:val="auto"/>
          <w:sz w:val="22"/>
          <w:szCs w:val="22"/>
          <w:highlight w:val="none"/>
          <w:u w:val="single"/>
        </w:rPr>
        <w:t>施工期间发现文物，应按国家文物和省、市有关文物管理规定保护现场，并通知有关部门。施工期间执行2012年1月5日广州市人民政府令第62号《广州市建设工程文明施工管理规定》、2021年8月《</w:t>
      </w:r>
      <w:r>
        <w:rPr>
          <w:rFonts w:hint="default" w:ascii="Times New Roman" w:hAnsi="Times New Roman" w:cs="Times New Roman"/>
          <w:color w:val="auto"/>
          <w:sz w:val="22"/>
          <w:szCs w:val="22"/>
          <w:highlight w:val="none"/>
          <w:u w:val="single"/>
          <w:lang w:bidi="ar"/>
        </w:rPr>
        <w:t xml:space="preserve">广州市水务局关于加强水务工程涉及燃气管安全的施工监管的通知》 </w:t>
      </w:r>
      <w:r>
        <w:rPr>
          <w:rFonts w:hint="default" w:ascii="Times New Roman" w:hAnsi="Times New Roman" w:cs="Times New Roman"/>
          <w:color w:val="auto"/>
          <w:sz w:val="22"/>
          <w:szCs w:val="22"/>
          <w:highlight w:val="none"/>
          <w:u w:val="single"/>
        </w:rPr>
        <w:t>的规定，否则，因此造成的损失或被有关部门处罚，均由承包人负责。保护工作费用已包含在承包人的投标报价中，不另行计量支付。</w:t>
      </w:r>
    </w:p>
    <w:p w14:paraId="43CBB518">
      <w:pPr>
        <w:spacing w:line="360" w:lineRule="auto"/>
        <w:ind w:firstLine="440" w:firstLineChars="20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sz w:val="22"/>
          <w:szCs w:val="22"/>
          <w:highlight w:val="none"/>
          <w:u w:val="none"/>
        </w:rPr>
        <w:t>（</w:t>
      </w:r>
      <w:r>
        <w:rPr>
          <w:rFonts w:hint="default" w:ascii="Times New Roman" w:hAnsi="Times New Roman" w:cs="Times New Roman"/>
          <w:color w:val="auto"/>
          <w:sz w:val="22"/>
          <w:szCs w:val="22"/>
          <w:highlight w:val="none"/>
          <w:u w:val="none"/>
          <w:lang w:val="en-US" w:eastAsia="zh-CN"/>
        </w:rPr>
        <w:t>9</w:t>
      </w:r>
      <w:r>
        <w:rPr>
          <w:rFonts w:hint="default" w:ascii="Times New Roman" w:hAnsi="Times New Roman" w:cs="Times New Roman"/>
          <w:color w:val="auto"/>
          <w:sz w:val="22"/>
          <w:szCs w:val="22"/>
          <w:highlight w:val="none"/>
          <w:u w:val="none"/>
        </w:rPr>
        <w:t>）保证施工场地的清洁和做好交工前施工现场清理工作的约定：</w:t>
      </w:r>
      <w:r>
        <w:rPr>
          <w:rFonts w:hint="default" w:ascii="Times New Roman" w:hAnsi="Times New Roman" w:cs="Times New Roman"/>
          <w:color w:val="auto"/>
          <w:sz w:val="22"/>
          <w:szCs w:val="22"/>
          <w:highlight w:val="none"/>
          <w:u w:val="single"/>
        </w:rPr>
        <w:t>本合同工程现场文明施工必须严格按以下文件执行，并挂牌施工接受监督：</w:t>
      </w:r>
      <w:r>
        <w:rPr>
          <w:rFonts w:hint="default" w:ascii="Times New Roman" w:hAnsi="Times New Roman" w:cs="Times New Roman"/>
          <w:color w:val="auto"/>
          <w:sz w:val="22"/>
          <w:szCs w:val="22"/>
          <w:highlight w:val="none"/>
          <w:u w:val="single"/>
          <w:lang w:val="en-US" w:eastAsia="zh-CN"/>
        </w:rPr>
        <w:t>a.《建设工程安全文明施工规程》（DB 4401_T210）；b.2012年1月5日广州市人民政府令第62号《广州市建设工程文明施工管理规定》；</w:t>
      </w:r>
      <w:r>
        <w:rPr>
          <w:rFonts w:hint="default" w:ascii="Times New Roman" w:hAnsi="Times New Roman" w:cs="Times New Roman"/>
          <w:color w:val="auto"/>
          <w:sz w:val="22"/>
          <w:szCs w:val="22"/>
          <w:highlight w:val="none"/>
          <w:u w:val="single"/>
        </w:rPr>
        <w:t>承包人应保持现场整洁，保证卫生要求，合理地安排临时设施，存放和处置好设备及材料，及时清运垃圾和余泥，处理好污水、余泥排放。工程完工后，承包人应立即从施工现场搬走或清除承包人的设备、材料、垃圾以及各种临时设施，并保持施工现场和工程清洁整齐，但承包人应保留承包人为在缺陷责任期内履行其义务而需要的材料、设备和临时设施，其费用已包含在承包人的投标报价中，不另行计量支付。</w:t>
      </w:r>
    </w:p>
    <w:p w14:paraId="15016A2B">
      <w:pPr>
        <w:spacing w:line="360" w:lineRule="auto"/>
        <w:ind w:firstLine="220" w:firstLineChars="10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w:t>
      </w:r>
      <w:r>
        <w:rPr>
          <w:rFonts w:hint="default" w:ascii="Times New Roman" w:hAnsi="Times New Roman" w:cs="Times New Roman"/>
          <w:color w:val="auto"/>
          <w:kern w:val="0"/>
          <w:sz w:val="22"/>
          <w:szCs w:val="22"/>
          <w:highlight w:val="none"/>
          <w:lang w:val="en-US" w:eastAsia="zh-CN"/>
        </w:rPr>
        <w:t>10</w:t>
      </w:r>
      <w:r>
        <w:rPr>
          <w:rFonts w:hint="default" w:ascii="Times New Roman" w:hAnsi="Times New Roman" w:cs="Times New Roman"/>
          <w:color w:val="auto"/>
          <w:kern w:val="0"/>
          <w:sz w:val="22"/>
          <w:szCs w:val="22"/>
          <w:highlight w:val="none"/>
        </w:rPr>
        <w:t>)提交竣工验收申请报告和竣工结算文件</w:t>
      </w:r>
    </w:p>
    <w:p w14:paraId="65B8692B">
      <w:pPr>
        <w:spacing w:line="360" w:lineRule="auto"/>
        <w:ind w:left="12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□按通用条款第82.2款规定提交。</w:t>
      </w:r>
    </w:p>
    <w:p w14:paraId="39FC9ED2">
      <w:pPr>
        <w:spacing w:line="360" w:lineRule="auto"/>
        <w:ind w:left="12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lang w:val="en-US" w:eastAsia="zh-CN" w:bidi="ar"/>
        </w:rPr>
        <w:t>☑</w:t>
      </w:r>
      <w:r>
        <w:rPr>
          <w:rFonts w:hint="default" w:ascii="Times New Roman" w:hAnsi="Times New Roman" w:cs="Times New Roman"/>
          <w:color w:val="auto"/>
          <w:kern w:val="0"/>
          <w:sz w:val="22"/>
          <w:szCs w:val="22"/>
          <w:highlight w:val="none"/>
        </w:rPr>
        <w:t>另作约定：</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sz w:val="22"/>
          <w:szCs w:val="22"/>
          <w:highlight w:val="none"/>
          <w:u w:val="single"/>
        </w:rPr>
        <w:t>承包人必须安排专人在项目部驻场按图采用工程量管理软件建模，并按照发包人的指令适时对工作量进行统计和上报。</w:t>
      </w:r>
      <w:r>
        <w:rPr>
          <w:rFonts w:hint="default" w:ascii="Times New Roman" w:hAnsi="Times New Roman" w:cs="Times New Roman"/>
          <w:color w:val="auto"/>
          <w:kern w:val="0"/>
          <w:sz w:val="22"/>
          <w:szCs w:val="22"/>
          <w:highlight w:val="none"/>
          <w:u w:val="single"/>
        </w:rPr>
        <w:t xml:space="preserve">    </w:t>
      </w:r>
    </w:p>
    <w:p w14:paraId="3E38B901">
      <w:pPr>
        <w:spacing w:line="360" w:lineRule="auto"/>
        <w:rPr>
          <w:rFonts w:hint="default" w:ascii="Times New Roman" w:hAnsi="Times New Roman" w:cs="Times New Roman"/>
          <w:color w:val="auto"/>
          <w:kern w:val="0"/>
          <w:sz w:val="24"/>
          <w:highlight w:val="none"/>
          <w:lang w:eastAsia="zh-CN"/>
        </w:rPr>
      </w:pPr>
      <w:r>
        <w:rPr>
          <w:rFonts w:hint="default" w:ascii="Times New Roman" w:hAnsi="Times New Roman" w:cs="Times New Roman"/>
          <w:color w:val="auto"/>
          <w:kern w:val="0"/>
          <w:sz w:val="24"/>
          <w:highlight w:val="none"/>
          <w:lang w:eastAsia="zh-CN"/>
        </w:rPr>
        <w:t>承包人的其他义务：</w:t>
      </w:r>
    </w:p>
    <w:p w14:paraId="784F902C">
      <w:pPr>
        <w:pStyle w:val="9"/>
        <w:keepNext w:val="0"/>
        <w:keepLines w:val="0"/>
        <w:pageBreakBefore w:val="0"/>
        <w:widowControl w:val="0"/>
        <w:numPr>
          <w:ilvl w:val="0"/>
          <w:numId w:val="33"/>
        </w:numPr>
        <w:kinsoku/>
        <w:wordWrap/>
        <w:overflowPunct/>
        <w:topLinePunct w:val="0"/>
        <w:autoSpaceDE/>
        <w:autoSpaceDN/>
        <w:bidi w:val="0"/>
        <w:adjustRightInd/>
        <w:snapToGrid/>
        <w:spacing w:line="360" w:lineRule="auto"/>
        <w:ind w:left="120" w:firstLine="440" w:firstLineChars="200"/>
        <w:textAlignment w:val="auto"/>
        <w:rPr>
          <w:rFonts w:hint="default" w:ascii="Times New Roman" w:hAnsi="Times New Roman" w:cs="Times New Roman"/>
          <w:color w:val="auto"/>
          <w:sz w:val="22"/>
          <w:szCs w:val="22"/>
          <w:highlight w:val="none"/>
          <w:u w:val="single"/>
        </w:rPr>
      </w:pPr>
      <w:r>
        <w:rPr>
          <w:rFonts w:hint="default" w:ascii="Times New Roman" w:hAnsi="Times New Roman" w:cs="Times New Roman"/>
          <w:color w:val="auto"/>
          <w:sz w:val="22"/>
          <w:szCs w:val="22"/>
          <w:highlight w:val="none"/>
          <w:u w:val="single"/>
        </w:rPr>
        <w:t>如承包人不具备项目中各专业部分的相应资质，承包人应在征得发包人同意后专业分包给具备相关资质的设计单位并签订分包合同。</w:t>
      </w:r>
    </w:p>
    <w:p w14:paraId="566CE46A">
      <w:pPr>
        <w:pStyle w:val="9"/>
        <w:keepNext w:val="0"/>
        <w:keepLines w:val="0"/>
        <w:pageBreakBefore w:val="0"/>
        <w:widowControl w:val="0"/>
        <w:numPr>
          <w:ilvl w:val="0"/>
          <w:numId w:val="33"/>
        </w:numPr>
        <w:kinsoku/>
        <w:wordWrap/>
        <w:overflowPunct/>
        <w:topLinePunct w:val="0"/>
        <w:autoSpaceDE/>
        <w:autoSpaceDN/>
        <w:bidi w:val="0"/>
        <w:adjustRightInd/>
        <w:snapToGrid/>
        <w:spacing w:line="360" w:lineRule="auto"/>
        <w:ind w:left="120" w:firstLine="440" w:firstLineChars="200"/>
        <w:textAlignment w:val="auto"/>
        <w:rPr>
          <w:rFonts w:hint="default" w:ascii="Times New Roman" w:hAnsi="Times New Roman" w:cs="Times New Roman"/>
          <w:color w:val="auto"/>
          <w:sz w:val="22"/>
          <w:szCs w:val="22"/>
          <w:highlight w:val="none"/>
          <w:u w:val="single"/>
        </w:rPr>
      </w:pPr>
      <w:r>
        <w:rPr>
          <w:rFonts w:hint="default" w:ascii="Times New Roman" w:hAnsi="Times New Roman" w:cs="Times New Roman"/>
          <w:color w:val="auto"/>
          <w:sz w:val="22"/>
          <w:szCs w:val="22"/>
          <w:highlight w:val="none"/>
          <w:u w:val="none"/>
          <w:lang w:eastAsia="zh-CN"/>
        </w:rPr>
        <w:t>其他：</w:t>
      </w:r>
      <w:r>
        <w:rPr>
          <w:rFonts w:hint="default" w:ascii="Times New Roman" w:hAnsi="Times New Roman" w:cs="Times New Roman"/>
          <w:color w:val="auto"/>
          <w:sz w:val="22"/>
          <w:szCs w:val="22"/>
          <w:highlight w:val="none"/>
          <w:u w:val="none"/>
          <w:lang w:val="en-US" w:eastAsia="zh-CN"/>
        </w:rPr>
        <w:t xml:space="preserve"> </w:t>
      </w:r>
      <w:r>
        <w:rPr>
          <w:rFonts w:hint="default" w:ascii="Times New Roman" w:hAnsi="Times New Roman" w:cs="Times New Roman"/>
          <w:color w:val="auto"/>
          <w:sz w:val="22"/>
          <w:szCs w:val="22"/>
          <w:highlight w:val="none"/>
          <w:u w:val="single"/>
          <w:lang w:val="en-US" w:eastAsia="zh-CN"/>
        </w:rPr>
        <w:t xml:space="preserve">                                                                           </w:t>
      </w:r>
    </w:p>
    <w:p w14:paraId="5BE836DB">
      <w:pPr>
        <w:pStyle w:val="9"/>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ascii="Times New Roman" w:hAnsi="Times New Roman" w:cs="Times New Roman"/>
          <w:color w:val="auto"/>
          <w:sz w:val="22"/>
          <w:szCs w:val="22"/>
          <w:highlight w:val="none"/>
          <w:u w:val="single"/>
        </w:rPr>
      </w:pPr>
      <w:r>
        <w:rPr>
          <w:rFonts w:hint="default" w:ascii="Times New Roman" w:hAnsi="Times New Roman" w:eastAsia="宋体" w:cs="Times New Roman"/>
          <w:color w:val="auto"/>
          <w:sz w:val="22"/>
          <w:szCs w:val="22"/>
          <w:highlight w:val="none"/>
          <w:lang w:val="en-US" w:eastAsia="zh-CN" w:bidi="ar"/>
        </w:rPr>
        <w:t xml:space="preserve"> 20.4 承包人提供施工所需劳务、材料、国产设备、施工设备和其他物品的约定：</w:t>
      </w:r>
      <w:r>
        <w:rPr>
          <w:rFonts w:hint="default" w:ascii="Times New Roman" w:hAnsi="Times New Roman" w:eastAsia="宋体" w:cs="Times New Roman"/>
          <w:color w:val="auto"/>
          <w:sz w:val="22"/>
          <w:szCs w:val="22"/>
          <w:highlight w:val="none"/>
          <w:u w:val="single"/>
          <w:lang w:val="en-US" w:eastAsia="zh-CN" w:bidi="ar"/>
        </w:rPr>
        <w:t xml:space="preserve">            </w:t>
      </w:r>
      <w:r>
        <w:rPr>
          <w:rFonts w:hint="default" w:ascii="Times New Roman" w:hAnsi="Times New Roman" w:cs="Times New Roman"/>
          <w:color w:val="auto"/>
          <w:sz w:val="22"/>
          <w:szCs w:val="22"/>
          <w:highlight w:val="none"/>
          <w:u w:val="single"/>
          <w:lang w:val="en-US" w:eastAsia="zh-CN" w:bidi="ar"/>
        </w:rPr>
        <w:t>/</w:t>
      </w:r>
      <w:r>
        <w:rPr>
          <w:rFonts w:hint="default" w:ascii="Times New Roman" w:hAnsi="Times New Roman" w:eastAsia="宋体" w:cs="Times New Roman"/>
          <w:color w:val="auto"/>
          <w:sz w:val="22"/>
          <w:szCs w:val="22"/>
          <w:highlight w:val="none"/>
          <w:u w:val="single"/>
          <w:lang w:val="en-US" w:eastAsia="zh-CN" w:bidi="ar"/>
        </w:rPr>
        <w:t xml:space="preserve">     </w:t>
      </w:r>
    </w:p>
    <w:p w14:paraId="64C41BA8">
      <w:pPr>
        <w:pStyle w:val="4"/>
        <w:numPr>
          <w:ilvl w:val="0"/>
          <w:numId w:val="0"/>
        </w:numPr>
        <w:tabs>
          <w:tab w:val="left" w:pos="360"/>
          <w:tab w:val="left" w:pos="420"/>
          <w:tab w:val="left" w:pos="576"/>
        </w:tabs>
        <w:spacing w:line="420" w:lineRule="exact"/>
        <w:rPr>
          <w:rFonts w:hint="default" w:ascii="Times New Roman" w:hAnsi="Times New Roman" w:cs="Times New Roman"/>
          <w:b/>
          <w:bCs/>
          <w:color w:val="auto"/>
          <w:sz w:val="22"/>
          <w:szCs w:val="22"/>
          <w:highlight w:val="none"/>
        </w:rPr>
      </w:pPr>
      <w:bookmarkStart w:id="340" w:name="_Toc1063246389"/>
      <w:bookmarkStart w:id="341" w:name="_Toc469384092"/>
      <w:bookmarkStart w:id="342" w:name="_Toc29729"/>
      <w:r>
        <w:rPr>
          <w:rFonts w:hint="default" w:ascii="Times New Roman" w:hAnsi="Times New Roman" w:cs="Times New Roman"/>
          <w:b/>
          <w:bCs/>
          <w:color w:val="auto"/>
          <w:sz w:val="22"/>
          <w:szCs w:val="22"/>
          <w:highlight w:val="none"/>
        </w:rPr>
        <w:t>21. 现场管理人员任命和更换</w:t>
      </w:r>
      <w:bookmarkEnd w:id="340"/>
      <w:bookmarkEnd w:id="341"/>
      <w:bookmarkEnd w:id="342"/>
    </w:p>
    <w:p w14:paraId="30474A16">
      <w:pPr>
        <w:spacing w:line="420" w:lineRule="exact"/>
        <w:ind w:left="120"/>
        <w:rPr>
          <w:rFonts w:hint="default" w:ascii="Times New Roman" w:hAnsi="Times New Roman" w:cs="Times New Roman"/>
          <w:color w:val="auto"/>
          <w:kern w:val="0"/>
          <w:sz w:val="22"/>
          <w:szCs w:val="22"/>
          <w:highlight w:val="none"/>
        </w:rPr>
      </w:pPr>
    </w:p>
    <w:p w14:paraId="3C2A7B78">
      <w:pPr>
        <w:spacing w:line="420" w:lineRule="exact"/>
        <w:ind w:left="12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21.1 发包人现场管理人员任命和更换：</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u w:val="single"/>
          <w:lang w:val="en-US" w:eastAsia="zh-CN"/>
        </w:rPr>
        <w:t xml:space="preserve">   </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u w:val="single"/>
          <w:lang w:eastAsia="zh-CN"/>
        </w:rPr>
        <w:t>按通用条款</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rPr>
        <w:t xml:space="preserve">     </w:t>
      </w:r>
    </w:p>
    <w:p w14:paraId="724E49C5">
      <w:pPr>
        <w:spacing w:line="420" w:lineRule="exact"/>
        <w:ind w:left="120"/>
        <w:rPr>
          <w:rFonts w:hint="default" w:ascii="Times New Roman" w:hAnsi="Times New Roman" w:cs="Times New Roman"/>
          <w:color w:val="auto"/>
          <w:kern w:val="0"/>
          <w:sz w:val="22"/>
          <w:szCs w:val="22"/>
          <w:highlight w:val="none"/>
        </w:rPr>
      </w:pPr>
    </w:p>
    <w:p w14:paraId="176DC0D2">
      <w:pPr>
        <w:spacing w:line="420" w:lineRule="exact"/>
        <w:ind w:left="12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21.2 承包人代表任命和更换：</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u w:val="single"/>
          <w:lang w:eastAsia="zh-CN"/>
        </w:rPr>
        <w:t>更换代表（项目经理）资格条件需与投标</w:t>
      </w:r>
      <w:r>
        <w:rPr>
          <w:rFonts w:hint="default" w:ascii="Times New Roman" w:hAnsi="Times New Roman" w:cs="Times New Roman"/>
          <w:color w:val="auto"/>
          <w:kern w:val="0"/>
          <w:sz w:val="22"/>
          <w:szCs w:val="22"/>
          <w:highlight w:val="none"/>
          <w:u w:val="single"/>
          <w:lang w:val="en-US" w:eastAsia="zh-CN"/>
        </w:rPr>
        <w:t xml:space="preserve">/比选时提供人员的相关资质、工作年限一致，否则发包人有权拒绝更换。 </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rPr>
        <w:t xml:space="preserve">   </w:t>
      </w:r>
    </w:p>
    <w:p w14:paraId="5CF210F8">
      <w:pPr>
        <w:spacing w:line="420" w:lineRule="exact"/>
        <w:ind w:left="120"/>
        <w:rPr>
          <w:rFonts w:hint="default" w:ascii="Times New Roman" w:hAnsi="Times New Roman" w:cs="Times New Roman"/>
          <w:color w:val="auto"/>
          <w:kern w:val="0"/>
          <w:sz w:val="22"/>
          <w:szCs w:val="22"/>
          <w:highlight w:val="none"/>
        </w:rPr>
      </w:pPr>
    </w:p>
    <w:p w14:paraId="35A42AD4">
      <w:pPr>
        <w:spacing w:line="420" w:lineRule="exact"/>
        <w:ind w:left="12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21.3 监理工程师代表任命和撤回：</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u w:val="single"/>
          <w:lang w:val="en-US" w:eastAsia="zh-CN"/>
        </w:rPr>
        <w:t xml:space="preserve"> </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u w:val="single"/>
          <w:lang w:eastAsia="zh-CN"/>
        </w:rPr>
        <w:t>按照本项目监理合同约定</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rPr>
        <w:t xml:space="preserve"> </w:t>
      </w:r>
    </w:p>
    <w:p w14:paraId="538C96B6">
      <w:pPr>
        <w:spacing w:line="420" w:lineRule="exact"/>
        <w:ind w:left="120"/>
        <w:rPr>
          <w:rFonts w:hint="default" w:ascii="Times New Roman" w:hAnsi="Times New Roman" w:cs="Times New Roman"/>
          <w:color w:val="auto"/>
          <w:kern w:val="0"/>
          <w:sz w:val="22"/>
          <w:szCs w:val="22"/>
          <w:highlight w:val="none"/>
        </w:rPr>
      </w:pPr>
    </w:p>
    <w:p w14:paraId="09630132">
      <w:pPr>
        <w:spacing w:line="420" w:lineRule="exact"/>
        <w:ind w:left="12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造价工程师代表任命和撤回：</w:t>
      </w:r>
      <w:r>
        <w:rPr>
          <w:rFonts w:hint="default" w:ascii="Times New Roman" w:hAnsi="Times New Roman" w:cs="Times New Roman"/>
          <w:color w:val="auto"/>
          <w:kern w:val="0"/>
          <w:sz w:val="22"/>
          <w:szCs w:val="22"/>
          <w:highlight w:val="none"/>
          <w:u w:val="single"/>
        </w:rPr>
        <w:t xml:space="preserve">                           /          </w:t>
      </w:r>
      <w:r>
        <w:rPr>
          <w:rFonts w:hint="default" w:ascii="Times New Roman" w:hAnsi="Times New Roman" w:cs="Times New Roman"/>
          <w:color w:val="auto"/>
          <w:kern w:val="0"/>
          <w:sz w:val="22"/>
          <w:szCs w:val="22"/>
          <w:highlight w:val="none"/>
          <w:u w:val="single"/>
          <w:lang w:val="en-US" w:eastAsia="zh-CN"/>
        </w:rPr>
        <w:t xml:space="preserve">            </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rPr>
        <w:t xml:space="preserve">   </w:t>
      </w:r>
    </w:p>
    <w:p w14:paraId="4589E94E">
      <w:pPr>
        <w:spacing w:line="420" w:lineRule="exact"/>
        <w:ind w:left="120"/>
        <w:rPr>
          <w:rFonts w:hint="default" w:ascii="Times New Roman" w:hAnsi="Times New Roman" w:cs="Times New Roman"/>
          <w:color w:val="auto"/>
          <w:kern w:val="0"/>
          <w:sz w:val="22"/>
          <w:szCs w:val="22"/>
          <w:highlight w:val="none"/>
        </w:rPr>
      </w:pPr>
    </w:p>
    <w:p w14:paraId="6825E920">
      <w:pPr>
        <w:spacing w:line="420" w:lineRule="exact"/>
        <w:ind w:left="12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21.4 承包人代表授权人选任命和撤回：</w:t>
      </w:r>
      <w:r>
        <w:rPr>
          <w:rFonts w:hint="default" w:ascii="Times New Roman" w:hAnsi="Times New Roman" w:cs="Times New Roman"/>
          <w:color w:val="auto"/>
          <w:kern w:val="0"/>
          <w:sz w:val="22"/>
          <w:szCs w:val="22"/>
          <w:highlight w:val="none"/>
          <w:u w:val="single"/>
        </w:rPr>
        <w:t xml:space="preserve">                      /             </w:t>
      </w:r>
      <w:r>
        <w:rPr>
          <w:rFonts w:hint="default" w:ascii="Times New Roman" w:hAnsi="Times New Roman" w:cs="Times New Roman"/>
          <w:color w:val="auto"/>
          <w:kern w:val="0"/>
          <w:sz w:val="22"/>
          <w:szCs w:val="22"/>
          <w:highlight w:val="none"/>
          <w:u w:val="single"/>
          <w:lang w:val="en-US" w:eastAsia="zh-CN"/>
        </w:rPr>
        <w:t xml:space="preserve">         </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rPr>
        <w:t xml:space="preserve">   </w:t>
      </w:r>
    </w:p>
    <w:p w14:paraId="3CA5DC8D">
      <w:pPr>
        <w:pStyle w:val="4"/>
        <w:numPr>
          <w:ilvl w:val="0"/>
          <w:numId w:val="0"/>
        </w:numPr>
        <w:tabs>
          <w:tab w:val="left" w:pos="360"/>
          <w:tab w:val="left" w:pos="420"/>
          <w:tab w:val="left" w:pos="576"/>
        </w:tabs>
        <w:spacing w:line="420" w:lineRule="exact"/>
        <w:rPr>
          <w:rFonts w:hint="default" w:ascii="Times New Roman" w:hAnsi="Times New Roman" w:cs="Times New Roman"/>
          <w:b/>
          <w:bCs/>
          <w:color w:val="auto"/>
          <w:sz w:val="22"/>
          <w:szCs w:val="22"/>
          <w:highlight w:val="none"/>
        </w:rPr>
      </w:pPr>
      <w:bookmarkStart w:id="343" w:name="_Toc23584"/>
      <w:bookmarkStart w:id="344" w:name="_Toc2122023947"/>
      <w:bookmarkStart w:id="345" w:name="_Toc469384093"/>
      <w:r>
        <w:rPr>
          <w:rFonts w:hint="default" w:ascii="Times New Roman" w:hAnsi="Times New Roman" w:cs="Times New Roman"/>
          <w:b/>
          <w:bCs/>
          <w:color w:val="auto"/>
          <w:sz w:val="22"/>
          <w:szCs w:val="22"/>
          <w:highlight w:val="none"/>
        </w:rPr>
        <w:t>22. 发包人代表</w:t>
      </w:r>
      <w:bookmarkEnd w:id="343"/>
      <w:bookmarkEnd w:id="344"/>
      <w:bookmarkEnd w:id="345"/>
    </w:p>
    <w:p w14:paraId="6978565A">
      <w:pPr>
        <w:spacing w:line="420" w:lineRule="exact"/>
        <w:ind w:left="120"/>
        <w:rPr>
          <w:rFonts w:hint="default" w:ascii="Times New Roman" w:hAnsi="Times New Roman" w:cs="Times New Roman"/>
          <w:color w:val="auto"/>
          <w:kern w:val="0"/>
          <w:sz w:val="22"/>
          <w:szCs w:val="22"/>
          <w:highlight w:val="none"/>
        </w:rPr>
      </w:pPr>
    </w:p>
    <w:p w14:paraId="4C9F8BA7">
      <w:pPr>
        <w:spacing w:line="420" w:lineRule="exact"/>
        <w:ind w:left="12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22.1 发包人代表及其权力的限制</w:t>
      </w:r>
    </w:p>
    <w:p w14:paraId="43384FD9">
      <w:pPr>
        <w:spacing w:line="420" w:lineRule="exact"/>
        <w:ind w:left="120"/>
        <w:rPr>
          <w:rFonts w:hint="default" w:ascii="Times New Roman" w:hAnsi="Times New Roman" w:cs="Times New Roman"/>
          <w:color w:val="auto"/>
          <w:kern w:val="0"/>
          <w:sz w:val="22"/>
          <w:szCs w:val="22"/>
          <w:highlight w:val="none"/>
        </w:rPr>
      </w:pPr>
    </w:p>
    <w:p w14:paraId="4B7945A2">
      <w:pPr>
        <w:spacing w:line="420" w:lineRule="exact"/>
        <w:ind w:left="12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（1） 发包人任命（          ）为发包人代表，其通讯方式为</w:t>
      </w:r>
    </w:p>
    <w:p w14:paraId="4FC2F8B5">
      <w:pPr>
        <w:spacing w:line="420" w:lineRule="exact"/>
        <w:ind w:left="120"/>
        <w:rPr>
          <w:rFonts w:hint="default" w:ascii="Times New Roman" w:hAnsi="Times New Roman" w:eastAsia="宋体" w:cs="Times New Roman"/>
          <w:color w:val="auto"/>
          <w:kern w:val="0"/>
          <w:sz w:val="22"/>
          <w:szCs w:val="22"/>
          <w:highlight w:val="none"/>
          <w:u w:val="single"/>
          <w:lang w:val="en-US" w:eastAsia="zh-CN"/>
        </w:rPr>
      </w:pPr>
      <w:r>
        <w:rPr>
          <w:rFonts w:hint="default" w:ascii="Times New Roman" w:hAnsi="Times New Roman" w:cs="Times New Roman"/>
          <w:color w:val="auto"/>
          <w:kern w:val="0"/>
          <w:sz w:val="22"/>
          <w:szCs w:val="22"/>
          <w:highlight w:val="none"/>
        </w:rPr>
        <w:t xml:space="preserve">     通讯地址：</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rPr>
        <w:t xml:space="preserve"> </w:t>
      </w:r>
      <w:r>
        <w:rPr>
          <w:rFonts w:hint="default" w:ascii="Times New Roman" w:hAnsi="Times New Roman" w:cs="Times New Roman"/>
          <w:color w:val="auto"/>
          <w:kern w:val="0"/>
          <w:sz w:val="22"/>
          <w:szCs w:val="22"/>
          <w:highlight w:val="none"/>
        </w:rPr>
        <w:t>邮政编码：</w:t>
      </w:r>
      <w:r>
        <w:rPr>
          <w:rFonts w:hint="default" w:ascii="Times New Roman" w:hAnsi="Times New Roman" w:cs="Times New Roman"/>
          <w:color w:val="auto"/>
          <w:kern w:val="0"/>
          <w:sz w:val="22"/>
          <w:szCs w:val="22"/>
          <w:highlight w:val="none"/>
          <w:u w:val="single"/>
          <w:lang w:val="en-US" w:eastAsia="zh-CN"/>
        </w:rPr>
        <w:t xml:space="preserve">   </w:t>
      </w:r>
      <w:r>
        <w:rPr>
          <w:rFonts w:hint="default" w:ascii="Times New Roman" w:hAnsi="Times New Roman" w:cs="Times New Roman"/>
          <w:color w:val="auto"/>
          <w:kern w:val="0"/>
          <w:sz w:val="22"/>
          <w:szCs w:val="22"/>
          <w:highlight w:val="none"/>
          <w:u w:val="single"/>
        </w:rPr>
        <w:t>51000</w:t>
      </w:r>
      <w:r>
        <w:rPr>
          <w:rFonts w:hint="default" w:ascii="Times New Roman" w:hAnsi="Times New Roman" w:cs="Times New Roman"/>
          <w:color w:val="auto"/>
          <w:kern w:val="0"/>
          <w:sz w:val="22"/>
          <w:szCs w:val="22"/>
          <w:highlight w:val="none"/>
          <w:u w:val="single"/>
          <w:lang w:val="en-US" w:eastAsia="zh-CN"/>
        </w:rPr>
        <w:t xml:space="preserve">    </w:t>
      </w:r>
    </w:p>
    <w:p w14:paraId="1A58DA50">
      <w:pPr>
        <w:spacing w:line="420" w:lineRule="exact"/>
        <w:ind w:firstLine="220" w:firstLineChars="100"/>
        <w:rPr>
          <w:rFonts w:hint="default" w:ascii="Times New Roman" w:hAnsi="Times New Roman" w:cs="Times New Roman"/>
          <w:color w:val="auto"/>
          <w:sz w:val="22"/>
          <w:szCs w:val="22"/>
          <w:highlight w:val="none"/>
          <w:u w:val="single"/>
        </w:rPr>
      </w:pPr>
      <w:r>
        <w:rPr>
          <w:rFonts w:hint="default" w:ascii="Times New Roman" w:hAnsi="Times New Roman" w:cs="Times New Roman"/>
          <w:color w:val="auto"/>
          <w:sz w:val="22"/>
          <w:szCs w:val="22"/>
          <w:highlight w:val="none"/>
        </w:rPr>
        <w:t xml:space="preserve">    联系电话：</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rPr>
        <w:t xml:space="preserve"> 传真号码：</w:t>
      </w:r>
      <w:r>
        <w:rPr>
          <w:rFonts w:hint="default" w:ascii="Times New Roman" w:hAnsi="Times New Roman" w:cs="Times New Roman"/>
          <w:color w:val="auto"/>
          <w:sz w:val="22"/>
          <w:szCs w:val="22"/>
          <w:highlight w:val="none"/>
          <w:u w:val="single"/>
        </w:rPr>
        <w:t xml:space="preserve">            </w:t>
      </w:r>
    </w:p>
    <w:p w14:paraId="4D81E8A4">
      <w:pPr>
        <w:spacing w:line="420" w:lineRule="exact"/>
        <w:ind w:firstLine="220" w:firstLineChars="100"/>
        <w:rPr>
          <w:rFonts w:hint="default" w:ascii="Times New Roman" w:hAnsi="Times New Roman" w:cs="Times New Roman"/>
          <w:color w:val="auto"/>
          <w:sz w:val="22"/>
          <w:szCs w:val="22"/>
          <w:highlight w:val="none"/>
        </w:rPr>
      </w:pPr>
    </w:p>
    <w:p w14:paraId="06ADEFF0">
      <w:pPr>
        <w:spacing w:line="420" w:lineRule="exact"/>
        <w:ind w:firstLine="220" w:firstLineChars="100"/>
        <w:rPr>
          <w:rFonts w:hint="default" w:ascii="Times New Roman" w:hAnsi="Times New Roman" w:cs="Times New Roman"/>
          <w:color w:val="auto"/>
          <w:sz w:val="22"/>
          <w:szCs w:val="22"/>
          <w:highlight w:val="none"/>
          <w:u w:val="single"/>
        </w:rPr>
      </w:pPr>
      <w:r>
        <w:rPr>
          <w:rFonts w:hint="default" w:ascii="Times New Roman" w:hAnsi="Times New Roman" w:cs="Times New Roman"/>
          <w:color w:val="auto"/>
          <w:sz w:val="22"/>
          <w:szCs w:val="22"/>
          <w:highlight w:val="none"/>
        </w:rPr>
        <w:t>（2） 发包人对发包人代表权力做如下限制：</w:t>
      </w:r>
      <w:r>
        <w:rPr>
          <w:rFonts w:hint="default" w:ascii="Times New Roman" w:hAnsi="Times New Roman" w:cs="Times New Roman"/>
          <w:color w:val="auto"/>
          <w:sz w:val="22"/>
          <w:szCs w:val="22"/>
          <w:highlight w:val="none"/>
          <w:u w:val="single"/>
        </w:rPr>
        <w:t xml:space="preserve">                                                      </w:t>
      </w:r>
    </w:p>
    <w:p w14:paraId="5880195C">
      <w:pPr>
        <w:spacing w:line="420" w:lineRule="exact"/>
        <w:ind w:left="120"/>
        <w:rPr>
          <w:rFonts w:hint="default" w:ascii="Times New Roman" w:hAnsi="Times New Roman" w:cs="Times New Roman"/>
          <w:color w:val="auto"/>
          <w:kern w:val="0"/>
          <w:sz w:val="22"/>
          <w:szCs w:val="22"/>
          <w:highlight w:val="none"/>
          <w:lang w:val="en-US" w:eastAsia="zh-CN"/>
        </w:rPr>
      </w:pPr>
      <w:r>
        <w:rPr>
          <w:rFonts w:hint="default" w:ascii="Times New Roman" w:hAnsi="Times New Roman" w:cs="Times New Roman"/>
          <w:color w:val="auto"/>
          <w:kern w:val="0"/>
          <w:sz w:val="22"/>
          <w:szCs w:val="22"/>
          <w:highlight w:val="none"/>
          <w:lang w:val="en-US" w:eastAsia="zh-CN"/>
        </w:rPr>
        <w:t>22.3其他</w:t>
      </w:r>
    </w:p>
    <w:p w14:paraId="242C1CCE">
      <w:pPr>
        <w:spacing w:line="420" w:lineRule="exact"/>
        <w:ind w:left="120" w:firstLine="440" w:firstLineChars="200"/>
        <w:rPr>
          <w:rFonts w:hint="default" w:ascii="Times New Roman" w:hAnsi="Times New Roman" w:cs="Times New Roman"/>
          <w:color w:val="auto"/>
          <w:kern w:val="0"/>
          <w:sz w:val="22"/>
          <w:szCs w:val="22"/>
          <w:highlight w:val="none"/>
          <w:lang w:val="en-US"/>
        </w:rPr>
      </w:pPr>
      <w:r>
        <w:rPr>
          <w:rFonts w:hint="default" w:ascii="Times New Roman" w:hAnsi="Times New Roman" w:cs="Times New Roman"/>
          <w:color w:val="auto"/>
          <w:kern w:val="0"/>
          <w:sz w:val="22"/>
          <w:szCs w:val="22"/>
          <w:highlight w:val="none"/>
          <w:lang w:val="en-US" w:eastAsia="zh-CN"/>
        </w:rPr>
        <w:t>承包人必须保证拟定的项目经理及其主要管理人员和技术人员能及时地、始终地参与本工程的施工管理，未经发包人同意，不得随意更换；合同签订后，项目经理、项目班子主要成员不到位，则监理工程师不签发开工令，工期不顺延；根据国家住建部关于印发《建筑施工企业负责人及项目负责人施工现场带班暂行办法》的通知“第十一条 项目负责人每月带班生产时间不得少于本月施工时间的80%。因其他事务需离开施工现场时，应向工程项目的建设单位请假，经批准后方可离开。离开期间应委托项目相关负责人负责其外出时的日常工作。”要求，项目经理离开工地应向业主请假，经批准后才能离开；擅自离开工地，监理工程师可发出停工令，待人员回到岗位后才批准复工，由此产生的工期及经济损失由承包人自负，造成发包人损失的，发包人保留索赔的权利。项目经理的日常考勤记录应写入施工、监理的月报中。（项目经理请假流程及格式材料详见合同附件七）</w:t>
      </w:r>
    </w:p>
    <w:p w14:paraId="07BDCA9D">
      <w:pPr>
        <w:pStyle w:val="4"/>
        <w:numPr>
          <w:ilvl w:val="0"/>
          <w:numId w:val="0"/>
        </w:numPr>
        <w:tabs>
          <w:tab w:val="left" w:pos="360"/>
          <w:tab w:val="left" w:pos="420"/>
          <w:tab w:val="left" w:pos="576"/>
        </w:tabs>
        <w:spacing w:line="420" w:lineRule="exact"/>
        <w:rPr>
          <w:rFonts w:hint="default" w:ascii="Times New Roman" w:hAnsi="Times New Roman" w:cs="Times New Roman"/>
          <w:b/>
          <w:bCs/>
          <w:color w:val="auto"/>
          <w:sz w:val="22"/>
          <w:szCs w:val="22"/>
          <w:highlight w:val="none"/>
        </w:rPr>
      </w:pPr>
      <w:bookmarkStart w:id="346" w:name="_Toc12099"/>
      <w:bookmarkStart w:id="347" w:name="_Toc564406333"/>
      <w:bookmarkStart w:id="348" w:name="_Toc469384094"/>
      <w:r>
        <w:rPr>
          <w:rFonts w:hint="default" w:ascii="Times New Roman" w:hAnsi="Times New Roman" w:cs="Times New Roman"/>
          <w:b/>
          <w:bCs/>
          <w:color w:val="auto"/>
          <w:sz w:val="22"/>
          <w:szCs w:val="22"/>
          <w:highlight w:val="none"/>
        </w:rPr>
        <w:t>23. 监理工程师</w:t>
      </w:r>
      <w:bookmarkEnd w:id="346"/>
      <w:bookmarkEnd w:id="347"/>
      <w:bookmarkEnd w:id="348"/>
    </w:p>
    <w:p w14:paraId="09D0659B">
      <w:pPr>
        <w:spacing w:line="420" w:lineRule="exact"/>
        <w:ind w:firstLine="110" w:firstLineChars="50"/>
        <w:rPr>
          <w:rFonts w:hint="default" w:ascii="Times New Roman" w:hAnsi="Times New Roman" w:cs="Times New Roman"/>
          <w:color w:val="auto"/>
          <w:sz w:val="22"/>
          <w:szCs w:val="22"/>
          <w:highlight w:val="none"/>
        </w:rPr>
      </w:pPr>
    </w:p>
    <w:p w14:paraId="6BF152A5">
      <w:pPr>
        <w:spacing w:line="420" w:lineRule="exact"/>
        <w:ind w:firstLine="110" w:firstLineChars="5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 xml:space="preserve">  23.1 负责合同工程的监理人及任命的监理工程师</w:t>
      </w:r>
    </w:p>
    <w:p w14:paraId="5D32BE87">
      <w:pPr>
        <w:spacing w:line="420" w:lineRule="exact"/>
        <w:ind w:firstLine="110" w:firstLineChars="50"/>
        <w:rPr>
          <w:rFonts w:hint="default" w:ascii="Times New Roman" w:hAnsi="Times New Roman" w:cs="Times New Roman"/>
          <w:color w:val="auto"/>
          <w:sz w:val="22"/>
          <w:szCs w:val="22"/>
          <w:highlight w:val="none"/>
        </w:rPr>
      </w:pPr>
    </w:p>
    <w:p w14:paraId="12E1B819">
      <w:pPr>
        <w:spacing w:line="420" w:lineRule="exact"/>
        <w:ind w:firstLine="110" w:firstLineChars="50"/>
        <w:rPr>
          <w:rFonts w:hint="default" w:ascii="Times New Roman" w:hAnsi="Times New Roman" w:cs="Times New Roman"/>
          <w:color w:val="auto"/>
          <w:sz w:val="22"/>
          <w:szCs w:val="22"/>
          <w:highlight w:val="none"/>
          <w:u w:val="single"/>
        </w:rPr>
      </w:pPr>
      <w:r>
        <w:rPr>
          <w:rFonts w:hint="default" w:ascii="Times New Roman" w:hAnsi="Times New Roman" w:cs="Times New Roman"/>
          <w:color w:val="auto"/>
          <w:sz w:val="22"/>
          <w:szCs w:val="22"/>
          <w:highlight w:val="none"/>
        </w:rPr>
        <w:t xml:space="preserve"> （1） 监理人：</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rPr>
        <w:t xml:space="preserve"> 法定代表人：</w:t>
      </w:r>
      <w:r>
        <w:rPr>
          <w:rFonts w:hint="default" w:ascii="Times New Roman" w:hAnsi="Times New Roman" w:cs="Times New Roman"/>
          <w:color w:val="auto"/>
          <w:sz w:val="22"/>
          <w:szCs w:val="22"/>
          <w:highlight w:val="none"/>
          <w:u w:val="single"/>
        </w:rPr>
        <w:t xml:space="preserve">               </w:t>
      </w:r>
    </w:p>
    <w:p w14:paraId="732B5CB2">
      <w:pPr>
        <w:spacing w:line="420" w:lineRule="exact"/>
        <w:ind w:firstLine="110" w:firstLineChars="50"/>
        <w:rPr>
          <w:rFonts w:hint="default" w:ascii="Times New Roman" w:hAnsi="Times New Roman" w:cs="Times New Roman"/>
          <w:color w:val="auto"/>
          <w:sz w:val="22"/>
          <w:szCs w:val="22"/>
          <w:highlight w:val="none"/>
        </w:rPr>
      </w:pPr>
    </w:p>
    <w:p w14:paraId="791F8325">
      <w:pPr>
        <w:spacing w:line="420" w:lineRule="exact"/>
        <w:ind w:firstLine="110" w:firstLineChars="5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 xml:space="preserve"> （2） 任命（               ）为监理工程师，其通讯方式为</w:t>
      </w:r>
    </w:p>
    <w:p w14:paraId="6D788FB0">
      <w:pPr>
        <w:spacing w:line="420" w:lineRule="exact"/>
        <w:ind w:left="120"/>
        <w:rPr>
          <w:rFonts w:hint="default" w:ascii="Times New Roman" w:hAnsi="Times New Roman" w:cs="Times New Roman"/>
          <w:color w:val="auto"/>
          <w:kern w:val="0"/>
          <w:sz w:val="22"/>
          <w:szCs w:val="22"/>
          <w:highlight w:val="none"/>
          <w:u w:val="single"/>
        </w:rPr>
      </w:pPr>
      <w:r>
        <w:rPr>
          <w:rFonts w:hint="default" w:ascii="Times New Roman" w:hAnsi="Times New Roman" w:cs="Times New Roman"/>
          <w:color w:val="auto"/>
          <w:sz w:val="22"/>
          <w:szCs w:val="22"/>
          <w:highlight w:val="none"/>
        </w:rPr>
        <w:t xml:space="preserve">     </w:t>
      </w:r>
      <w:r>
        <w:rPr>
          <w:rFonts w:hint="default" w:ascii="Times New Roman" w:hAnsi="Times New Roman" w:cs="Times New Roman"/>
          <w:color w:val="auto"/>
          <w:kern w:val="0"/>
          <w:sz w:val="22"/>
          <w:szCs w:val="22"/>
          <w:highlight w:val="none"/>
        </w:rPr>
        <w:t>通讯地址：</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rPr>
        <w:t xml:space="preserve"> 邮政编码：</w:t>
      </w:r>
      <w:r>
        <w:rPr>
          <w:rFonts w:hint="default" w:ascii="Times New Roman" w:hAnsi="Times New Roman" w:cs="Times New Roman"/>
          <w:color w:val="auto"/>
          <w:kern w:val="0"/>
          <w:sz w:val="22"/>
          <w:szCs w:val="22"/>
          <w:highlight w:val="none"/>
          <w:u w:val="single"/>
        </w:rPr>
        <w:t xml:space="preserve">               </w:t>
      </w:r>
    </w:p>
    <w:p w14:paraId="0D72F4E2">
      <w:pPr>
        <w:spacing w:line="420" w:lineRule="exact"/>
        <w:ind w:firstLine="220" w:firstLineChars="100"/>
        <w:rPr>
          <w:rFonts w:hint="default" w:ascii="Times New Roman" w:hAnsi="Times New Roman" w:cs="Times New Roman"/>
          <w:color w:val="auto"/>
          <w:sz w:val="22"/>
          <w:szCs w:val="22"/>
          <w:highlight w:val="none"/>
          <w:u w:val="single"/>
        </w:rPr>
      </w:pPr>
      <w:r>
        <w:rPr>
          <w:rFonts w:hint="default" w:ascii="Times New Roman" w:hAnsi="Times New Roman" w:cs="Times New Roman"/>
          <w:color w:val="auto"/>
          <w:sz w:val="22"/>
          <w:szCs w:val="22"/>
          <w:highlight w:val="none"/>
        </w:rPr>
        <w:t xml:space="preserve">    联系电话：</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rPr>
        <w:t xml:space="preserve"> 传真号码：</w:t>
      </w:r>
      <w:r>
        <w:rPr>
          <w:rFonts w:hint="default" w:ascii="Times New Roman" w:hAnsi="Times New Roman" w:cs="Times New Roman"/>
          <w:color w:val="auto"/>
          <w:sz w:val="22"/>
          <w:szCs w:val="22"/>
          <w:highlight w:val="none"/>
          <w:u w:val="single"/>
        </w:rPr>
        <w:t xml:space="preserve">               </w:t>
      </w:r>
    </w:p>
    <w:p w14:paraId="06CCB999">
      <w:pPr>
        <w:spacing w:line="420" w:lineRule="exact"/>
        <w:ind w:firstLine="110" w:firstLineChars="50"/>
        <w:rPr>
          <w:rFonts w:hint="default" w:ascii="Times New Roman" w:hAnsi="Times New Roman" w:cs="Times New Roman"/>
          <w:color w:val="auto"/>
          <w:sz w:val="22"/>
          <w:szCs w:val="22"/>
          <w:highlight w:val="none"/>
        </w:rPr>
      </w:pPr>
    </w:p>
    <w:p w14:paraId="660F9780">
      <w:pPr>
        <w:spacing w:line="420" w:lineRule="exact"/>
        <w:ind w:firstLine="110" w:firstLineChars="50"/>
        <w:rPr>
          <w:rFonts w:hint="default" w:ascii="Times New Roman" w:hAnsi="Times New Roman" w:cs="Times New Roman"/>
          <w:color w:val="auto"/>
          <w:sz w:val="22"/>
          <w:szCs w:val="22"/>
          <w:highlight w:val="none"/>
          <w:u w:val="single"/>
        </w:rPr>
      </w:pPr>
      <w:r>
        <w:rPr>
          <w:rFonts w:hint="default" w:ascii="Times New Roman" w:hAnsi="Times New Roman" w:cs="Times New Roman"/>
          <w:color w:val="auto"/>
          <w:sz w:val="22"/>
          <w:szCs w:val="22"/>
          <w:highlight w:val="none"/>
        </w:rPr>
        <w:t xml:space="preserve">  23.3 (12</w:t>
      </w:r>
      <w:r>
        <w:rPr>
          <w:rFonts w:hint="default" w:ascii="Times New Roman" w:hAnsi="Times New Roman" w:cs="Times New Roman"/>
          <w:color w:val="auto"/>
          <w:sz w:val="22"/>
          <w:szCs w:val="22"/>
          <w:highlight w:val="none"/>
          <w:lang w:eastAsia="zh-CN"/>
        </w:rPr>
        <w:t>）</w:t>
      </w:r>
      <w:r>
        <w:rPr>
          <w:rFonts w:hint="default" w:ascii="Times New Roman" w:hAnsi="Times New Roman" w:cs="Times New Roman"/>
          <w:color w:val="auto"/>
          <w:sz w:val="22"/>
          <w:szCs w:val="22"/>
          <w:highlight w:val="none"/>
        </w:rPr>
        <w:t>需要发包人批准的其他事项：</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kern w:val="0"/>
          <w:sz w:val="22"/>
          <w:szCs w:val="22"/>
          <w:highlight w:val="none"/>
          <w:u w:val="single"/>
          <w:lang w:eastAsia="zh-CN"/>
        </w:rPr>
        <w:t>按照本项目监理合同约定</w:t>
      </w:r>
      <w:r>
        <w:rPr>
          <w:rFonts w:hint="default" w:ascii="Times New Roman" w:hAnsi="Times New Roman" w:cs="Times New Roman"/>
          <w:color w:val="auto"/>
          <w:sz w:val="22"/>
          <w:szCs w:val="22"/>
          <w:highlight w:val="none"/>
          <w:u w:val="single"/>
        </w:rPr>
        <w:t xml:space="preserve">       </w:t>
      </w:r>
    </w:p>
    <w:p w14:paraId="167BF88F">
      <w:pPr>
        <w:pStyle w:val="4"/>
        <w:numPr>
          <w:ilvl w:val="0"/>
          <w:numId w:val="0"/>
        </w:numPr>
        <w:tabs>
          <w:tab w:val="left" w:pos="360"/>
          <w:tab w:val="left" w:pos="420"/>
          <w:tab w:val="left" w:pos="576"/>
        </w:tabs>
        <w:spacing w:line="420" w:lineRule="exact"/>
        <w:rPr>
          <w:rFonts w:hint="default" w:ascii="Times New Roman" w:hAnsi="Times New Roman" w:cs="Times New Roman"/>
          <w:b/>
          <w:bCs/>
          <w:color w:val="auto"/>
          <w:sz w:val="22"/>
          <w:szCs w:val="22"/>
          <w:highlight w:val="none"/>
        </w:rPr>
      </w:pPr>
      <w:bookmarkStart w:id="349" w:name="_Toc17959"/>
      <w:bookmarkStart w:id="350" w:name="_Toc469384095"/>
      <w:bookmarkStart w:id="351" w:name="_Toc1408211162"/>
      <w:r>
        <w:rPr>
          <w:rFonts w:hint="default" w:ascii="Times New Roman" w:hAnsi="Times New Roman" w:cs="Times New Roman"/>
          <w:b/>
          <w:bCs/>
          <w:color w:val="auto"/>
          <w:sz w:val="22"/>
          <w:szCs w:val="22"/>
          <w:highlight w:val="none"/>
        </w:rPr>
        <w:t>24. 造价工程师</w:t>
      </w:r>
      <w:bookmarkEnd w:id="349"/>
      <w:bookmarkEnd w:id="350"/>
      <w:bookmarkEnd w:id="351"/>
    </w:p>
    <w:p w14:paraId="3D1BBAD4">
      <w:pPr>
        <w:spacing w:line="420" w:lineRule="exact"/>
        <w:ind w:firstLine="110" w:firstLineChars="50"/>
        <w:rPr>
          <w:rFonts w:hint="default" w:ascii="Times New Roman" w:hAnsi="Times New Roman" w:cs="Times New Roman"/>
          <w:color w:val="auto"/>
          <w:sz w:val="22"/>
          <w:szCs w:val="22"/>
          <w:highlight w:val="none"/>
        </w:rPr>
      </w:pPr>
    </w:p>
    <w:p w14:paraId="34C44998">
      <w:pPr>
        <w:spacing w:line="420" w:lineRule="exact"/>
        <w:ind w:firstLine="110" w:firstLineChars="5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 xml:space="preserve">  24.1 负责合同工程的造价咨询单位及任命的造价工程师</w:t>
      </w:r>
    </w:p>
    <w:p w14:paraId="79C26ADB">
      <w:pPr>
        <w:spacing w:line="420" w:lineRule="exact"/>
        <w:ind w:firstLine="110" w:firstLineChars="50"/>
        <w:rPr>
          <w:rFonts w:hint="default" w:ascii="Times New Roman" w:hAnsi="Times New Roman" w:cs="Times New Roman"/>
          <w:color w:val="auto"/>
          <w:sz w:val="22"/>
          <w:szCs w:val="22"/>
          <w:highlight w:val="none"/>
          <w:u w:val="single"/>
        </w:rPr>
      </w:pPr>
      <w:r>
        <w:rPr>
          <w:rFonts w:hint="default" w:ascii="Times New Roman" w:hAnsi="Times New Roman" w:cs="Times New Roman"/>
          <w:color w:val="auto"/>
          <w:sz w:val="22"/>
          <w:szCs w:val="22"/>
          <w:highlight w:val="none"/>
        </w:rPr>
        <w:t xml:space="preserve"> （1） 工程造价咨询人（如有）：</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u w:val="single"/>
          <w:lang w:val="en-US" w:eastAsia="zh-CN"/>
        </w:rPr>
        <w:t xml:space="preserve"> </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rPr>
        <w:t xml:space="preserve"> 法定代表人：</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u w:val="single"/>
          <w:lang w:val="en-US" w:eastAsia="zh-CN"/>
        </w:rPr>
        <w:t xml:space="preserve">  </w:t>
      </w:r>
      <w:r>
        <w:rPr>
          <w:rFonts w:hint="default" w:ascii="Times New Roman" w:hAnsi="Times New Roman" w:cs="Times New Roman"/>
          <w:color w:val="auto"/>
          <w:sz w:val="22"/>
          <w:szCs w:val="22"/>
          <w:highlight w:val="none"/>
          <w:u w:val="single"/>
        </w:rPr>
        <w:t xml:space="preserve">         </w:t>
      </w:r>
    </w:p>
    <w:p w14:paraId="4A6C9353">
      <w:pPr>
        <w:spacing w:line="420" w:lineRule="exact"/>
        <w:ind w:firstLine="110" w:firstLineChars="50"/>
        <w:rPr>
          <w:rFonts w:hint="default" w:ascii="Times New Roman" w:hAnsi="Times New Roman" w:cs="Times New Roman"/>
          <w:color w:val="auto"/>
          <w:sz w:val="22"/>
          <w:szCs w:val="22"/>
          <w:highlight w:val="none"/>
        </w:rPr>
      </w:pPr>
    </w:p>
    <w:p w14:paraId="6FB6716C">
      <w:pPr>
        <w:spacing w:line="420" w:lineRule="exact"/>
        <w:ind w:firstLine="110" w:firstLineChars="5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 xml:space="preserve">  （2） 任命（              ）为造价工程师，其通讯方式为</w:t>
      </w:r>
    </w:p>
    <w:p w14:paraId="572D2116">
      <w:pPr>
        <w:spacing w:line="420" w:lineRule="exact"/>
        <w:ind w:left="120"/>
        <w:rPr>
          <w:rFonts w:hint="default" w:ascii="Times New Roman" w:hAnsi="Times New Roman" w:cs="Times New Roman"/>
          <w:color w:val="auto"/>
          <w:kern w:val="0"/>
          <w:sz w:val="22"/>
          <w:szCs w:val="22"/>
          <w:highlight w:val="none"/>
          <w:u w:val="single"/>
        </w:rPr>
      </w:pPr>
      <w:r>
        <w:rPr>
          <w:rFonts w:hint="default" w:ascii="Times New Roman" w:hAnsi="Times New Roman" w:cs="Times New Roman"/>
          <w:color w:val="auto"/>
          <w:sz w:val="22"/>
          <w:szCs w:val="22"/>
          <w:highlight w:val="none"/>
        </w:rPr>
        <w:t xml:space="preserve">      </w:t>
      </w:r>
      <w:r>
        <w:rPr>
          <w:rFonts w:hint="default" w:ascii="Times New Roman" w:hAnsi="Times New Roman" w:cs="Times New Roman"/>
          <w:color w:val="auto"/>
          <w:kern w:val="0"/>
          <w:sz w:val="22"/>
          <w:szCs w:val="22"/>
          <w:highlight w:val="none"/>
        </w:rPr>
        <w:t>通讯地址：</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rPr>
        <w:t xml:space="preserve"> 邮政编码：</w:t>
      </w:r>
      <w:r>
        <w:rPr>
          <w:rFonts w:hint="default" w:ascii="Times New Roman" w:hAnsi="Times New Roman" w:cs="Times New Roman"/>
          <w:color w:val="auto"/>
          <w:kern w:val="0"/>
          <w:sz w:val="22"/>
          <w:szCs w:val="22"/>
          <w:highlight w:val="none"/>
          <w:u w:val="single"/>
        </w:rPr>
        <w:t xml:space="preserve">              </w:t>
      </w:r>
    </w:p>
    <w:p w14:paraId="1C148D19">
      <w:pPr>
        <w:spacing w:line="420" w:lineRule="exact"/>
        <w:ind w:firstLine="110" w:firstLineChars="50"/>
        <w:rPr>
          <w:rFonts w:hint="default" w:ascii="Times New Roman" w:hAnsi="Times New Roman" w:cs="Times New Roman"/>
          <w:color w:val="auto"/>
          <w:sz w:val="22"/>
          <w:szCs w:val="22"/>
          <w:highlight w:val="none"/>
          <w:u w:val="single"/>
        </w:rPr>
      </w:pPr>
      <w:r>
        <w:rPr>
          <w:rFonts w:hint="default" w:ascii="Times New Roman" w:hAnsi="Times New Roman" w:cs="Times New Roman"/>
          <w:color w:val="auto"/>
          <w:sz w:val="22"/>
          <w:szCs w:val="22"/>
          <w:highlight w:val="none"/>
        </w:rPr>
        <w:t xml:space="preserve">      联系电话：</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rPr>
        <w:t xml:space="preserve"> 传真号码：</w:t>
      </w:r>
      <w:r>
        <w:rPr>
          <w:rFonts w:hint="default" w:ascii="Times New Roman" w:hAnsi="Times New Roman" w:cs="Times New Roman"/>
          <w:color w:val="auto"/>
          <w:sz w:val="22"/>
          <w:szCs w:val="22"/>
          <w:highlight w:val="none"/>
          <w:u w:val="single"/>
        </w:rPr>
        <w:t xml:space="preserve">              </w:t>
      </w:r>
    </w:p>
    <w:p w14:paraId="7C29FA81">
      <w:pPr>
        <w:spacing w:line="420" w:lineRule="exact"/>
        <w:ind w:firstLine="110" w:firstLineChars="50"/>
        <w:rPr>
          <w:rFonts w:hint="default" w:ascii="Times New Roman" w:hAnsi="Times New Roman" w:cs="Times New Roman"/>
          <w:color w:val="auto"/>
          <w:sz w:val="22"/>
          <w:szCs w:val="22"/>
          <w:highlight w:val="none"/>
          <w:u w:val="single"/>
        </w:rPr>
      </w:pPr>
    </w:p>
    <w:p w14:paraId="58D33A47">
      <w:pPr>
        <w:spacing w:line="420" w:lineRule="exact"/>
        <w:ind w:firstLine="110" w:firstLineChars="5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 xml:space="preserve">  24.3 （7）需要发包人批准的其他事项：</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rPr>
        <w:t xml:space="preserve">    </w:t>
      </w:r>
    </w:p>
    <w:p w14:paraId="0D530808">
      <w:pPr>
        <w:pStyle w:val="4"/>
        <w:numPr>
          <w:ilvl w:val="0"/>
          <w:numId w:val="0"/>
        </w:numPr>
        <w:tabs>
          <w:tab w:val="left" w:pos="360"/>
          <w:tab w:val="left" w:pos="420"/>
          <w:tab w:val="left" w:pos="576"/>
        </w:tabs>
        <w:spacing w:line="420" w:lineRule="exact"/>
        <w:rPr>
          <w:rFonts w:hint="default" w:ascii="Times New Roman" w:hAnsi="Times New Roman" w:cs="Times New Roman"/>
          <w:b/>
          <w:bCs/>
          <w:color w:val="auto"/>
          <w:sz w:val="22"/>
          <w:szCs w:val="22"/>
          <w:highlight w:val="none"/>
        </w:rPr>
      </w:pPr>
      <w:bookmarkStart w:id="352" w:name="_Toc31618"/>
      <w:bookmarkStart w:id="353" w:name="_Toc1617827305"/>
      <w:bookmarkStart w:id="354" w:name="_Toc469384096"/>
      <w:r>
        <w:rPr>
          <w:rFonts w:hint="default" w:ascii="Times New Roman" w:hAnsi="Times New Roman" w:cs="Times New Roman"/>
          <w:b/>
          <w:bCs/>
          <w:color w:val="auto"/>
          <w:sz w:val="22"/>
          <w:szCs w:val="22"/>
          <w:highlight w:val="none"/>
        </w:rPr>
        <w:t>25. 承包人代表</w:t>
      </w:r>
      <w:bookmarkEnd w:id="352"/>
      <w:bookmarkEnd w:id="353"/>
      <w:bookmarkEnd w:id="354"/>
    </w:p>
    <w:p w14:paraId="44903D50">
      <w:pPr>
        <w:spacing w:line="420" w:lineRule="exact"/>
        <w:ind w:firstLine="110" w:firstLineChars="50"/>
        <w:rPr>
          <w:rFonts w:hint="default" w:ascii="Times New Roman" w:hAnsi="Times New Roman" w:cs="Times New Roman"/>
          <w:color w:val="auto"/>
          <w:sz w:val="22"/>
          <w:szCs w:val="22"/>
          <w:highlight w:val="none"/>
        </w:rPr>
      </w:pPr>
    </w:p>
    <w:p w14:paraId="29C148E9">
      <w:pPr>
        <w:spacing w:line="420" w:lineRule="exact"/>
        <w:ind w:firstLine="110" w:firstLineChars="5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 xml:space="preserve">  25.1 承包人任命（</w:t>
      </w:r>
      <w:r>
        <w:rPr>
          <w:rFonts w:hint="default" w:ascii="Times New Roman" w:hAnsi="Times New Roman" w:cs="Times New Roman"/>
          <w:color w:val="auto"/>
          <w:sz w:val="22"/>
          <w:szCs w:val="22"/>
          <w:highlight w:val="none"/>
          <w:lang w:eastAsia="zh-CN"/>
        </w:rPr>
        <w:t>姓名：</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u w:val="single"/>
          <w:lang w:val="en-US" w:eastAsia="zh-CN"/>
        </w:rPr>
        <w:t xml:space="preserve"> </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sz w:val="22"/>
          <w:szCs w:val="22"/>
          <w:highlight w:val="none"/>
        </w:rPr>
        <w:t xml:space="preserve"> ，身份证号：</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sz w:val="22"/>
          <w:szCs w:val="22"/>
          <w:highlight w:val="none"/>
        </w:rPr>
        <w:t xml:space="preserve"> 资格证书编号：</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sz w:val="22"/>
          <w:szCs w:val="22"/>
          <w:highlight w:val="none"/>
        </w:rPr>
        <w:t>）为承包人代表（项目经理），其通讯方式为：</w:t>
      </w:r>
    </w:p>
    <w:p w14:paraId="31B7101C">
      <w:pPr>
        <w:spacing w:line="420" w:lineRule="exact"/>
        <w:ind w:left="120"/>
        <w:rPr>
          <w:rFonts w:hint="default" w:ascii="Times New Roman" w:hAnsi="Times New Roman" w:cs="Times New Roman"/>
          <w:color w:val="auto"/>
          <w:kern w:val="0"/>
          <w:sz w:val="22"/>
          <w:szCs w:val="22"/>
          <w:highlight w:val="none"/>
          <w:u w:val="single"/>
        </w:rPr>
      </w:pPr>
      <w:r>
        <w:rPr>
          <w:rFonts w:hint="default" w:ascii="Times New Roman" w:hAnsi="Times New Roman" w:cs="Times New Roman"/>
          <w:color w:val="auto"/>
          <w:sz w:val="22"/>
          <w:szCs w:val="22"/>
          <w:highlight w:val="none"/>
        </w:rPr>
        <w:t xml:space="preserve">      </w:t>
      </w:r>
      <w:r>
        <w:rPr>
          <w:rFonts w:hint="default" w:ascii="Times New Roman" w:hAnsi="Times New Roman" w:cs="Times New Roman"/>
          <w:color w:val="auto"/>
          <w:kern w:val="0"/>
          <w:sz w:val="22"/>
          <w:szCs w:val="22"/>
          <w:highlight w:val="none"/>
        </w:rPr>
        <w:t>通讯地址：</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rPr>
        <w:t xml:space="preserve">   邮政编码：</w:t>
      </w:r>
      <w:r>
        <w:rPr>
          <w:rFonts w:hint="default" w:ascii="Times New Roman" w:hAnsi="Times New Roman" w:cs="Times New Roman"/>
          <w:color w:val="auto"/>
          <w:sz w:val="22"/>
          <w:szCs w:val="22"/>
          <w:highlight w:val="none"/>
          <w:u w:val="single"/>
        </w:rPr>
        <w:t xml:space="preserve">          </w:t>
      </w:r>
    </w:p>
    <w:p w14:paraId="1DE4540D">
      <w:pPr>
        <w:spacing w:line="420" w:lineRule="exact"/>
        <w:ind w:firstLine="110" w:firstLineChars="5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 xml:space="preserve">      联系电话：</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sz w:val="22"/>
          <w:szCs w:val="22"/>
          <w:highlight w:val="none"/>
        </w:rPr>
        <w:t xml:space="preserve">   传真号码：</w:t>
      </w:r>
      <w:r>
        <w:rPr>
          <w:rFonts w:hint="default" w:ascii="Times New Roman" w:hAnsi="Times New Roman" w:cs="Times New Roman"/>
          <w:color w:val="auto"/>
          <w:sz w:val="22"/>
          <w:szCs w:val="22"/>
          <w:highlight w:val="none"/>
          <w:u w:val="single"/>
        </w:rPr>
        <w:t xml:space="preserve">          </w:t>
      </w:r>
    </w:p>
    <w:p w14:paraId="0A96CDB8">
      <w:pPr>
        <w:spacing w:line="420" w:lineRule="exact"/>
        <w:ind w:firstLine="220" w:firstLineChars="10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25.2承包人现场管理机构主要管理人员除了作为承包人代表的项目经理，还包括项目副经理（如有</w:t>
      </w:r>
      <w:r>
        <w:rPr>
          <w:rFonts w:hint="default" w:ascii="Times New Roman" w:hAnsi="Times New Roman" w:cs="Times New Roman"/>
          <w:color w:val="auto"/>
          <w:kern w:val="0"/>
          <w:sz w:val="22"/>
          <w:szCs w:val="22"/>
          <w:highlight w:val="none"/>
          <w:lang w:eastAsia="zh-CN"/>
        </w:rPr>
        <w:t>）</w:t>
      </w:r>
      <w:r>
        <w:rPr>
          <w:rFonts w:hint="default" w:ascii="Times New Roman" w:hAnsi="Times New Roman" w:cs="Times New Roman"/>
          <w:color w:val="auto"/>
          <w:kern w:val="0"/>
          <w:sz w:val="22"/>
          <w:szCs w:val="22"/>
          <w:highlight w:val="none"/>
        </w:rPr>
        <w:t>以及技术负责人、安全负责人等。</w:t>
      </w:r>
    </w:p>
    <w:p w14:paraId="32D2C6CA">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40" w:firstLineChars="200"/>
        <w:textAlignment w:val="auto"/>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lang w:eastAsia="zh-CN"/>
        </w:rPr>
        <w:t>（</w:t>
      </w:r>
      <w:r>
        <w:rPr>
          <w:rFonts w:hint="default" w:ascii="Times New Roman" w:hAnsi="Times New Roman" w:cs="Times New Roman"/>
          <w:color w:val="auto"/>
          <w:kern w:val="0"/>
          <w:sz w:val="22"/>
          <w:szCs w:val="22"/>
          <w:highlight w:val="none"/>
          <w:lang w:val="en-US" w:eastAsia="zh-CN"/>
        </w:rPr>
        <w:t>1</w:t>
      </w:r>
      <w:r>
        <w:rPr>
          <w:rFonts w:hint="default" w:ascii="Times New Roman" w:hAnsi="Times New Roman" w:cs="Times New Roman"/>
          <w:color w:val="auto"/>
          <w:kern w:val="0"/>
          <w:sz w:val="22"/>
          <w:szCs w:val="22"/>
          <w:highlight w:val="none"/>
          <w:lang w:eastAsia="zh-CN"/>
        </w:rPr>
        <w:t>）</w:t>
      </w:r>
      <w:r>
        <w:rPr>
          <w:rFonts w:hint="default" w:ascii="Times New Roman" w:hAnsi="Times New Roman" w:cs="Times New Roman"/>
          <w:color w:val="auto"/>
          <w:kern w:val="0"/>
          <w:sz w:val="22"/>
          <w:szCs w:val="22"/>
          <w:highlight w:val="none"/>
        </w:rPr>
        <w:t>承包人在本工程验收前更换项目经理、技术负责人、安全负责人等在投标文件中所承诺的主要管理人员，需经建设管理单位书面批准并办理更换手续。因人员辞职更换主要管理人员的，应在相关人员辞职手续完成后一周内向发包人提交相关证明材料</w:t>
      </w:r>
      <w:r>
        <w:rPr>
          <w:rFonts w:hint="default" w:ascii="Times New Roman" w:hAnsi="Times New Roman" w:cs="Times New Roman"/>
          <w:color w:val="auto"/>
          <w:kern w:val="0"/>
          <w:sz w:val="22"/>
          <w:szCs w:val="22"/>
          <w:highlight w:val="none"/>
          <w:lang w:eastAsia="zh-CN"/>
        </w:rPr>
        <w:t>（</w:t>
      </w:r>
      <w:r>
        <w:rPr>
          <w:rFonts w:hint="default" w:ascii="Times New Roman" w:hAnsi="Times New Roman" w:cs="Times New Roman"/>
          <w:color w:val="auto"/>
          <w:kern w:val="0"/>
          <w:sz w:val="22"/>
          <w:szCs w:val="22"/>
          <w:highlight w:val="none"/>
        </w:rPr>
        <w:t>辞职流程文件或社保停保证明等</w:t>
      </w:r>
      <w:r>
        <w:rPr>
          <w:rFonts w:hint="default" w:ascii="Times New Roman" w:hAnsi="Times New Roman" w:cs="Times New Roman"/>
          <w:color w:val="auto"/>
          <w:kern w:val="0"/>
          <w:sz w:val="22"/>
          <w:szCs w:val="22"/>
          <w:highlight w:val="none"/>
          <w:lang w:eastAsia="zh-CN"/>
        </w:rPr>
        <w:t>）</w:t>
      </w:r>
      <w:r>
        <w:rPr>
          <w:rFonts w:hint="default" w:ascii="Times New Roman" w:hAnsi="Times New Roman" w:cs="Times New Roman"/>
          <w:color w:val="auto"/>
          <w:kern w:val="0"/>
          <w:sz w:val="22"/>
          <w:szCs w:val="22"/>
          <w:highlight w:val="none"/>
        </w:rPr>
        <w:t>申请更换。因其他原因更换主要人员的，承包人应支付违约金 50 万元/人次</w:t>
      </w:r>
      <w:r>
        <w:rPr>
          <w:rFonts w:hint="default" w:ascii="Times New Roman" w:hAnsi="Times New Roman" w:cs="Times New Roman"/>
          <w:color w:val="auto"/>
          <w:kern w:val="0"/>
          <w:sz w:val="22"/>
          <w:szCs w:val="22"/>
          <w:highlight w:val="none"/>
          <w:lang w:eastAsia="zh-CN"/>
        </w:rPr>
        <w:t>（</w:t>
      </w:r>
      <w:r>
        <w:rPr>
          <w:rFonts w:hint="default" w:ascii="Times New Roman" w:hAnsi="Times New Roman" w:cs="Times New Roman"/>
          <w:color w:val="auto"/>
          <w:kern w:val="0"/>
          <w:sz w:val="22"/>
          <w:szCs w:val="22"/>
          <w:highlight w:val="none"/>
        </w:rPr>
        <w:t>施工过程中主要人员不能按要求到位累计 5 次或以上，视为更换</w:t>
      </w:r>
      <w:r>
        <w:rPr>
          <w:rFonts w:hint="default" w:ascii="Times New Roman" w:hAnsi="Times New Roman" w:cs="Times New Roman"/>
          <w:color w:val="auto"/>
          <w:kern w:val="0"/>
          <w:sz w:val="22"/>
          <w:szCs w:val="22"/>
          <w:highlight w:val="none"/>
          <w:lang w:eastAsia="zh-CN"/>
        </w:rPr>
        <w:t>）</w:t>
      </w:r>
      <w:r>
        <w:rPr>
          <w:rFonts w:hint="default" w:ascii="Times New Roman" w:hAnsi="Times New Roman" w:cs="Times New Roman"/>
          <w:color w:val="auto"/>
          <w:kern w:val="0"/>
          <w:sz w:val="22"/>
          <w:szCs w:val="22"/>
          <w:highlight w:val="none"/>
        </w:rPr>
        <w:t>: (重病</w:t>
      </w:r>
      <w:r>
        <w:rPr>
          <w:rFonts w:hint="default" w:ascii="Times New Roman" w:hAnsi="Times New Roman" w:cs="Times New Roman"/>
          <w:color w:val="auto"/>
          <w:kern w:val="0"/>
          <w:sz w:val="22"/>
          <w:szCs w:val="22"/>
          <w:highlight w:val="none"/>
          <w:lang w:eastAsia="zh-CN"/>
        </w:rPr>
        <w:t>或者</w:t>
      </w:r>
      <w:r>
        <w:rPr>
          <w:rFonts w:hint="default" w:ascii="Times New Roman" w:hAnsi="Times New Roman" w:cs="Times New Roman"/>
          <w:color w:val="auto"/>
          <w:kern w:val="0"/>
          <w:sz w:val="22"/>
          <w:szCs w:val="22"/>
          <w:highlight w:val="none"/>
        </w:rPr>
        <w:t>重</w:t>
      </w:r>
      <w:r>
        <w:rPr>
          <w:rFonts w:hint="default" w:ascii="Times New Roman" w:hAnsi="Times New Roman" w:cs="Times New Roman"/>
          <w:color w:val="auto"/>
          <w:kern w:val="0"/>
          <w:sz w:val="22"/>
          <w:szCs w:val="22"/>
          <w:highlight w:val="none"/>
          <w:lang w:eastAsia="zh-CN"/>
        </w:rPr>
        <w:t>伤（</w:t>
      </w:r>
      <w:r>
        <w:rPr>
          <w:rFonts w:hint="default" w:ascii="Times New Roman" w:hAnsi="Times New Roman" w:cs="Times New Roman"/>
          <w:color w:val="auto"/>
          <w:kern w:val="0"/>
          <w:sz w:val="22"/>
          <w:szCs w:val="22"/>
          <w:highlight w:val="none"/>
        </w:rPr>
        <w:t>持有 县、区以上医院证明，两个月以上不能履行职责]及身故办理更换除外</w:t>
      </w:r>
      <w:r>
        <w:rPr>
          <w:rFonts w:hint="default" w:ascii="Times New Roman" w:hAnsi="Times New Roman" w:cs="Times New Roman"/>
          <w:color w:val="auto"/>
          <w:kern w:val="0"/>
          <w:sz w:val="22"/>
          <w:szCs w:val="22"/>
          <w:highlight w:val="none"/>
          <w:lang w:eastAsia="zh-CN"/>
        </w:rPr>
        <w:t>）</w:t>
      </w:r>
      <w:r>
        <w:rPr>
          <w:rFonts w:hint="default" w:ascii="Times New Roman" w:hAnsi="Times New Roman" w:cs="Times New Roman"/>
          <w:color w:val="auto"/>
          <w:kern w:val="0"/>
          <w:sz w:val="22"/>
          <w:szCs w:val="22"/>
          <w:highlight w:val="none"/>
        </w:rPr>
        <w:t>。</w:t>
      </w:r>
    </w:p>
    <w:p w14:paraId="1EFEB62E">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leftChars="200"/>
        <w:textAlignment w:val="auto"/>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接任的承包人代表的资质、资历、学历、职称、业绩、实际工作能力应不低于前任代表，且应继续行使合同规定的前任承包人代表的职权和履行相应的义务，否则承包人需按照上述违约金的双倍支付违约金。更换人员比例达到 20%及以上的，建设管理单位有权解除合同并扣除全部履约保证金。</w:t>
      </w:r>
    </w:p>
    <w:p w14:paraId="5D6C8459">
      <w:pPr>
        <w:keepNext w:val="0"/>
        <w:keepLines w:val="0"/>
        <w:pageBreakBefore w:val="0"/>
        <w:widowControl w:val="0"/>
        <w:kinsoku/>
        <w:wordWrap/>
        <w:overflowPunct/>
        <w:topLinePunct w:val="0"/>
        <w:autoSpaceDE/>
        <w:autoSpaceDN/>
        <w:bidi w:val="0"/>
        <w:adjustRightInd/>
        <w:snapToGrid/>
        <w:spacing w:line="420" w:lineRule="exact"/>
        <w:ind w:left="119" w:firstLine="440" w:firstLineChars="200"/>
        <w:textAlignment w:val="auto"/>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lang w:eastAsia="zh-CN"/>
        </w:rPr>
        <w:t>（</w:t>
      </w:r>
      <w:r>
        <w:rPr>
          <w:rFonts w:hint="default" w:ascii="Times New Roman" w:hAnsi="Times New Roman" w:cs="Times New Roman"/>
          <w:color w:val="auto"/>
          <w:kern w:val="0"/>
          <w:sz w:val="22"/>
          <w:szCs w:val="22"/>
          <w:highlight w:val="none"/>
          <w:lang w:val="en-US" w:eastAsia="zh-CN"/>
        </w:rPr>
        <w:t>2</w:t>
      </w:r>
      <w:r>
        <w:rPr>
          <w:rFonts w:hint="default" w:ascii="Times New Roman" w:hAnsi="Times New Roman" w:cs="Times New Roman"/>
          <w:color w:val="auto"/>
          <w:kern w:val="0"/>
          <w:sz w:val="22"/>
          <w:szCs w:val="22"/>
          <w:highlight w:val="none"/>
          <w:lang w:eastAsia="zh-CN"/>
        </w:rPr>
        <w:t>）</w:t>
      </w:r>
      <w:r>
        <w:rPr>
          <w:rFonts w:hint="default" w:ascii="Times New Roman" w:hAnsi="Times New Roman" w:cs="Times New Roman"/>
          <w:color w:val="auto"/>
          <w:kern w:val="0"/>
          <w:sz w:val="22"/>
          <w:szCs w:val="22"/>
          <w:highlight w:val="none"/>
        </w:rPr>
        <w:t>承包人如需更换项目经理，应具备下列条件</w:t>
      </w:r>
      <w:r>
        <w:rPr>
          <w:rFonts w:hint="default" w:ascii="Times New Roman" w:hAnsi="Times New Roman" w:cs="Times New Roman"/>
          <w:color w:val="auto"/>
          <w:kern w:val="0"/>
          <w:sz w:val="22"/>
          <w:szCs w:val="22"/>
          <w:highlight w:val="none"/>
          <w:lang w:eastAsia="zh-CN"/>
        </w:rPr>
        <w:t>：</w:t>
      </w:r>
    </w:p>
    <w:p w14:paraId="49188AB3">
      <w:pPr>
        <w:keepNext w:val="0"/>
        <w:keepLines w:val="0"/>
        <w:pageBreakBefore w:val="0"/>
        <w:widowControl w:val="0"/>
        <w:kinsoku/>
        <w:wordWrap/>
        <w:overflowPunct/>
        <w:topLinePunct w:val="0"/>
        <w:autoSpaceDE/>
        <w:autoSpaceDN/>
        <w:bidi w:val="0"/>
        <w:adjustRightInd/>
        <w:snapToGrid/>
        <w:spacing w:line="420" w:lineRule="exact"/>
        <w:ind w:left="119" w:firstLine="440" w:firstLineChars="200"/>
        <w:textAlignment w:val="auto"/>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①新更换的项目经理必须与投标时所报项目经理的专业一致且资质、资历、学历、职称、业绩、实际工作能力应等于或高于前任代表，且应继续行使合同规定的前任承包人代表的职权和履行相应的义务。</w:t>
      </w:r>
    </w:p>
    <w:p w14:paraId="37B1CFB2">
      <w:pPr>
        <w:keepNext w:val="0"/>
        <w:keepLines w:val="0"/>
        <w:pageBreakBefore w:val="0"/>
        <w:widowControl w:val="0"/>
        <w:kinsoku/>
        <w:wordWrap/>
        <w:overflowPunct/>
        <w:topLinePunct w:val="0"/>
        <w:autoSpaceDE/>
        <w:autoSpaceDN/>
        <w:bidi w:val="0"/>
        <w:adjustRightInd/>
        <w:snapToGrid/>
        <w:spacing w:line="420" w:lineRule="exact"/>
        <w:ind w:left="119" w:firstLine="440" w:firstLineChars="200"/>
        <w:textAlignment w:val="auto"/>
        <w:rPr>
          <w:rFonts w:hint="default" w:ascii="Times New Roman" w:hAnsi="Times New Roman" w:eastAsia="宋体" w:cs="Times New Roman"/>
          <w:color w:val="auto"/>
          <w:kern w:val="0"/>
          <w:sz w:val="22"/>
          <w:szCs w:val="22"/>
          <w:highlight w:val="none"/>
          <w:lang w:eastAsia="zh-CN"/>
        </w:rPr>
      </w:pPr>
      <w:r>
        <w:rPr>
          <w:rFonts w:hint="default" w:ascii="Times New Roman" w:hAnsi="Times New Roman" w:cs="Times New Roman"/>
          <w:color w:val="auto"/>
          <w:kern w:val="0"/>
          <w:sz w:val="22"/>
          <w:szCs w:val="22"/>
          <w:highlight w:val="none"/>
        </w:rPr>
        <w:t>②不能同时在其他工程项目中服务</w:t>
      </w:r>
      <w:r>
        <w:rPr>
          <w:rFonts w:hint="default" w:ascii="Times New Roman" w:hAnsi="Times New Roman" w:cs="Times New Roman"/>
          <w:color w:val="auto"/>
          <w:kern w:val="0"/>
          <w:sz w:val="22"/>
          <w:szCs w:val="22"/>
          <w:highlight w:val="none"/>
          <w:lang w:eastAsia="zh-CN"/>
        </w:rPr>
        <w:t>。</w:t>
      </w:r>
    </w:p>
    <w:p w14:paraId="6750433F">
      <w:pPr>
        <w:keepNext w:val="0"/>
        <w:keepLines w:val="0"/>
        <w:pageBreakBefore w:val="0"/>
        <w:widowControl w:val="0"/>
        <w:kinsoku/>
        <w:wordWrap/>
        <w:overflowPunct/>
        <w:topLinePunct w:val="0"/>
        <w:autoSpaceDE/>
        <w:autoSpaceDN/>
        <w:bidi w:val="0"/>
        <w:adjustRightInd/>
        <w:snapToGrid/>
        <w:spacing w:line="420" w:lineRule="exact"/>
        <w:ind w:left="119" w:firstLine="440" w:firstLineChars="200"/>
        <w:textAlignment w:val="auto"/>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③至少提前 7天以书面形式通知建设管理单位，并征得建设管理单位书面同意。</w:t>
      </w:r>
    </w:p>
    <w:p w14:paraId="467959D7">
      <w:pPr>
        <w:keepNext w:val="0"/>
        <w:keepLines w:val="0"/>
        <w:pageBreakBefore w:val="0"/>
        <w:widowControl w:val="0"/>
        <w:kinsoku/>
        <w:wordWrap/>
        <w:overflowPunct/>
        <w:topLinePunct w:val="0"/>
        <w:autoSpaceDE/>
        <w:autoSpaceDN/>
        <w:bidi w:val="0"/>
        <w:adjustRightInd/>
        <w:snapToGrid/>
        <w:spacing w:line="420" w:lineRule="exact"/>
        <w:ind w:left="119" w:firstLine="440" w:firstLineChars="200"/>
        <w:textAlignment w:val="auto"/>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3）前任承包人代表应与后任承包人代表做好交接工作，后任承包人代表继续行使合同规定的承包人代表的职权和履行相应的义务，承包人应督促做好前述工作，如发现由于承包人代表的更换令至建设管理单位受到影响，建设管理单位有权扣除罚金最高 50 万元/每人次</w:t>
      </w:r>
      <w:r>
        <w:rPr>
          <w:rFonts w:hint="default" w:ascii="Times New Roman" w:hAnsi="Times New Roman" w:cs="Times New Roman"/>
          <w:color w:val="auto"/>
          <w:kern w:val="0"/>
          <w:sz w:val="22"/>
          <w:szCs w:val="22"/>
          <w:highlight w:val="none"/>
          <w:lang w:eastAsia="zh-CN"/>
        </w:rPr>
        <w:t>（</w:t>
      </w:r>
      <w:r>
        <w:rPr>
          <w:rFonts w:hint="default" w:ascii="Times New Roman" w:hAnsi="Times New Roman" w:cs="Times New Roman"/>
          <w:color w:val="auto"/>
          <w:kern w:val="0"/>
          <w:sz w:val="22"/>
          <w:szCs w:val="22"/>
          <w:highlight w:val="none"/>
        </w:rPr>
        <w:t>以建设管理单位通知金额为准</w:t>
      </w:r>
      <w:r>
        <w:rPr>
          <w:rFonts w:hint="default" w:ascii="Times New Roman" w:hAnsi="Times New Roman" w:cs="Times New Roman"/>
          <w:color w:val="auto"/>
          <w:kern w:val="0"/>
          <w:sz w:val="22"/>
          <w:szCs w:val="22"/>
          <w:highlight w:val="none"/>
          <w:lang w:eastAsia="zh-CN"/>
        </w:rPr>
        <w:t>）</w:t>
      </w:r>
      <w:r>
        <w:rPr>
          <w:rFonts w:hint="default" w:ascii="Times New Roman" w:hAnsi="Times New Roman" w:cs="Times New Roman"/>
          <w:color w:val="auto"/>
          <w:kern w:val="0"/>
          <w:sz w:val="22"/>
          <w:szCs w:val="22"/>
          <w:highlight w:val="none"/>
        </w:rPr>
        <w:t>。</w:t>
      </w:r>
    </w:p>
    <w:p w14:paraId="6E9C6799">
      <w:pPr>
        <w:keepNext w:val="0"/>
        <w:keepLines w:val="0"/>
        <w:pageBreakBefore w:val="0"/>
        <w:widowControl w:val="0"/>
        <w:kinsoku/>
        <w:wordWrap/>
        <w:overflowPunct/>
        <w:topLinePunct w:val="0"/>
        <w:autoSpaceDE/>
        <w:autoSpaceDN/>
        <w:bidi w:val="0"/>
        <w:adjustRightInd/>
        <w:snapToGrid/>
        <w:spacing w:line="420" w:lineRule="exact"/>
        <w:ind w:left="119" w:firstLine="440" w:firstLineChars="200"/>
        <w:textAlignment w:val="auto"/>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（4）若项目经理或现场管理机构主要部门负责人的实际工作能力和工作表现达不到招标文件明确要求、或工作态度存在严重不足</w:t>
      </w:r>
      <w:r>
        <w:rPr>
          <w:rFonts w:hint="default" w:ascii="Times New Roman" w:hAnsi="Times New Roman" w:cs="Times New Roman"/>
          <w:color w:val="auto"/>
          <w:kern w:val="0"/>
          <w:sz w:val="22"/>
          <w:szCs w:val="22"/>
          <w:highlight w:val="none"/>
          <w:lang w:eastAsia="zh-CN"/>
        </w:rPr>
        <w:t>（</w:t>
      </w:r>
      <w:r>
        <w:rPr>
          <w:rFonts w:hint="default" w:ascii="Times New Roman" w:hAnsi="Times New Roman" w:cs="Times New Roman"/>
          <w:color w:val="auto"/>
          <w:kern w:val="0"/>
          <w:sz w:val="22"/>
          <w:szCs w:val="22"/>
          <w:highlight w:val="none"/>
        </w:rPr>
        <w:t xml:space="preserve">如无故不出席建设管理单位、监理工程师组织的有关会议),不适应现场工作需要，建设管理单位有权向承包人提出更换，承包人应在收到通知后7天内提供调换人员名单和简历等资料，或者向建设管理单位提交整改报告，建设管理单位不予以接受的，则承包人必须在收到第二次通知的 7 天内无条件更换 </w:t>
      </w:r>
      <w:r>
        <w:rPr>
          <w:rFonts w:hint="default" w:ascii="Times New Roman" w:hAnsi="Times New Roman" w:cs="Times New Roman"/>
          <w:color w:val="auto"/>
          <w:kern w:val="0"/>
          <w:sz w:val="22"/>
          <w:szCs w:val="22"/>
          <w:highlight w:val="none"/>
          <w:lang w:eastAsia="zh-CN"/>
        </w:rPr>
        <w:t>（</w:t>
      </w:r>
      <w:r>
        <w:rPr>
          <w:rFonts w:hint="default" w:ascii="Times New Roman" w:hAnsi="Times New Roman" w:cs="Times New Roman"/>
          <w:color w:val="auto"/>
          <w:kern w:val="0"/>
          <w:sz w:val="22"/>
          <w:szCs w:val="22"/>
          <w:highlight w:val="none"/>
        </w:rPr>
        <w:t>且更换人员的违约责任适用专业条款 25.2(1</w:t>
      </w:r>
      <w:r>
        <w:rPr>
          <w:rFonts w:hint="default" w:ascii="Times New Roman" w:hAnsi="Times New Roman" w:cs="Times New Roman"/>
          <w:color w:val="auto"/>
          <w:kern w:val="0"/>
          <w:sz w:val="22"/>
          <w:szCs w:val="22"/>
          <w:highlight w:val="none"/>
          <w:lang w:eastAsia="zh-CN"/>
        </w:rPr>
        <w:t>）</w:t>
      </w:r>
      <w:r>
        <w:rPr>
          <w:rFonts w:hint="default" w:ascii="Times New Roman" w:hAnsi="Times New Roman" w:cs="Times New Roman"/>
          <w:color w:val="auto"/>
          <w:kern w:val="0"/>
          <w:sz w:val="22"/>
          <w:szCs w:val="22"/>
          <w:highlight w:val="none"/>
        </w:rPr>
        <w:t>的规定</w:t>
      </w:r>
      <w:r>
        <w:rPr>
          <w:rFonts w:hint="default" w:ascii="Times New Roman" w:hAnsi="Times New Roman" w:cs="Times New Roman"/>
          <w:color w:val="auto"/>
          <w:kern w:val="0"/>
          <w:sz w:val="22"/>
          <w:szCs w:val="22"/>
          <w:highlight w:val="none"/>
          <w:lang w:eastAsia="zh-CN"/>
        </w:rPr>
        <w:t>）</w:t>
      </w:r>
      <w:r>
        <w:rPr>
          <w:rFonts w:hint="default" w:ascii="Times New Roman" w:hAnsi="Times New Roman" w:cs="Times New Roman"/>
          <w:color w:val="auto"/>
          <w:kern w:val="0"/>
          <w:sz w:val="22"/>
          <w:szCs w:val="22"/>
          <w:highlight w:val="none"/>
        </w:rPr>
        <w:t>，所调换人员的资质、资历、学历、职称、业绩、 实际工作能力不低于原投标书中所承诺人员的综合素质。</w:t>
      </w:r>
    </w:p>
    <w:p w14:paraId="08DBB5B6">
      <w:pPr>
        <w:pStyle w:val="4"/>
        <w:numPr>
          <w:ilvl w:val="0"/>
          <w:numId w:val="0"/>
        </w:numPr>
        <w:tabs>
          <w:tab w:val="left" w:pos="360"/>
          <w:tab w:val="left" w:pos="420"/>
          <w:tab w:val="left" w:pos="576"/>
        </w:tabs>
        <w:spacing w:line="420" w:lineRule="exact"/>
        <w:rPr>
          <w:rFonts w:hint="default" w:ascii="Times New Roman" w:hAnsi="Times New Roman" w:cs="Times New Roman"/>
          <w:b/>
          <w:bCs/>
          <w:color w:val="auto"/>
          <w:sz w:val="22"/>
          <w:szCs w:val="22"/>
          <w:highlight w:val="none"/>
        </w:rPr>
      </w:pPr>
      <w:bookmarkStart w:id="355" w:name="_Toc469384097"/>
      <w:bookmarkStart w:id="356" w:name="_Toc11408"/>
      <w:bookmarkStart w:id="357" w:name="_Toc465915266"/>
      <w:r>
        <w:rPr>
          <w:rFonts w:hint="default" w:ascii="Times New Roman" w:hAnsi="Times New Roman" w:cs="Times New Roman"/>
          <w:b/>
          <w:bCs/>
          <w:color w:val="auto"/>
          <w:sz w:val="22"/>
          <w:szCs w:val="22"/>
          <w:highlight w:val="none"/>
        </w:rPr>
        <w:t>26. 指定分包人</w:t>
      </w:r>
      <w:bookmarkEnd w:id="355"/>
      <w:bookmarkEnd w:id="356"/>
      <w:bookmarkEnd w:id="357"/>
    </w:p>
    <w:p w14:paraId="6E995D90">
      <w:pPr>
        <w:spacing w:line="420" w:lineRule="exact"/>
        <w:ind w:firstLine="110" w:firstLineChars="50"/>
        <w:rPr>
          <w:rFonts w:hint="default" w:ascii="Times New Roman" w:hAnsi="Times New Roman" w:cs="Times New Roman"/>
          <w:color w:val="auto"/>
          <w:sz w:val="22"/>
          <w:szCs w:val="22"/>
          <w:highlight w:val="none"/>
        </w:rPr>
      </w:pPr>
    </w:p>
    <w:p w14:paraId="0F329385">
      <w:pPr>
        <w:spacing w:line="420" w:lineRule="exact"/>
        <w:ind w:firstLine="110" w:firstLineChars="5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 xml:space="preserve">  26.1 依法指定的分包人</w:t>
      </w:r>
    </w:p>
    <w:p w14:paraId="3934A001">
      <w:pPr>
        <w:spacing w:line="420" w:lineRule="exact"/>
        <w:ind w:firstLine="110" w:firstLineChars="5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 xml:space="preserve">  （1） 实施、完成部分永久工程的分包人：</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kern w:val="0"/>
          <w:sz w:val="22"/>
          <w:szCs w:val="22"/>
          <w:highlight w:val="none"/>
          <w:u w:val="single"/>
        </w:rPr>
        <w:t>/</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rPr>
        <w:t xml:space="preserve"> </w:t>
      </w:r>
    </w:p>
    <w:p w14:paraId="7A73C192">
      <w:pPr>
        <w:spacing w:line="420" w:lineRule="exact"/>
        <w:ind w:firstLine="110" w:firstLineChars="50"/>
        <w:rPr>
          <w:rFonts w:hint="default" w:ascii="Times New Roman" w:hAnsi="Times New Roman" w:cs="Times New Roman"/>
          <w:color w:val="auto"/>
          <w:sz w:val="22"/>
          <w:szCs w:val="22"/>
          <w:highlight w:val="none"/>
        </w:rPr>
      </w:pPr>
    </w:p>
    <w:p w14:paraId="34C6F249">
      <w:pPr>
        <w:spacing w:line="420" w:lineRule="exact"/>
        <w:ind w:firstLine="110" w:firstLineChars="50"/>
        <w:rPr>
          <w:rFonts w:hint="default" w:ascii="Times New Roman" w:hAnsi="Times New Roman" w:cs="Times New Roman"/>
          <w:color w:val="auto"/>
          <w:sz w:val="22"/>
          <w:szCs w:val="22"/>
          <w:highlight w:val="none"/>
        </w:rPr>
      </w:pPr>
    </w:p>
    <w:p w14:paraId="3FDA0BF2">
      <w:pPr>
        <w:spacing w:line="420" w:lineRule="exact"/>
        <w:ind w:firstLine="110" w:firstLineChars="5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 xml:space="preserve">  （2） 提供材料和工程设备、服务的分包人：</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kern w:val="0"/>
          <w:sz w:val="22"/>
          <w:szCs w:val="22"/>
          <w:highlight w:val="none"/>
          <w:u w:val="single"/>
        </w:rPr>
        <w:t>/</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rPr>
        <w:t xml:space="preserve"> </w:t>
      </w:r>
    </w:p>
    <w:p w14:paraId="5EC16D32">
      <w:pPr>
        <w:pStyle w:val="4"/>
        <w:numPr>
          <w:ilvl w:val="0"/>
          <w:numId w:val="0"/>
        </w:numPr>
        <w:tabs>
          <w:tab w:val="left" w:pos="360"/>
          <w:tab w:val="left" w:pos="420"/>
          <w:tab w:val="left" w:pos="576"/>
        </w:tabs>
        <w:spacing w:line="420" w:lineRule="exact"/>
        <w:rPr>
          <w:rFonts w:hint="default" w:ascii="Times New Roman" w:hAnsi="Times New Roman" w:cs="Times New Roman"/>
          <w:b/>
          <w:bCs/>
          <w:color w:val="auto"/>
          <w:sz w:val="22"/>
          <w:szCs w:val="22"/>
          <w:highlight w:val="none"/>
        </w:rPr>
      </w:pPr>
      <w:bookmarkStart w:id="358" w:name="_Toc10364"/>
      <w:bookmarkStart w:id="359" w:name="_Toc469384098"/>
      <w:bookmarkStart w:id="360" w:name="_Toc1899982447"/>
      <w:r>
        <w:rPr>
          <w:rFonts w:hint="default" w:ascii="Times New Roman" w:hAnsi="Times New Roman" w:cs="Times New Roman"/>
          <w:b/>
          <w:bCs/>
          <w:color w:val="auto"/>
          <w:sz w:val="22"/>
          <w:szCs w:val="22"/>
          <w:highlight w:val="none"/>
        </w:rPr>
        <w:t>28. 工程担保</w:t>
      </w:r>
      <w:bookmarkEnd w:id="358"/>
      <w:bookmarkEnd w:id="359"/>
      <w:bookmarkEnd w:id="360"/>
    </w:p>
    <w:p w14:paraId="675F5CDE">
      <w:pPr>
        <w:spacing w:line="420" w:lineRule="exact"/>
        <w:ind w:firstLine="110" w:firstLineChars="50"/>
        <w:rPr>
          <w:rFonts w:hint="default" w:ascii="Times New Roman" w:hAnsi="Times New Roman" w:cs="Times New Roman"/>
          <w:color w:val="auto"/>
          <w:sz w:val="22"/>
          <w:szCs w:val="22"/>
          <w:highlight w:val="none"/>
        </w:rPr>
      </w:pPr>
    </w:p>
    <w:p w14:paraId="53D84F0D">
      <w:pPr>
        <w:spacing w:line="420" w:lineRule="exact"/>
        <w:ind w:firstLine="110" w:firstLineChars="5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 xml:space="preserve">  28.1 承包人提供履约担保的约定</w:t>
      </w:r>
    </w:p>
    <w:p w14:paraId="120E2BD8">
      <w:pPr>
        <w:keepNext w:val="0"/>
        <w:keepLines w:val="0"/>
        <w:pageBreakBefore w:val="0"/>
        <w:widowControl w:val="0"/>
        <w:kinsoku/>
        <w:wordWrap w:val="0"/>
        <w:overflowPunct/>
        <w:topLinePunct w:val="0"/>
        <w:autoSpaceDE/>
        <w:autoSpaceDN/>
        <w:bidi w:val="0"/>
        <w:adjustRightInd/>
        <w:snapToGrid/>
        <w:spacing w:line="420" w:lineRule="exact"/>
        <w:ind w:firstLine="110" w:firstLineChars="50"/>
        <w:textAlignment w:val="auto"/>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 xml:space="preserve">  （1）履约担保的金额：</w:t>
      </w:r>
      <w:r>
        <w:rPr>
          <w:rFonts w:hint="default" w:ascii="Times New Roman" w:hAnsi="Times New Roman" w:cs="Times New Roman"/>
          <w:color w:val="auto"/>
          <w:sz w:val="22"/>
          <w:szCs w:val="22"/>
          <w:highlight w:val="none"/>
          <w:u w:val="single"/>
          <w:lang w:val="en-US" w:eastAsia="zh-CN"/>
        </w:rPr>
        <w:t xml:space="preserve">  </w:t>
      </w:r>
      <w:r>
        <w:rPr>
          <w:rFonts w:hint="default" w:ascii="Times New Roman" w:hAnsi="Times New Roman" w:cs="Times New Roman"/>
          <w:color w:val="auto"/>
          <w:kern w:val="0"/>
          <w:sz w:val="22"/>
          <w:szCs w:val="22"/>
          <w:highlight w:val="none"/>
          <w:u w:val="single"/>
        </w:rPr>
        <w:t>承包人提供的履约保证金为中标价款（人民币）的10%</w:t>
      </w:r>
      <w:r>
        <w:rPr>
          <w:rFonts w:hint="default" w:ascii="Times New Roman" w:hAnsi="Times New Roman" w:cs="Times New Roman"/>
          <w:color w:val="auto"/>
          <w:kern w:val="0"/>
          <w:sz w:val="22"/>
          <w:szCs w:val="22"/>
          <w:highlight w:val="none"/>
          <w:u w:val="single"/>
          <w:lang w:eastAsia="zh-CN"/>
        </w:rPr>
        <w:t>，</w:t>
      </w:r>
      <w:r>
        <w:rPr>
          <w:rFonts w:hint="default" w:ascii="Times New Roman" w:hAnsi="Times New Roman" w:cs="Times New Roman"/>
          <w:color w:val="auto"/>
          <w:kern w:val="0"/>
          <w:sz w:val="22"/>
          <w:szCs w:val="22"/>
          <w:highlight w:val="none"/>
          <w:u w:val="single"/>
          <w:lang w:val="en-US" w:eastAsia="zh-CN"/>
        </w:rPr>
        <w:t>即</w:t>
      </w:r>
      <w:r>
        <w:rPr>
          <w:rFonts w:hint="default" w:ascii="Times New Roman" w:hAnsi="Times New Roman" w:cs="Times New Roman"/>
          <w:color w:val="auto"/>
          <w:sz w:val="22"/>
          <w:szCs w:val="22"/>
          <w:highlight w:val="none"/>
        </w:rPr>
        <w:t>（大写）</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u w:val="single"/>
          <w:lang w:val="en-US" w:eastAsia="zh-CN"/>
        </w:rPr>
        <w:t xml:space="preserve">                </w:t>
      </w:r>
      <w:r>
        <w:rPr>
          <w:rFonts w:hint="default" w:ascii="Times New Roman" w:hAnsi="Times New Roman" w:cs="Times New Roman"/>
          <w:color w:val="auto"/>
          <w:sz w:val="22"/>
          <w:szCs w:val="22"/>
          <w:highlight w:val="none"/>
        </w:rPr>
        <w:t xml:space="preserve">（小写 </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rPr>
        <w:t>元）</w:t>
      </w:r>
    </w:p>
    <w:p w14:paraId="7A4DDE3E">
      <w:pPr>
        <w:spacing w:line="420" w:lineRule="exact"/>
        <w:ind w:firstLine="110" w:firstLineChars="50"/>
        <w:rPr>
          <w:rFonts w:hint="default" w:ascii="Times New Roman" w:hAnsi="Times New Roman" w:cs="Times New Roman"/>
          <w:color w:val="auto"/>
          <w:sz w:val="22"/>
          <w:szCs w:val="22"/>
          <w:highlight w:val="none"/>
          <w:u w:val="single"/>
        </w:rPr>
      </w:pPr>
      <w:r>
        <w:rPr>
          <w:rFonts w:hint="default" w:ascii="Times New Roman" w:hAnsi="Times New Roman" w:cs="Times New Roman"/>
          <w:color w:val="auto"/>
          <w:sz w:val="22"/>
          <w:szCs w:val="22"/>
          <w:highlight w:val="none"/>
        </w:rPr>
        <w:t xml:space="preserve">  （2） 提供履约担保的时间：</w:t>
      </w:r>
    </w:p>
    <w:p w14:paraId="227FDCA3">
      <w:pPr>
        <w:spacing w:line="420" w:lineRule="exact"/>
        <w:ind w:firstLine="110" w:firstLineChars="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sz w:val="22"/>
          <w:szCs w:val="22"/>
          <w:highlight w:val="none"/>
        </w:rPr>
        <w:t xml:space="preserve">       </w:t>
      </w:r>
      <w:r>
        <w:rPr>
          <w:rFonts w:hint="default" w:ascii="Times New Roman" w:hAnsi="Times New Roman" w:cs="Times New Roman"/>
          <w:color w:val="auto"/>
          <w:kern w:val="0"/>
          <w:sz w:val="22"/>
          <w:szCs w:val="22"/>
          <w:highlight w:val="none"/>
        </w:rPr>
        <w:t>□ 签订本合同时；</w:t>
      </w:r>
    </w:p>
    <w:p w14:paraId="24409388">
      <w:pPr>
        <w:spacing w:line="420" w:lineRule="exact"/>
        <w:ind w:firstLine="110" w:firstLineChars="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w:t>
      </w:r>
      <w:r>
        <w:rPr>
          <w:rFonts w:hint="eastAsia" w:ascii="Times New Roman" w:hAnsi="Times New Roman" w:cs="Times New Roman"/>
          <w:color w:val="auto"/>
          <w:kern w:val="0"/>
          <w:sz w:val="22"/>
          <w:szCs w:val="22"/>
          <w:highlight w:val="none"/>
          <w:lang w:val="en-US" w:eastAsia="zh-CN" w:bidi="ar"/>
        </w:rPr>
        <w:t>□</w:t>
      </w:r>
      <w:r>
        <w:rPr>
          <w:rFonts w:hint="default" w:ascii="Times New Roman" w:hAnsi="Times New Roman" w:cs="Times New Roman"/>
          <w:color w:val="auto"/>
          <w:kern w:val="0"/>
          <w:sz w:val="22"/>
          <w:szCs w:val="22"/>
          <w:highlight w:val="none"/>
        </w:rPr>
        <w:t xml:space="preserve"> 另作约定：</w:t>
      </w:r>
      <w:r>
        <w:rPr>
          <w:rFonts w:hint="default" w:ascii="Times New Roman" w:hAnsi="Times New Roman" w:cs="Times New Roman"/>
          <w:color w:val="auto"/>
          <w:kern w:val="0"/>
          <w:sz w:val="22"/>
          <w:szCs w:val="22"/>
          <w:highlight w:val="none"/>
          <w:u w:val="single"/>
        </w:rPr>
        <w:t>有效期从合同生效至发包人收到承包人提交的本工程完整的结算资料后28天为止。</w:t>
      </w:r>
    </w:p>
    <w:p w14:paraId="2375D2D7">
      <w:pPr>
        <w:spacing w:line="420" w:lineRule="exact"/>
        <w:ind w:firstLine="110" w:firstLineChars="50"/>
        <w:rPr>
          <w:rFonts w:hint="default" w:ascii="Times New Roman" w:hAnsi="Times New Roman" w:cs="Times New Roman"/>
          <w:color w:val="auto"/>
          <w:kern w:val="0"/>
          <w:sz w:val="22"/>
          <w:szCs w:val="22"/>
          <w:highlight w:val="none"/>
        </w:rPr>
      </w:pPr>
    </w:p>
    <w:p w14:paraId="5F31F92E">
      <w:pPr>
        <w:spacing w:line="420" w:lineRule="exact"/>
        <w:ind w:firstLine="110" w:firstLineChars="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（3） □ 出具履约保函的担保人：</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u w:val="single"/>
          <w:lang w:val="en-US" w:eastAsia="zh-CN"/>
        </w:rPr>
        <w:t xml:space="preserve">  </w:t>
      </w:r>
      <w:r>
        <w:rPr>
          <w:rFonts w:hint="default" w:ascii="Times New Roman" w:hAnsi="Times New Roman" w:cs="Times New Roman"/>
          <w:color w:val="auto"/>
          <w:kern w:val="0"/>
          <w:sz w:val="22"/>
          <w:szCs w:val="22"/>
          <w:highlight w:val="none"/>
          <w:u w:val="single"/>
        </w:rPr>
        <w:t xml:space="preserve">                               </w:t>
      </w:r>
    </w:p>
    <w:p w14:paraId="16EA0DD2">
      <w:pPr>
        <w:spacing w:line="420" w:lineRule="exact"/>
        <w:ind w:firstLine="110" w:firstLineChars="50"/>
        <w:rPr>
          <w:rFonts w:hint="default" w:ascii="Times New Roman" w:hAnsi="Times New Roman" w:cs="Times New Roman"/>
          <w:color w:val="auto"/>
          <w:kern w:val="0"/>
          <w:sz w:val="22"/>
          <w:szCs w:val="22"/>
          <w:highlight w:val="none"/>
          <w:u w:val="single"/>
        </w:rPr>
      </w:pPr>
      <w:r>
        <w:rPr>
          <w:rFonts w:hint="default" w:ascii="Times New Roman" w:hAnsi="Times New Roman" w:cs="Times New Roman"/>
          <w:color w:val="auto"/>
          <w:sz w:val="22"/>
          <w:szCs w:val="22"/>
          <w:highlight w:val="none"/>
        </w:rPr>
        <w:t xml:space="preserve">        </w:t>
      </w:r>
      <w:r>
        <w:rPr>
          <w:rFonts w:hint="default" w:ascii="Times New Roman" w:hAnsi="Times New Roman" w:cs="Times New Roman"/>
          <w:color w:val="auto"/>
          <w:kern w:val="0"/>
          <w:sz w:val="22"/>
          <w:szCs w:val="22"/>
          <w:highlight w:val="none"/>
        </w:rPr>
        <w:t>□ 出具</w:t>
      </w:r>
      <w:r>
        <w:rPr>
          <w:rFonts w:hint="default" w:ascii="Times New Roman" w:hAnsi="Times New Roman" w:cs="Times New Roman"/>
          <w:color w:val="auto"/>
          <w:sz w:val="22"/>
          <w:szCs w:val="22"/>
          <w:highlight w:val="none"/>
          <w:shd w:val="clear" w:color="auto" w:fill="FFFFFF"/>
        </w:rPr>
        <w:t>履约担保</w:t>
      </w:r>
      <w:r>
        <w:rPr>
          <w:rFonts w:hint="default" w:ascii="Times New Roman" w:hAnsi="Times New Roman" w:cs="Times New Roman"/>
          <w:color w:val="auto"/>
          <w:kern w:val="0"/>
          <w:sz w:val="22"/>
          <w:szCs w:val="22"/>
          <w:highlight w:val="none"/>
        </w:rPr>
        <w:t>的担保人：</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u w:val="single"/>
          <w:lang w:val="en-US" w:eastAsia="zh-CN"/>
        </w:rPr>
        <w:t xml:space="preserve">     </w:t>
      </w:r>
      <w:r>
        <w:rPr>
          <w:rFonts w:hint="default" w:ascii="Times New Roman" w:hAnsi="Times New Roman" w:cs="Times New Roman"/>
          <w:color w:val="auto"/>
          <w:kern w:val="0"/>
          <w:sz w:val="22"/>
          <w:szCs w:val="22"/>
          <w:highlight w:val="none"/>
          <w:u w:val="single"/>
        </w:rPr>
        <w:t xml:space="preserve">                      </w:t>
      </w:r>
    </w:p>
    <w:p w14:paraId="5F361D75">
      <w:pPr>
        <w:spacing w:line="420" w:lineRule="exact"/>
        <w:ind w:firstLine="110" w:firstLineChars="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 出具</w:t>
      </w:r>
      <w:r>
        <w:rPr>
          <w:rFonts w:hint="default" w:ascii="Times New Roman" w:hAnsi="Times New Roman" w:cs="Times New Roman"/>
          <w:color w:val="auto"/>
          <w:sz w:val="22"/>
          <w:szCs w:val="22"/>
          <w:highlight w:val="none"/>
          <w:shd w:val="clear" w:color="auto" w:fill="FFFFFF"/>
        </w:rPr>
        <w:t>履约保证保险</w:t>
      </w:r>
      <w:r>
        <w:rPr>
          <w:rFonts w:hint="default" w:ascii="Times New Roman" w:hAnsi="Times New Roman" w:cs="Times New Roman"/>
          <w:color w:val="auto"/>
          <w:kern w:val="0"/>
          <w:sz w:val="22"/>
          <w:szCs w:val="22"/>
          <w:highlight w:val="none"/>
        </w:rPr>
        <w:t>的担保人：</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u w:val="single"/>
          <w:lang w:val="en-US" w:eastAsia="zh-CN"/>
        </w:rPr>
        <w:t xml:space="preserve"> </w:t>
      </w:r>
      <w:r>
        <w:rPr>
          <w:rFonts w:hint="default" w:ascii="Times New Roman" w:hAnsi="Times New Roman" w:cs="Times New Roman"/>
          <w:color w:val="auto"/>
          <w:kern w:val="0"/>
          <w:sz w:val="22"/>
          <w:szCs w:val="22"/>
          <w:highlight w:val="none"/>
          <w:u w:val="single"/>
        </w:rPr>
        <w:t xml:space="preserve">                         </w:t>
      </w:r>
    </w:p>
    <w:p w14:paraId="39F9E0A1">
      <w:pPr>
        <w:spacing w:line="420" w:lineRule="exact"/>
        <w:ind w:firstLine="990" w:firstLineChars="450"/>
        <w:rPr>
          <w:rFonts w:hint="default" w:ascii="Times New Roman" w:hAnsi="Times New Roman" w:cs="Times New Roman"/>
          <w:color w:val="auto"/>
          <w:sz w:val="22"/>
          <w:szCs w:val="22"/>
          <w:highlight w:val="none"/>
        </w:rPr>
      </w:pPr>
      <w:r>
        <w:rPr>
          <w:rFonts w:hint="eastAsia" w:ascii="Times New Roman" w:hAnsi="Times New Roman" w:cs="Times New Roman"/>
          <w:color w:val="auto"/>
          <w:kern w:val="0"/>
          <w:sz w:val="22"/>
          <w:szCs w:val="22"/>
          <w:highlight w:val="none"/>
          <w:lang w:eastAsia="zh-CN"/>
        </w:rPr>
        <w:t>□</w:t>
      </w:r>
      <w:r>
        <w:rPr>
          <w:rFonts w:hint="default" w:ascii="Times New Roman" w:hAnsi="Times New Roman" w:cs="Times New Roman"/>
          <w:color w:val="auto"/>
          <w:kern w:val="0"/>
          <w:sz w:val="22"/>
          <w:szCs w:val="22"/>
          <w:highlight w:val="none"/>
        </w:rPr>
        <w:t xml:space="preserve"> 其它：</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u w:val="single"/>
          <w:lang w:val="en-US" w:eastAsia="zh-CN"/>
        </w:rPr>
        <w:t xml:space="preserve"> </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u w:val="single"/>
          <w:lang w:eastAsia="zh-CN"/>
        </w:rPr>
        <w:t>由承包人自行选择履约担保的方式及担保人</w:t>
      </w:r>
      <w:r>
        <w:rPr>
          <w:rFonts w:hint="default" w:ascii="Times New Roman" w:hAnsi="Times New Roman" w:cs="Times New Roman"/>
          <w:color w:val="auto"/>
          <w:kern w:val="0"/>
          <w:sz w:val="22"/>
          <w:szCs w:val="22"/>
          <w:highlight w:val="none"/>
          <w:u w:val="single"/>
        </w:rPr>
        <w:t xml:space="preserve">                </w:t>
      </w:r>
    </w:p>
    <w:p w14:paraId="3F297136">
      <w:pPr>
        <w:spacing w:line="420" w:lineRule="exact"/>
        <w:ind w:firstLine="110" w:firstLineChars="5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 xml:space="preserve">  28.4 发包人提供支付担保的约定</w:t>
      </w:r>
    </w:p>
    <w:p w14:paraId="48848EA1">
      <w:pPr>
        <w:spacing w:line="420" w:lineRule="exact"/>
        <w:ind w:firstLine="110" w:firstLineChars="5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 xml:space="preserve">  （1） </w:t>
      </w:r>
      <w:r>
        <w:rPr>
          <w:rFonts w:hint="default" w:ascii="Times New Roman" w:hAnsi="Times New Roman" w:cs="Times New Roman"/>
          <w:color w:val="auto"/>
          <w:kern w:val="0"/>
          <w:sz w:val="22"/>
          <w:szCs w:val="22"/>
          <w:highlight w:val="none"/>
        </w:rPr>
        <w:t>□</w:t>
      </w:r>
      <w:r>
        <w:rPr>
          <w:rFonts w:hint="default" w:ascii="Times New Roman" w:hAnsi="Times New Roman" w:cs="Times New Roman"/>
          <w:color w:val="auto"/>
          <w:sz w:val="22"/>
          <w:szCs w:val="22"/>
          <w:highlight w:val="none"/>
        </w:rPr>
        <w:t>支付担保的金额：（大写）</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u w:val="single"/>
          <w:lang w:val="en-US" w:eastAsia="zh-CN"/>
        </w:rPr>
        <w:t xml:space="preserve"> </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rPr>
        <w:t xml:space="preserve">（小写            ） </w:t>
      </w:r>
    </w:p>
    <w:p w14:paraId="357279B6">
      <w:pPr>
        <w:spacing w:line="420" w:lineRule="exact"/>
        <w:ind w:firstLine="110" w:firstLineChars="50"/>
        <w:rPr>
          <w:rFonts w:hint="default" w:ascii="Times New Roman" w:hAnsi="Times New Roman" w:cs="Times New Roman"/>
          <w:color w:val="auto"/>
          <w:sz w:val="22"/>
          <w:szCs w:val="22"/>
          <w:highlight w:val="none"/>
          <w:u w:val="single"/>
        </w:rPr>
      </w:pPr>
      <w:r>
        <w:rPr>
          <w:rFonts w:hint="default" w:ascii="Times New Roman" w:hAnsi="Times New Roman" w:cs="Times New Roman"/>
          <w:color w:val="auto"/>
          <w:sz w:val="22"/>
          <w:szCs w:val="22"/>
          <w:highlight w:val="none"/>
        </w:rPr>
        <w:t xml:space="preserve">  （2） 提供支付担保的时间：</w:t>
      </w:r>
    </w:p>
    <w:p w14:paraId="2788E378">
      <w:pPr>
        <w:spacing w:line="420" w:lineRule="exact"/>
        <w:ind w:firstLine="110" w:firstLineChars="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sz w:val="22"/>
          <w:szCs w:val="22"/>
          <w:highlight w:val="none"/>
        </w:rPr>
        <w:t xml:space="preserve">       </w:t>
      </w:r>
      <w:r>
        <w:rPr>
          <w:rFonts w:hint="default" w:ascii="Times New Roman" w:hAnsi="Times New Roman" w:cs="Times New Roman"/>
          <w:color w:val="auto"/>
          <w:kern w:val="0"/>
          <w:sz w:val="22"/>
          <w:szCs w:val="22"/>
          <w:highlight w:val="none"/>
        </w:rPr>
        <w:t>□ 签订本合同时；</w:t>
      </w:r>
    </w:p>
    <w:p w14:paraId="20F0FD66">
      <w:pPr>
        <w:spacing w:line="420" w:lineRule="exact"/>
        <w:ind w:firstLine="110" w:firstLineChars="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w:t>
      </w:r>
      <w:r>
        <w:rPr>
          <w:rFonts w:hint="default" w:ascii="Times New Roman" w:hAnsi="Times New Roman" w:cs="Times New Roman"/>
          <w:color w:val="auto"/>
          <w:kern w:val="0"/>
          <w:sz w:val="22"/>
          <w:szCs w:val="22"/>
          <w:highlight w:val="none"/>
          <w:lang w:val="en-US" w:eastAsia="zh-CN" w:bidi="ar"/>
        </w:rPr>
        <w:t>□</w:t>
      </w:r>
      <w:r>
        <w:rPr>
          <w:rFonts w:hint="default" w:ascii="Times New Roman" w:hAnsi="Times New Roman" w:cs="Times New Roman"/>
          <w:color w:val="auto"/>
          <w:kern w:val="0"/>
          <w:sz w:val="22"/>
          <w:szCs w:val="22"/>
          <w:highlight w:val="none"/>
        </w:rPr>
        <w:t xml:space="preserve"> 另作约定：</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kern w:val="0"/>
          <w:sz w:val="22"/>
          <w:szCs w:val="22"/>
          <w:highlight w:val="none"/>
          <w:u w:val="single"/>
        </w:rPr>
        <w:t xml:space="preserve">                                            </w:t>
      </w:r>
    </w:p>
    <w:p w14:paraId="0D8631D6">
      <w:pPr>
        <w:spacing w:line="420" w:lineRule="exact"/>
        <w:ind w:firstLine="110" w:firstLineChars="50"/>
        <w:rPr>
          <w:rFonts w:hint="default" w:ascii="Times New Roman" w:hAnsi="Times New Roman" w:cs="Times New Roman"/>
          <w:color w:val="auto"/>
          <w:kern w:val="0"/>
          <w:sz w:val="22"/>
          <w:szCs w:val="22"/>
          <w:highlight w:val="none"/>
          <w:u w:val="single"/>
        </w:rPr>
      </w:pPr>
      <w:r>
        <w:rPr>
          <w:rFonts w:hint="default" w:ascii="Times New Roman" w:hAnsi="Times New Roman" w:cs="Times New Roman"/>
          <w:color w:val="auto"/>
          <w:kern w:val="0"/>
          <w:sz w:val="22"/>
          <w:szCs w:val="22"/>
          <w:highlight w:val="none"/>
        </w:rPr>
        <w:t xml:space="preserve">  （3） □出具支付保函的担保人：</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kern w:val="0"/>
          <w:sz w:val="22"/>
          <w:szCs w:val="22"/>
          <w:highlight w:val="none"/>
          <w:u w:val="single"/>
        </w:rPr>
        <w:t xml:space="preserve">                                 </w:t>
      </w:r>
    </w:p>
    <w:p w14:paraId="723E3308">
      <w:pPr>
        <w:spacing w:line="420" w:lineRule="exact"/>
        <w:ind w:firstLine="110" w:firstLineChars="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□出具</w:t>
      </w:r>
      <w:r>
        <w:rPr>
          <w:rFonts w:hint="default" w:ascii="Times New Roman" w:hAnsi="Times New Roman" w:cs="Times New Roman"/>
          <w:color w:val="auto"/>
          <w:sz w:val="22"/>
          <w:szCs w:val="22"/>
          <w:highlight w:val="none"/>
          <w:shd w:val="clear" w:color="auto" w:fill="FFFFFF"/>
        </w:rPr>
        <w:t>支付担保</w:t>
      </w:r>
      <w:r>
        <w:rPr>
          <w:rFonts w:hint="default" w:ascii="Times New Roman" w:hAnsi="Times New Roman" w:cs="Times New Roman"/>
          <w:color w:val="auto"/>
          <w:kern w:val="0"/>
          <w:sz w:val="22"/>
          <w:szCs w:val="22"/>
          <w:highlight w:val="none"/>
        </w:rPr>
        <w:t>的担保人：</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u w:val="single"/>
          <w:lang w:val="en-US" w:eastAsia="zh-CN"/>
        </w:rPr>
        <w:t xml:space="preserve">  </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u w:val="single"/>
          <w:lang w:val="en-US" w:eastAsia="zh-CN"/>
        </w:rPr>
        <w:t xml:space="preserve">   </w:t>
      </w:r>
      <w:r>
        <w:rPr>
          <w:rFonts w:hint="default" w:ascii="Times New Roman" w:hAnsi="Times New Roman" w:cs="Times New Roman"/>
          <w:color w:val="auto"/>
          <w:kern w:val="0"/>
          <w:sz w:val="22"/>
          <w:szCs w:val="22"/>
          <w:highlight w:val="none"/>
          <w:u w:val="single"/>
        </w:rPr>
        <w:t xml:space="preserve">                         </w:t>
      </w:r>
    </w:p>
    <w:p w14:paraId="5C06F3F8">
      <w:pPr>
        <w:spacing w:line="420" w:lineRule="exact"/>
        <w:ind w:firstLine="110" w:firstLineChars="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□出具</w:t>
      </w:r>
      <w:r>
        <w:rPr>
          <w:rFonts w:hint="default" w:ascii="Times New Roman" w:hAnsi="Times New Roman" w:cs="Times New Roman"/>
          <w:color w:val="auto"/>
          <w:sz w:val="22"/>
          <w:szCs w:val="22"/>
          <w:highlight w:val="none"/>
          <w:shd w:val="clear" w:color="auto" w:fill="FFFFFF"/>
        </w:rPr>
        <w:t>支付保证保险</w:t>
      </w:r>
      <w:r>
        <w:rPr>
          <w:rFonts w:hint="default" w:ascii="Times New Roman" w:hAnsi="Times New Roman" w:cs="Times New Roman"/>
          <w:color w:val="auto"/>
          <w:kern w:val="0"/>
          <w:sz w:val="22"/>
          <w:szCs w:val="22"/>
          <w:highlight w:val="none"/>
        </w:rPr>
        <w:t>的担保人：</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u w:val="single"/>
          <w:lang w:val="en-US" w:eastAsia="zh-CN"/>
        </w:rPr>
        <w:t xml:space="preserve">   </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u w:val="single"/>
          <w:lang w:val="en-US" w:eastAsia="zh-CN"/>
        </w:rPr>
        <w:t xml:space="preserve">   </w:t>
      </w:r>
      <w:r>
        <w:rPr>
          <w:rFonts w:hint="default" w:ascii="Times New Roman" w:hAnsi="Times New Roman" w:cs="Times New Roman"/>
          <w:color w:val="auto"/>
          <w:kern w:val="0"/>
          <w:sz w:val="22"/>
          <w:szCs w:val="22"/>
          <w:highlight w:val="none"/>
          <w:u w:val="single"/>
        </w:rPr>
        <w:t xml:space="preserve">                         </w:t>
      </w:r>
    </w:p>
    <w:p w14:paraId="4B27732D">
      <w:pPr>
        <w:spacing w:line="420" w:lineRule="exact"/>
        <w:ind w:firstLine="990" w:firstLineChars="4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□其它：</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u w:val="single"/>
          <w:lang w:val="en-US" w:eastAsia="zh-CN"/>
        </w:rPr>
        <w:t xml:space="preserve"> </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kern w:val="0"/>
          <w:sz w:val="22"/>
          <w:szCs w:val="22"/>
          <w:highlight w:val="none"/>
          <w:u w:val="single"/>
        </w:rPr>
        <w:t xml:space="preserve">                               </w:t>
      </w:r>
    </w:p>
    <w:p w14:paraId="1CE351A8">
      <w:pPr>
        <w:spacing w:line="420" w:lineRule="exact"/>
        <w:ind w:firstLine="110" w:firstLineChars="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w:t>
      </w:r>
    </w:p>
    <w:p w14:paraId="6F4A5932">
      <w:pPr>
        <w:spacing w:line="420" w:lineRule="exact"/>
        <w:ind w:firstLine="110" w:firstLineChars="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28.8 担保内容、方式和责任等事项的约定：</w:t>
      </w:r>
    </w:p>
    <w:p w14:paraId="31F0878C">
      <w:pPr>
        <w:spacing w:line="420" w:lineRule="exact"/>
        <w:ind w:firstLine="110" w:firstLineChars="50"/>
        <w:rPr>
          <w:rFonts w:hint="default" w:ascii="Times New Roman" w:hAnsi="Times New Roman" w:cs="Times New Roman"/>
          <w:color w:val="auto"/>
          <w:kern w:val="0"/>
          <w:sz w:val="22"/>
          <w:szCs w:val="22"/>
          <w:highlight w:val="none"/>
          <w:u w:val="single"/>
        </w:rPr>
      </w:pPr>
      <w:r>
        <w:rPr>
          <w:rFonts w:hint="default" w:ascii="Times New Roman" w:hAnsi="Times New Roman" w:cs="Times New Roman"/>
          <w:color w:val="auto"/>
          <w:kern w:val="0"/>
          <w:sz w:val="22"/>
          <w:szCs w:val="22"/>
          <w:highlight w:val="none"/>
          <w:u w:val="single"/>
        </w:rPr>
        <w:t>退还履约保证金的条件：</w:t>
      </w:r>
    </w:p>
    <w:p w14:paraId="42F74156">
      <w:pPr>
        <w:keepNext w:val="0"/>
        <w:keepLines w:val="0"/>
        <w:pageBreakBefore w:val="0"/>
        <w:widowControl w:val="0"/>
        <w:kinsoku/>
        <w:wordWrap/>
        <w:overflowPunct/>
        <w:topLinePunct w:val="0"/>
        <w:autoSpaceDE/>
        <w:autoSpaceDN/>
        <w:bidi w:val="0"/>
        <w:adjustRightInd/>
        <w:snapToGrid/>
        <w:spacing w:line="420" w:lineRule="exact"/>
        <w:ind w:firstLine="440" w:firstLineChars="200"/>
        <w:textAlignment w:val="auto"/>
        <w:rPr>
          <w:rFonts w:hint="default" w:ascii="Times New Roman" w:hAnsi="Times New Roman" w:cs="Times New Roman"/>
          <w:color w:val="auto"/>
          <w:kern w:val="0"/>
          <w:sz w:val="22"/>
          <w:szCs w:val="22"/>
          <w:highlight w:val="none"/>
          <w:u w:val="single"/>
        </w:rPr>
      </w:pPr>
      <w:r>
        <w:rPr>
          <w:rFonts w:hint="default" w:ascii="Times New Roman" w:hAnsi="Times New Roman" w:cs="Times New Roman"/>
          <w:color w:val="auto"/>
          <w:kern w:val="0"/>
          <w:sz w:val="22"/>
          <w:szCs w:val="22"/>
          <w:highlight w:val="none"/>
          <w:u w:val="single"/>
        </w:rPr>
        <w:t>按合同通用条款第28.1款约定，发包人在担保期满后退还履约保证金。但承包人违反下列条款时，发包人将拒绝退还履约保证金。</w:t>
      </w:r>
    </w:p>
    <w:p w14:paraId="58DCBEDE">
      <w:pPr>
        <w:spacing w:line="420" w:lineRule="exact"/>
        <w:ind w:firstLine="110" w:firstLineChars="50"/>
        <w:rPr>
          <w:rFonts w:hint="default" w:ascii="Times New Roman" w:hAnsi="Times New Roman" w:cs="Times New Roman"/>
          <w:color w:val="auto"/>
          <w:kern w:val="0"/>
          <w:sz w:val="22"/>
          <w:szCs w:val="22"/>
          <w:highlight w:val="none"/>
          <w:u w:val="single"/>
        </w:rPr>
      </w:pPr>
      <w:r>
        <w:rPr>
          <w:rFonts w:hint="default" w:ascii="Times New Roman" w:hAnsi="Times New Roman" w:cs="Times New Roman"/>
          <w:color w:val="auto"/>
          <w:kern w:val="0"/>
          <w:sz w:val="22"/>
          <w:szCs w:val="22"/>
          <w:highlight w:val="none"/>
          <w:u w:val="single"/>
        </w:rPr>
        <w:t>（1）工程竣工验收达不到合同约定的质量标准的，履约保证金不予退还。</w:t>
      </w:r>
    </w:p>
    <w:p w14:paraId="165CCA1A">
      <w:pPr>
        <w:spacing w:line="420" w:lineRule="exact"/>
        <w:ind w:firstLine="110" w:firstLineChars="50"/>
        <w:rPr>
          <w:rFonts w:hint="default" w:ascii="Times New Roman" w:hAnsi="Times New Roman" w:cs="Times New Roman"/>
          <w:color w:val="auto"/>
          <w:kern w:val="0"/>
          <w:sz w:val="22"/>
          <w:szCs w:val="22"/>
          <w:highlight w:val="none"/>
          <w:u w:val="single"/>
        </w:rPr>
      </w:pPr>
      <w:r>
        <w:rPr>
          <w:rFonts w:hint="default" w:ascii="Times New Roman" w:hAnsi="Times New Roman" w:cs="Times New Roman"/>
          <w:color w:val="auto"/>
          <w:kern w:val="0"/>
          <w:sz w:val="22"/>
          <w:szCs w:val="22"/>
          <w:highlight w:val="none"/>
          <w:u w:val="single"/>
        </w:rPr>
        <w:t>（2）承包人中途毁约，履约保证金不予退还。</w:t>
      </w:r>
    </w:p>
    <w:p w14:paraId="73FFCACE">
      <w:pPr>
        <w:spacing w:line="420" w:lineRule="exact"/>
        <w:ind w:firstLine="110" w:firstLineChars="50"/>
        <w:rPr>
          <w:rFonts w:hint="default" w:ascii="Times New Roman" w:hAnsi="Times New Roman" w:cs="Times New Roman"/>
          <w:color w:val="auto"/>
          <w:kern w:val="0"/>
          <w:sz w:val="22"/>
          <w:szCs w:val="22"/>
          <w:highlight w:val="none"/>
          <w:u w:val="single"/>
        </w:rPr>
      </w:pPr>
      <w:r>
        <w:rPr>
          <w:rFonts w:hint="default" w:ascii="Times New Roman" w:hAnsi="Times New Roman" w:cs="Times New Roman"/>
          <w:color w:val="auto"/>
          <w:kern w:val="0"/>
          <w:sz w:val="22"/>
          <w:szCs w:val="22"/>
          <w:highlight w:val="none"/>
          <w:u w:val="single"/>
        </w:rPr>
        <w:t>（3）承包人在合同规定期限内无法提供完善的竣工验收资料导致无法进行竣工验收或工程结算的，履约保证金不予退还。</w:t>
      </w:r>
    </w:p>
    <w:p w14:paraId="0F99F520">
      <w:pPr>
        <w:spacing w:line="420" w:lineRule="exact"/>
        <w:ind w:firstLine="110" w:firstLineChars="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u w:val="single"/>
        </w:rPr>
        <w:t>（4）承包人原因导致与分包人产生劳务纠纷的，经发包人协调，承包人仍不主动解决的，经发包人和监理方确认相关费用从履约保证金支付。</w:t>
      </w:r>
    </w:p>
    <w:p w14:paraId="1A677F24">
      <w:pPr>
        <w:pStyle w:val="4"/>
        <w:numPr>
          <w:ilvl w:val="0"/>
          <w:numId w:val="0"/>
        </w:numPr>
        <w:tabs>
          <w:tab w:val="left" w:pos="360"/>
          <w:tab w:val="left" w:pos="420"/>
          <w:tab w:val="left" w:pos="576"/>
        </w:tabs>
        <w:spacing w:line="420" w:lineRule="exact"/>
        <w:rPr>
          <w:rFonts w:hint="default" w:ascii="Times New Roman" w:hAnsi="Times New Roman" w:cs="Times New Roman"/>
          <w:b/>
          <w:bCs/>
          <w:color w:val="auto"/>
          <w:sz w:val="22"/>
          <w:szCs w:val="22"/>
          <w:highlight w:val="none"/>
        </w:rPr>
      </w:pPr>
      <w:bookmarkStart w:id="361" w:name="_Toc469384099"/>
      <w:bookmarkStart w:id="362" w:name="_Toc40973157"/>
      <w:bookmarkStart w:id="363" w:name="_Toc16420"/>
      <w:r>
        <w:rPr>
          <w:rFonts w:hint="default" w:ascii="Times New Roman" w:hAnsi="Times New Roman" w:cs="Times New Roman"/>
          <w:b/>
          <w:bCs/>
          <w:color w:val="auto"/>
          <w:sz w:val="22"/>
          <w:szCs w:val="22"/>
          <w:highlight w:val="none"/>
        </w:rPr>
        <w:t>32. 保险</w:t>
      </w:r>
      <w:bookmarkEnd w:id="361"/>
      <w:bookmarkEnd w:id="362"/>
      <w:bookmarkEnd w:id="363"/>
    </w:p>
    <w:p w14:paraId="33B5A247">
      <w:pPr>
        <w:spacing w:line="420" w:lineRule="exact"/>
        <w:ind w:firstLine="110" w:firstLineChars="50"/>
        <w:rPr>
          <w:rFonts w:hint="default" w:ascii="Times New Roman" w:hAnsi="Times New Roman" w:cs="Times New Roman"/>
          <w:color w:val="auto"/>
          <w:kern w:val="0"/>
          <w:sz w:val="22"/>
          <w:szCs w:val="22"/>
          <w:highlight w:val="none"/>
        </w:rPr>
      </w:pPr>
    </w:p>
    <w:p w14:paraId="3E80D535">
      <w:pPr>
        <w:spacing w:line="420" w:lineRule="exact"/>
        <w:ind w:firstLine="110" w:firstLineChars="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32.1 委托承包人办理保险的事项有：</w:t>
      </w:r>
    </w:p>
    <w:p w14:paraId="15D72EE2">
      <w:pPr>
        <w:spacing w:line="420" w:lineRule="exact"/>
        <w:ind w:firstLine="110" w:firstLineChars="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w:t>
      </w:r>
      <w:r>
        <w:rPr>
          <w:rFonts w:hint="default" w:ascii="Times New Roman" w:hAnsi="Times New Roman" w:cs="Times New Roman"/>
          <w:color w:val="auto"/>
          <w:kern w:val="0"/>
          <w:sz w:val="22"/>
          <w:szCs w:val="22"/>
          <w:highlight w:val="none"/>
          <w:lang w:eastAsia="zh-CN"/>
        </w:rPr>
        <w:t>☑</w:t>
      </w:r>
      <w:r>
        <w:rPr>
          <w:rFonts w:hint="default" w:ascii="Times New Roman" w:hAnsi="Times New Roman" w:cs="Times New Roman"/>
          <w:color w:val="auto"/>
          <w:kern w:val="0"/>
          <w:sz w:val="22"/>
          <w:szCs w:val="22"/>
          <w:highlight w:val="none"/>
        </w:rPr>
        <w:t xml:space="preserve"> 通用条款第32.1款的第（1）项；</w:t>
      </w:r>
    </w:p>
    <w:p w14:paraId="12089241">
      <w:pPr>
        <w:spacing w:line="420" w:lineRule="exact"/>
        <w:ind w:firstLine="110" w:firstLineChars="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 通用条款第32.1款的第（2）项；</w:t>
      </w:r>
    </w:p>
    <w:p w14:paraId="367637BA">
      <w:pPr>
        <w:spacing w:line="420" w:lineRule="exact"/>
        <w:ind w:firstLine="110" w:firstLineChars="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w:t>
      </w:r>
      <w:r>
        <w:rPr>
          <w:rFonts w:hint="default" w:ascii="Times New Roman" w:hAnsi="Times New Roman" w:cs="Times New Roman"/>
          <w:color w:val="auto"/>
          <w:kern w:val="0"/>
          <w:sz w:val="22"/>
          <w:szCs w:val="22"/>
          <w:highlight w:val="none"/>
          <w:lang w:val="en-US" w:eastAsia="zh-CN"/>
        </w:rPr>
        <w:t xml:space="preserve"> </w:t>
      </w:r>
      <w:r>
        <w:rPr>
          <w:rFonts w:hint="default" w:ascii="Times New Roman" w:hAnsi="Times New Roman" w:cs="Times New Roman"/>
          <w:color w:val="auto"/>
          <w:kern w:val="0"/>
          <w:sz w:val="22"/>
          <w:szCs w:val="22"/>
          <w:highlight w:val="none"/>
          <w:lang w:eastAsia="zh-CN"/>
        </w:rPr>
        <w:t>☑</w:t>
      </w:r>
      <w:r>
        <w:rPr>
          <w:rFonts w:hint="default" w:ascii="Times New Roman" w:hAnsi="Times New Roman" w:cs="Times New Roman"/>
          <w:color w:val="auto"/>
          <w:kern w:val="0"/>
          <w:sz w:val="22"/>
          <w:szCs w:val="22"/>
          <w:highlight w:val="none"/>
        </w:rPr>
        <w:t xml:space="preserve"> 通用条款第32.1款的第（3）项；</w:t>
      </w:r>
    </w:p>
    <w:p w14:paraId="41178AA1">
      <w:pPr>
        <w:spacing w:line="420" w:lineRule="exact"/>
        <w:ind w:firstLine="110" w:firstLineChars="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 通用条款第32.1款的第（4）项。</w:t>
      </w:r>
    </w:p>
    <w:p w14:paraId="0BE5CBF7">
      <w:pPr>
        <w:spacing w:line="420" w:lineRule="exact"/>
        <w:ind w:firstLine="330" w:firstLineChars="1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通用条款第32.1款的第（5）项。</w:t>
      </w:r>
    </w:p>
    <w:p w14:paraId="08B21870">
      <w:pPr>
        <w:spacing w:line="420" w:lineRule="exact"/>
        <w:ind w:firstLine="110" w:firstLineChars="50"/>
        <w:rPr>
          <w:rFonts w:hint="default" w:ascii="Times New Roman" w:hAnsi="Times New Roman" w:cs="Times New Roman"/>
          <w:color w:val="auto"/>
          <w:kern w:val="0"/>
          <w:sz w:val="22"/>
          <w:szCs w:val="22"/>
          <w:highlight w:val="none"/>
        </w:rPr>
      </w:pPr>
    </w:p>
    <w:p w14:paraId="1C51DD06">
      <w:pPr>
        <w:spacing w:line="420" w:lineRule="exact"/>
        <w:ind w:firstLine="110" w:firstLineChars="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32.8 投保内容、保险金、保险期限和责任等事项的约定：</w:t>
      </w:r>
      <w:r>
        <w:rPr>
          <w:rFonts w:hint="default" w:ascii="Times New Roman" w:hAnsi="Times New Roman" w:cs="Times New Roman"/>
          <w:color w:val="auto"/>
          <w:kern w:val="0"/>
          <w:sz w:val="22"/>
          <w:szCs w:val="22"/>
          <w:highlight w:val="none"/>
          <w:u w:val="single"/>
        </w:rPr>
        <w:t xml:space="preserve">              /                  </w:t>
      </w:r>
    </w:p>
    <w:p w14:paraId="6F1075A2">
      <w:pPr>
        <w:pStyle w:val="4"/>
        <w:numPr>
          <w:ilvl w:val="0"/>
          <w:numId w:val="0"/>
        </w:numPr>
        <w:tabs>
          <w:tab w:val="left" w:pos="360"/>
          <w:tab w:val="left" w:pos="420"/>
          <w:tab w:val="left" w:pos="576"/>
        </w:tabs>
        <w:spacing w:line="420" w:lineRule="exact"/>
        <w:rPr>
          <w:rFonts w:hint="default" w:ascii="Times New Roman" w:hAnsi="Times New Roman" w:cs="Times New Roman"/>
          <w:b/>
          <w:bCs/>
          <w:color w:val="auto"/>
          <w:sz w:val="22"/>
          <w:szCs w:val="22"/>
          <w:highlight w:val="none"/>
        </w:rPr>
      </w:pPr>
      <w:bookmarkStart w:id="364" w:name="_Toc469384100"/>
      <w:bookmarkStart w:id="365" w:name="_Toc898406391"/>
      <w:bookmarkStart w:id="366" w:name="_Toc27861"/>
      <w:r>
        <w:rPr>
          <w:rFonts w:hint="default" w:ascii="Times New Roman" w:hAnsi="Times New Roman" w:cs="Times New Roman"/>
          <w:b/>
          <w:bCs/>
          <w:color w:val="auto"/>
          <w:sz w:val="22"/>
          <w:szCs w:val="22"/>
          <w:highlight w:val="none"/>
        </w:rPr>
        <w:t>33. 进度计划和报告</w:t>
      </w:r>
      <w:bookmarkEnd w:id="364"/>
      <w:bookmarkEnd w:id="365"/>
      <w:bookmarkEnd w:id="366"/>
    </w:p>
    <w:p w14:paraId="4C4C3849">
      <w:pPr>
        <w:spacing w:line="420" w:lineRule="exact"/>
        <w:ind w:firstLine="110" w:firstLineChars="50"/>
        <w:rPr>
          <w:rFonts w:hint="default" w:ascii="Times New Roman" w:hAnsi="Times New Roman" w:cs="Times New Roman"/>
          <w:color w:val="auto"/>
          <w:kern w:val="0"/>
          <w:sz w:val="22"/>
          <w:szCs w:val="22"/>
          <w:highlight w:val="none"/>
        </w:rPr>
      </w:pPr>
    </w:p>
    <w:p w14:paraId="7D85E3D3">
      <w:pPr>
        <w:spacing w:line="420" w:lineRule="exact"/>
        <w:ind w:firstLine="110" w:firstLineChars="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33.3 承包人编制月施工进度报告和修订进度计划的约定：</w:t>
      </w:r>
      <w:r>
        <w:rPr>
          <w:rFonts w:hint="default" w:ascii="Times New Roman" w:hAnsi="Times New Roman" w:cs="Times New Roman"/>
          <w:color w:val="auto"/>
          <w:kern w:val="0"/>
          <w:sz w:val="22"/>
          <w:szCs w:val="22"/>
          <w:highlight w:val="none"/>
          <w:u w:val="single"/>
        </w:rPr>
        <w:t>签订合同后七日内提交工程设计施工一体化组织实施进度计划，每月20日前报送下月“工程进度计划表”。工程师收到方案后5日内批复“工程进度计划表”。</w:t>
      </w:r>
    </w:p>
    <w:p w14:paraId="080C13C2">
      <w:pPr>
        <w:pStyle w:val="4"/>
        <w:numPr>
          <w:ilvl w:val="0"/>
          <w:numId w:val="0"/>
        </w:numPr>
        <w:tabs>
          <w:tab w:val="left" w:pos="360"/>
          <w:tab w:val="left" w:pos="420"/>
          <w:tab w:val="left" w:pos="576"/>
        </w:tabs>
        <w:spacing w:line="420" w:lineRule="exact"/>
        <w:rPr>
          <w:rFonts w:hint="default" w:ascii="Times New Roman" w:hAnsi="Times New Roman" w:cs="Times New Roman"/>
          <w:b/>
          <w:bCs/>
          <w:color w:val="auto"/>
          <w:sz w:val="22"/>
          <w:szCs w:val="22"/>
          <w:highlight w:val="none"/>
        </w:rPr>
      </w:pPr>
      <w:bookmarkStart w:id="367" w:name="_Toc469384101"/>
      <w:bookmarkStart w:id="368" w:name="_Toc2550"/>
      <w:bookmarkStart w:id="369" w:name="_Toc1122441110"/>
      <w:r>
        <w:rPr>
          <w:rFonts w:hint="default" w:ascii="Times New Roman" w:hAnsi="Times New Roman" w:cs="Times New Roman"/>
          <w:b/>
          <w:bCs/>
          <w:color w:val="auto"/>
          <w:sz w:val="22"/>
          <w:szCs w:val="22"/>
          <w:highlight w:val="none"/>
        </w:rPr>
        <w:t>34. 开工</w:t>
      </w:r>
      <w:bookmarkEnd w:id="367"/>
      <w:bookmarkEnd w:id="368"/>
      <w:bookmarkEnd w:id="369"/>
    </w:p>
    <w:p w14:paraId="34F0A0EE">
      <w:pPr>
        <w:spacing w:line="420" w:lineRule="exact"/>
        <w:ind w:firstLine="110" w:firstLineChars="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w:t>
      </w:r>
    </w:p>
    <w:p w14:paraId="49BF321A">
      <w:pPr>
        <w:spacing w:line="420" w:lineRule="exact"/>
        <w:ind w:firstLine="110" w:firstLineChars="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34.2 监理工程师在本合同签订后的（      ）天内签发开工令。</w:t>
      </w:r>
    </w:p>
    <w:p w14:paraId="1835D46D">
      <w:pPr>
        <w:spacing w:line="420" w:lineRule="exact"/>
        <w:ind w:firstLine="110" w:firstLineChars="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 按通用条款规定的时间。</w:t>
      </w:r>
    </w:p>
    <w:p w14:paraId="5033873C">
      <w:pPr>
        <w:spacing w:line="420" w:lineRule="exact"/>
        <w:ind w:firstLine="110" w:firstLineChars="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 另作约定：</w:t>
      </w:r>
      <w:r>
        <w:rPr>
          <w:rFonts w:hint="default" w:ascii="Times New Roman" w:hAnsi="Times New Roman" w:cs="Times New Roman"/>
          <w:color w:val="auto"/>
          <w:kern w:val="0"/>
          <w:sz w:val="22"/>
          <w:szCs w:val="22"/>
          <w:highlight w:val="none"/>
          <w:u w:val="single"/>
        </w:rPr>
        <w:t xml:space="preserve">                         /                                                </w:t>
      </w:r>
    </w:p>
    <w:p w14:paraId="74B67796">
      <w:pPr>
        <w:pStyle w:val="4"/>
        <w:numPr>
          <w:ilvl w:val="0"/>
          <w:numId w:val="0"/>
        </w:numPr>
        <w:tabs>
          <w:tab w:val="left" w:pos="360"/>
          <w:tab w:val="left" w:pos="420"/>
          <w:tab w:val="left" w:pos="576"/>
        </w:tabs>
        <w:spacing w:line="420" w:lineRule="exact"/>
        <w:rPr>
          <w:rFonts w:hint="default" w:ascii="Times New Roman" w:hAnsi="Times New Roman" w:cs="Times New Roman"/>
          <w:b/>
          <w:bCs/>
          <w:color w:val="auto"/>
          <w:sz w:val="22"/>
          <w:szCs w:val="22"/>
          <w:highlight w:val="none"/>
        </w:rPr>
      </w:pPr>
      <w:bookmarkStart w:id="370" w:name="_Toc1569298623"/>
      <w:bookmarkStart w:id="371" w:name="_Toc3691"/>
      <w:bookmarkStart w:id="372" w:name="_Toc469384102"/>
      <w:r>
        <w:rPr>
          <w:rFonts w:hint="default" w:ascii="Times New Roman" w:hAnsi="Times New Roman" w:cs="Times New Roman"/>
          <w:b/>
          <w:bCs/>
          <w:color w:val="auto"/>
          <w:sz w:val="22"/>
          <w:szCs w:val="22"/>
          <w:highlight w:val="none"/>
        </w:rPr>
        <w:t>35.暂停施工和复工</w:t>
      </w:r>
      <w:bookmarkEnd w:id="370"/>
      <w:bookmarkEnd w:id="371"/>
      <w:bookmarkEnd w:id="372"/>
    </w:p>
    <w:p w14:paraId="2CC6DDC4">
      <w:pPr>
        <w:spacing w:line="420" w:lineRule="exact"/>
        <w:ind w:firstLine="110" w:firstLineChars="50"/>
        <w:rPr>
          <w:rFonts w:hint="default" w:ascii="Times New Roman" w:hAnsi="Times New Roman" w:cs="Times New Roman"/>
          <w:color w:val="auto"/>
          <w:kern w:val="0"/>
          <w:sz w:val="22"/>
          <w:szCs w:val="22"/>
          <w:highlight w:val="none"/>
        </w:rPr>
      </w:pPr>
    </w:p>
    <w:p w14:paraId="49D2388B">
      <w:pPr>
        <w:spacing w:line="420" w:lineRule="exact"/>
        <w:ind w:firstLine="110" w:firstLineChars="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35.4 承包人原因造成暂停施工的其他原因：</w:t>
      </w:r>
      <w:r>
        <w:rPr>
          <w:rFonts w:hint="default" w:ascii="Times New Roman" w:hAnsi="Times New Roman" w:cs="Times New Roman"/>
          <w:color w:val="auto"/>
          <w:kern w:val="0"/>
          <w:sz w:val="22"/>
          <w:szCs w:val="22"/>
          <w:highlight w:val="none"/>
          <w:u w:val="single"/>
          <w:lang w:eastAsia="zh-CN"/>
        </w:rPr>
        <w:t>（</w:t>
      </w:r>
      <w:r>
        <w:rPr>
          <w:rFonts w:hint="default" w:ascii="Times New Roman" w:hAnsi="Times New Roman" w:cs="Times New Roman"/>
          <w:color w:val="auto"/>
          <w:kern w:val="0"/>
          <w:sz w:val="22"/>
          <w:szCs w:val="22"/>
          <w:highlight w:val="none"/>
          <w:u w:val="single"/>
          <w:lang w:val="en-US" w:eastAsia="zh-CN"/>
        </w:rPr>
        <w:t>1</w:t>
      </w:r>
      <w:r>
        <w:rPr>
          <w:rFonts w:hint="default" w:ascii="Times New Roman" w:hAnsi="Times New Roman" w:cs="Times New Roman"/>
          <w:color w:val="auto"/>
          <w:kern w:val="0"/>
          <w:sz w:val="22"/>
          <w:szCs w:val="22"/>
          <w:highlight w:val="none"/>
          <w:u w:val="single"/>
          <w:lang w:eastAsia="zh-CN"/>
        </w:rPr>
        <w:t>）根据质监部门或上级其他部门检查发现施工现场存在安全隐患需停工整改的；（</w:t>
      </w:r>
      <w:r>
        <w:rPr>
          <w:rFonts w:hint="default" w:ascii="Times New Roman" w:hAnsi="Times New Roman" w:cs="Times New Roman"/>
          <w:color w:val="auto"/>
          <w:kern w:val="0"/>
          <w:sz w:val="22"/>
          <w:szCs w:val="22"/>
          <w:highlight w:val="none"/>
          <w:u w:val="single"/>
          <w:lang w:val="en-US" w:eastAsia="zh-CN"/>
        </w:rPr>
        <w:t>2</w:t>
      </w:r>
      <w:r>
        <w:rPr>
          <w:rFonts w:hint="default" w:ascii="Times New Roman" w:hAnsi="Times New Roman" w:cs="Times New Roman"/>
          <w:color w:val="auto"/>
          <w:kern w:val="0"/>
          <w:sz w:val="22"/>
          <w:szCs w:val="22"/>
          <w:highlight w:val="none"/>
          <w:u w:val="single"/>
          <w:lang w:eastAsia="zh-CN"/>
        </w:rPr>
        <w:t>）因发生安全生产事故导致暂停施工的。（</w:t>
      </w:r>
      <w:r>
        <w:rPr>
          <w:rFonts w:hint="default" w:ascii="Times New Roman" w:hAnsi="Times New Roman" w:cs="Times New Roman"/>
          <w:color w:val="auto"/>
          <w:kern w:val="0"/>
          <w:sz w:val="22"/>
          <w:szCs w:val="22"/>
          <w:highlight w:val="none"/>
          <w:u w:val="single"/>
          <w:lang w:val="en-US" w:eastAsia="zh-CN"/>
        </w:rPr>
        <w:t>3</w:t>
      </w:r>
      <w:r>
        <w:rPr>
          <w:rFonts w:hint="default" w:ascii="Times New Roman" w:hAnsi="Times New Roman" w:cs="Times New Roman"/>
          <w:color w:val="auto"/>
          <w:kern w:val="0"/>
          <w:sz w:val="22"/>
          <w:szCs w:val="22"/>
          <w:highlight w:val="none"/>
          <w:u w:val="single"/>
          <w:lang w:eastAsia="zh-CN"/>
        </w:rPr>
        <w:t>）</w:t>
      </w:r>
      <w:r>
        <w:rPr>
          <w:rFonts w:hint="default" w:ascii="Times New Roman" w:hAnsi="Times New Roman" w:cs="Times New Roman"/>
          <w:color w:val="auto"/>
          <w:kern w:val="0"/>
          <w:sz w:val="22"/>
          <w:szCs w:val="22"/>
          <w:highlight w:val="none"/>
          <w:u w:val="single"/>
        </w:rPr>
        <w:t>监理工程师认为确有必要暂停施工时，应当以书面形式要求承包人暂停施工，并在提出要求后48小时内提出书面处理意见。承包人应当按监理工程师要求停止施工，并妥善保护已完工程。承包人实施监理工程师的处理意见后，可以书面形式提出复工要求，监理工程师应当在5天内予答复。因发包人原因造成停工的，必须征得发包人书面同意后，工期方能相应顺延；因承包人原因造成停工的，由承包人承担发生的费用，工期不予顺延。</w:t>
      </w:r>
    </w:p>
    <w:p w14:paraId="1CB2AE95">
      <w:pPr>
        <w:pStyle w:val="4"/>
        <w:numPr>
          <w:ilvl w:val="0"/>
          <w:numId w:val="0"/>
        </w:numPr>
        <w:tabs>
          <w:tab w:val="left" w:pos="360"/>
          <w:tab w:val="left" w:pos="420"/>
          <w:tab w:val="left" w:pos="576"/>
        </w:tabs>
        <w:spacing w:line="420" w:lineRule="exact"/>
        <w:rPr>
          <w:rFonts w:hint="default" w:ascii="Times New Roman" w:hAnsi="Times New Roman" w:cs="Times New Roman"/>
          <w:b/>
          <w:bCs/>
          <w:color w:val="auto"/>
          <w:sz w:val="22"/>
          <w:szCs w:val="22"/>
          <w:highlight w:val="none"/>
        </w:rPr>
      </w:pPr>
      <w:bookmarkStart w:id="373" w:name="_Toc469384103"/>
      <w:bookmarkStart w:id="374" w:name="_Toc23858"/>
      <w:bookmarkStart w:id="375" w:name="_Toc260534799"/>
      <w:r>
        <w:rPr>
          <w:rFonts w:hint="default" w:ascii="Times New Roman" w:hAnsi="Times New Roman" w:cs="Times New Roman"/>
          <w:b/>
          <w:bCs/>
          <w:color w:val="auto"/>
          <w:sz w:val="22"/>
          <w:szCs w:val="22"/>
          <w:highlight w:val="none"/>
        </w:rPr>
        <w:t>36. 工期及工期延误</w:t>
      </w:r>
      <w:bookmarkEnd w:id="373"/>
      <w:bookmarkEnd w:id="374"/>
      <w:bookmarkEnd w:id="375"/>
    </w:p>
    <w:p w14:paraId="01BA4341">
      <w:pPr>
        <w:spacing w:line="420" w:lineRule="exact"/>
        <w:ind w:firstLine="110" w:firstLineChars="50"/>
        <w:rPr>
          <w:rFonts w:hint="default" w:ascii="Times New Roman" w:hAnsi="Times New Roman" w:cs="Times New Roman"/>
          <w:color w:val="auto"/>
          <w:kern w:val="0"/>
          <w:sz w:val="22"/>
          <w:szCs w:val="22"/>
          <w:highlight w:val="none"/>
        </w:rPr>
      </w:pPr>
    </w:p>
    <w:p w14:paraId="3BAF57CF">
      <w:pPr>
        <w:spacing w:line="420" w:lineRule="exact"/>
        <w:ind w:left="1143" w:leftChars="250" w:hanging="618" w:hangingChars="281"/>
        <w:rPr>
          <w:rFonts w:hint="default" w:ascii="Times New Roman" w:hAnsi="Times New Roman" w:cs="Times New Roman"/>
          <w:color w:val="auto"/>
          <w:sz w:val="22"/>
          <w:szCs w:val="22"/>
          <w:highlight w:val="none"/>
          <w:lang w:val="en-US" w:eastAsia="zh-CN"/>
        </w:rPr>
      </w:pPr>
      <w:r>
        <w:rPr>
          <w:rFonts w:hint="default" w:ascii="Times New Roman" w:hAnsi="Times New Roman" w:cs="Times New Roman"/>
          <w:color w:val="auto"/>
          <w:kern w:val="0"/>
          <w:sz w:val="22"/>
          <w:szCs w:val="22"/>
          <w:highlight w:val="none"/>
        </w:rPr>
        <w:t>36.1 合同工程的工期约定为（</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kern w:val="0"/>
          <w:sz w:val="22"/>
          <w:szCs w:val="22"/>
          <w:highlight w:val="none"/>
        </w:rPr>
        <w:t>）天。</w:t>
      </w:r>
      <w:r>
        <w:rPr>
          <w:rFonts w:hint="default" w:ascii="Times New Roman" w:hAnsi="Times New Roman" w:cs="Times New Roman"/>
          <w:color w:val="auto"/>
          <w:sz w:val="22"/>
          <w:szCs w:val="22"/>
          <w:highlight w:val="none"/>
          <w:lang w:eastAsia="zh-CN"/>
        </w:rPr>
        <w:t>（</w:t>
      </w:r>
      <w:r>
        <w:rPr>
          <w:rFonts w:hint="default" w:ascii="Times New Roman" w:hAnsi="Times New Roman" w:cs="Times New Roman"/>
          <w:color w:val="auto"/>
          <w:sz w:val="22"/>
          <w:szCs w:val="22"/>
          <w:highlight w:val="none"/>
          <w:lang w:val="en-US" w:eastAsia="zh-CN"/>
        </w:rPr>
        <w:t>因行政审批、场地协调、极端天气等客观因素致无</w:t>
      </w:r>
    </w:p>
    <w:p w14:paraId="3939AC83">
      <w:pPr>
        <w:spacing w:line="420" w:lineRule="exact"/>
        <w:ind w:left="1143" w:leftChars="250" w:hanging="618" w:hangingChars="281"/>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sz w:val="22"/>
          <w:szCs w:val="22"/>
          <w:highlight w:val="none"/>
          <w:lang w:val="en-US" w:eastAsia="zh-CN"/>
        </w:rPr>
        <w:t>法实施的天数除外</w:t>
      </w:r>
      <w:r>
        <w:rPr>
          <w:rFonts w:hint="default" w:ascii="Times New Roman" w:hAnsi="Times New Roman" w:cs="Times New Roman"/>
          <w:color w:val="auto"/>
          <w:sz w:val="22"/>
          <w:szCs w:val="22"/>
          <w:highlight w:val="none"/>
          <w:lang w:eastAsia="zh-CN"/>
        </w:rPr>
        <w:t>）</w:t>
      </w:r>
    </w:p>
    <w:p w14:paraId="0AE17AF9">
      <w:pPr>
        <w:spacing w:line="420" w:lineRule="exact"/>
        <w:ind w:firstLine="110" w:firstLineChars="5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 xml:space="preserve">  （1）</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rPr>
        <w:t>（工程名称）单位工程的工期约定为</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rPr>
        <w:t>天。</w:t>
      </w:r>
    </w:p>
    <w:p w14:paraId="71902408">
      <w:pPr>
        <w:spacing w:line="420" w:lineRule="exact"/>
        <w:ind w:firstLine="110" w:firstLineChars="5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 xml:space="preserve">  （2）</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rPr>
        <w:t>（工程名称）单位工程的工期约定为</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rPr>
        <w:t>天。</w:t>
      </w:r>
    </w:p>
    <w:p w14:paraId="4EBB3A6D">
      <w:pPr>
        <w:spacing w:line="420" w:lineRule="exact"/>
        <w:ind w:firstLine="110" w:firstLineChars="5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 xml:space="preserve">  </w:t>
      </w:r>
    </w:p>
    <w:p w14:paraId="13E83F67">
      <w:pPr>
        <w:spacing w:line="420" w:lineRule="exact"/>
        <w:ind w:firstLine="110" w:firstLineChars="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sz w:val="22"/>
          <w:szCs w:val="22"/>
          <w:highlight w:val="none"/>
        </w:rPr>
        <w:t xml:space="preserve"> </w:t>
      </w:r>
    </w:p>
    <w:p w14:paraId="0691702B">
      <w:pPr>
        <w:spacing w:line="360" w:lineRule="auto"/>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 xml:space="preserve">  </w:t>
      </w:r>
      <w:r>
        <w:rPr>
          <w:rFonts w:hint="default" w:ascii="Times New Roman" w:hAnsi="Times New Roman" w:cs="Times New Roman"/>
          <w:color w:val="auto"/>
          <w:kern w:val="0"/>
          <w:sz w:val="22"/>
          <w:szCs w:val="22"/>
          <w:highlight w:val="none"/>
        </w:rPr>
        <w:t xml:space="preserve">36.3 </w:t>
      </w:r>
      <w:r>
        <w:rPr>
          <w:rFonts w:hint="default" w:ascii="Times New Roman" w:hAnsi="Times New Roman" w:cs="Times New Roman"/>
          <w:color w:val="auto"/>
          <w:sz w:val="22"/>
          <w:szCs w:val="22"/>
          <w:highlight w:val="none"/>
        </w:rPr>
        <w:t>因以下原因造成工期延误，经工程师确认，工期相应顺延：</w:t>
      </w:r>
    </w:p>
    <w:p w14:paraId="22D088EE">
      <w:pPr>
        <w:spacing w:line="360" w:lineRule="auto"/>
        <w:ind w:firstLine="330" w:firstLineChars="150"/>
        <w:rPr>
          <w:rFonts w:hint="default" w:ascii="Times New Roman" w:hAnsi="Times New Roman" w:cs="Times New Roman"/>
          <w:color w:val="auto"/>
          <w:sz w:val="22"/>
          <w:szCs w:val="22"/>
          <w:highlight w:val="none"/>
          <w:u w:val="single"/>
        </w:rPr>
      </w:pPr>
      <w:r>
        <w:rPr>
          <w:rFonts w:hint="default" w:ascii="Times New Roman" w:hAnsi="Times New Roman" w:cs="Times New Roman"/>
          <w:color w:val="auto"/>
          <w:sz w:val="22"/>
          <w:szCs w:val="22"/>
          <w:highlight w:val="none"/>
        </w:rPr>
        <w:t>（1）</w:t>
      </w:r>
      <w:r>
        <w:rPr>
          <w:rFonts w:hint="default" w:ascii="Times New Roman" w:hAnsi="Times New Roman" w:cs="Times New Roman"/>
          <w:color w:val="auto"/>
          <w:sz w:val="22"/>
          <w:szCs w:val="22"/>
          <w:highlight w:val="none"/>
          <w:u w:val="single"/>
        </w:rPr>
        <w:t>发包人未能按专用条款的约定提供开工条件，并经工程师确认的；</w:t>
      </w:r>
    </w:p>
    <w:p w14:paraId="70F1FCBE">
      <w:pPr>
        <w:spacing w:line="360" w:lineRule="auto"/>
        <w:ind w:firstLine="330" w:firstLineChars="150"/>
        <w:rPr>
          <w:rFonts w:hint="default" w:ascii="Times New Roman" w:hAnsi="Times New Roman" w:cs="Times New Roman"/>
          <w:color w:val="auto"/>
          <w:sz w:val="22"/>
          <w:szCs w:val="22"/>
          <w:highlight w:val="none"/>
          <w:u w:val="single"/>
        </w:rPr>
      </w:pPr>
      <w:r>
        <w:rPr>
          <w:rFonts w:hint="default" w:ascii="Times New Roman" w:hAnsi="Times New Roman" w:cs="Times New Roman"/>
          <w:color w:val="auto"/>
          <w:sz w:val="22"/>
          <w:szCs w:val="22"/>
          <w:highlight w:val="none"/>
        </w:rPr>
        <w:t>（2）</w:t>
      </w:r>
      <w:r>
        <w:rPr>
          <w:rFonts w:hint="default" w:ascii="Times New Roman" w:hAnsi="Times New Roman" w:cs="Times New Roman"/>
          <w:color w:val="auto"/>
          <w:sz w:val="22"/>
          <w:szCs w:val="22"/>
          <w:highlight w:val="none"/>
          <w:u w:val="single"/>
        </w:rPr>
        <w:t>工程师未按合同约定提供所需指令、批准等，致使施工不能正常进行；</w:t>
      </w:r>
    </w:p>
    <w:p w14:paraId="4FFD77DD">
      <w:pPr>
        <w:spacing w:line="360" w:lineRule="auto"/>
        <w:ind w:firstLine="330" w:firstLineChars="150"/>
        <w:rPr>
          <w:rFonts w:hint="default" w:ascii="Times New Roman" w:hAnsi="Times New Roman" w:cs="Times New Roman"/>
          <w:color w:val="auto"/>
          <w:sz w:val="22"/>
          <w:szCs w:val="22"/>
          <w:highlight w:val="none"/>
          <w:u w:val="single"/>
        </w:rPr>
      </w:pPr>
      <w:r>
        <w:rPr>
          <w:rFonts w:hint="default" w:ascii="Times New Roman" w:hAnsi="Times New Roman" w:cs="Times New Roman"/>
          <w:color w:val="auto"/>
          <w:sz w:val="22"/>
          <w:szCs w:val="22"/>
          <w:highlight w:val="none"/>
        </w:rPr>
        <w:t>（3）</w:t>
      </w:r>
      <w:r>
        <w:rPr>
          <w:rFonts w:hint="default" w:ascii="Times New Roman" w:hAnsi="Times New Roman" w:cs="Times New Roman"/>
          <w:color w:val="auto"/>
          <w:sz w:val="22"/>
          <w:szCs w:val="22"/>
          <w:highlight w:val="none"/>
          <w:u w:val="single"/>
        </w:rPr>
        <w:t>一周内非承包人原因停水、停电、停气造成停工累计超过8小时，并经工程师确认的；</w:t>
      </w:r>
    </w:p>
    <w:p w14:paraId="550141DC">
      <w:pPr>
        <w:spacing w:line="360" w:lineRule="auto"/>
        <w:ind w:firstLine="330" w:firstLineChars="150"/>
        <w:rPr>
          <w:rFonts w:hint="default" w:ascii="Times New Roman" w:hAnsi="Times New Roman" w:cs="Times New Roman"/>
          <w:color w:val="auto"/>
          <w:sz w:val="22"/>
          <w:szCs w:val="22"/>
          <w:highlight w:val="none"/>
          <w:u w:val="single"/>
        </w:rPr>
      </w:pPr>
      <w:r>
        <w:rPr>
          <w:rFonts w:hint="default" w:ascii="Times New Roman" w:hAnsi="Times New Roman" w:cs="Times New Roman"/>
          <w:color w:val="auto"/>
          <w:sz w:val="22"/>
          <w:szCs w:val="22"/>
          <w:highlight w:val="none"/>
        </w:rPr>
        <w:t>（4）</w:t>
      </w:r>
      <w:r>
        <w:rPr>
          <w:rFonts w:hint="default" w:ascii="Times New Roman" w:hAnsi="Times New Roman" w:cs="Times New Roman"/>
          <w:color w:val="auto"/>
          <w:sz w:val="22"/>
          <w:szCs w:val="22"/>
          <w:highlight w:val="none"/>
          <w:u w:val="single"/>
        </w:rPr>
        <w:t>不可抗力；</w:t>
      </w:r>
    </w:p>
    <w:p w14:paraId="7437198E">
      <w:pPr>
        <w:spacing w:line="360" w:lineRule="auto"/>
        <w:ind w:firstLine="330" w:firstLineChars="150"/>
        <w:rPr>
          <w:rFonts w:hint="default" w:ascii="Times New Roman" w:hAnsi="Times New Roman" w:cs="Times New Roman"/>
          <w:color w:val="auto"/>
          <w:sz w:val="22"/>
          <w:szCs w:val="22"/>
          <w:highlight w:val="none"/>
          <w:u w:val="single"/>
        </w:rPr>
      </w:pPr>
      <w:r>
        <w:rPr>
          <w:rFonts w:hint="default" w:ascii="Times New Roman" w:hAnsi="Times New Roman" w:cs="Times New Roman"/>
          <w:color w:val="auto"/>
          <w:sz w:val="22"/>
          <w:szCs w:val="22"/>
          <w:highlight w:val="none"/>
        </w:rPr>
        <w:t>（5）</w:t>
      </w:r>
      <w:r>
        <w:rPr>
          <w:rFonts w:hint="default" w:ascii="Times New Roman" w:hAnsi="Times New Roman" w:cs="Times New Roman"/>
          <w:color w:val="auto"/>
          <w:sz w:val="22"/>
          <w:szCs w:val="22"/>
          <w:highlight w:val="none"/>
          <w:u w:val="single"/>
        </w:rPr>
        <w:t>承包人已经积极配合办理占道施工等行政审批手续，但审批手续仍然未能按计划获批的；</w:t>
      </w:r>
    </w:p>
    <w:p w14:paraId="01488967">
      <w:pPr>
        <w:spacing w:line="360" w:lineRule="auto"/>
        <w:ind w:firstLine="330" w:firstLineChars="150"/>
        <w:rPr>
          <w:rFonts w:hint="default" w:ascii="Times New Roman" w:hAnsi="Times New Roman" w:cs="Times New Roman"/>
          <w:color w:val="auto"/>
          <w:sz w:val="22"/>
          <w:szCs w:val="22"/>
          <w:highlight w:val="none"/>
          <w:u w:val="single"/>
        </w:rPr>
      </w:pPr>
      <w:r>
        <w:rPr>
          <w:rFonts w:hint="default" w:ascii="Times New Roman" w:hAnsi="Times New Roman" w:cs="Times New Roman"/>
          <w:color w:val="auto"/>
          <w:sz w:val="22"/>
          <w:szCs w:val="22"/>
          <w:highlight w:val="none"/>
        </w:rPr>
        <w:t>（6）</w:t>
      </w:r>
      <w:r>
        <w:rPr>
          <w:rFonts w:hint="default" w:ascii="Times New Roman" w:hAnsi="Times New Roman" w:cs="Times New Roman"/>
          <w:color w:val="auto"/>
          <w:sz w:val="22"/>
          <w:szCs w:val="22"/>
          <w:highlight w:val="none"/>
          <w:u w:val="single"/>
        </w:rPr>
        <w:t>重大节假日、重要考试或其他事项期间，政府相关部门要求停工的；</w:t>
      </w:r>
    </w:p>
    <w:p w14:paraId="480900E2">
      <w:pPr>
        <w:spacing w:line="360" w:lineRule="auto"/>
        <w:ind w:firstLine="330" w:firstLineChars="150"/>
        <w:rPr>
          <w:rFonts w:hint="default" w:ascii="Times New Roman" w:hAnsi="Times New Roman" w:cs="Times New Roman"/>
          <w:color w:val="auto"/>
          <w:sz w:val="22"/>
          <w:szCs w:val="22"/>
          <w:highlight w:val="none"/>
          <w:u w:val="single"/>
        </w:rPr>
      </w:pPr>
      <w:r>
        <w:rPr>
          <w:rFonts w:hint="default" w:ascii="Times New Roman" w:hAnsi="Times New Roman" w:cs="Times New Roman"/>
          <w:color w:val="auto"/>
          <w:sz w:val="22"/>
          <w:szCs w:val="22"/>
          <w:highlight w:val="none"/>
        </w:rPr>
        <w:t>（7）</w:t>
      </w:r>
      <w:r>
        <w:rPr>
          <w:rFonts w:hint="default" w:ascii="Times New Roman" w:hAnsi="Times New Roman" w:cs="Times New Roman"/>
          <w:color w:val="auto"/>
          <w:sz w:val="22"/>
          <w:szCs w:val="22"/>
          <w:highlight w:val="none"/>
          <w:u w:val="single"/>
        </w:rPr>
        <w:t>专用条款中约定或工程师同意工期顺延的其他情况：如因发包人原因致使承包人暂时无法进行正常施工时，所延误的工期，承包人想方设法弥补，对影响部分经发包人核准并视影响程度再另定顺延期限。</w:t>
      </w:r>
    </w:p>
    <w:p w14:paraId="355FE266">
      <w:pPr>
        <w:keepNext w:val="0"/>
        <w:keepLines w:val="0"/>
        <w:widowControl w:val="0"/>
        <w:suppressLineNumbers w:val="0"/>
        <w:spacing w:before="0" w:beforeAutospacing="0" w:after="0" w:afterAutospacing="0" w:line="420" w:lineRule="exact"/>
        <w:ind w:left="0" w:right="0" w:firstLine="110" w:firstLineChars="50"/>
        <w:jc w:val="both"/>
        <w:rPr>
          <w:rFonts w:hint="default" w:ascii="Times New Roman" w:hAnsi="Times New Roman" w:eastAsia="宋体" w:cs="Times New Roman"/>
          <w:color w:val="auto"/>
          <w:sz w:val="22"/>
          <w:szCs w:val="22"/>
          <w:highlight w:val="none"/>
          <w:lang w:val="en-US"/>
        </w:rPr>
      </w:pPr>
      <w:r>
        <w:rPr>
          <w:rFonts w:hint="default" w:ascii="Times New Roman" w:hAnsi="Times New Roman" w:eastAsia="宋体" w:cs="Times New Roman"/>
          <w:color w:val="auto"/>
          <w:kern w:val="2"/>
          <w:sz w:val="22"/>
          <w:szCs w:val="22"/>
          <w:highlight w:val="none"/>
          <w:lang w:val="en-US" w:eastAsia="zh-CN" w:bidi="ar"/>
        </w:rPr>
        <w:t xml:space="preserve"> </w:t>
      </w:r>
      <w:r>
        <w:rPr>
          <w:rFonts w:hint="default" w:ascii="Times New Roman" w:hAnsi="Times New Roman" w:eastAsia="宋体" w:cs="Times New Roman"/>
          <w:color w:val="auto"/>
          <w:kern w:val="0"/>
          <w:sz w:val="22"/>
          <w:szCs w:val="22"/>
          <w:highlight w:val="none"/>
          <w:lang w:val="en-US" w:eastAsia="zh-CN" w:bidi="ar"/>
        </w:rPr>
        <w:t>36.9 赶工措施费</w:t>
      </w:r>
    </w:p>
    <w:p w14:paraId="3EA295E8">
      <w:pPr>
        <w:keepNext w:val="0"/>
        <w:keepLines w:val="0"/>
        <w:widowControl w:val="0"/>
        <w:suppressLineNumbers w:val="0"/>
        <w:spacing w:before="0" w:beforeAutospacing="0" w:after="0" w:afterAutospacing="0" w:line="420" w:lineRule="exact"/>
        <w:ind w:left="579" w:leftChars="171" w:right="0" w:hanging="220" w:hangingChars="100"/>
        <w:jc w:val="left"/>
        <w:rPr>
          <w:rFonts w:hint="default" w:ascii="Times New Roman" w:hAnsi="Times New Roman" w:eastAsia="宋体" w:cs="Times New Roman"/>
          <w:color w:val="auto"/>
          <w:sz w:val="22"/>
          <w:szCs w:val="22"/>
          <w:highlight w:val="none"/>
          <w:lang w:val="en-US"/>
        </w:rPr>
      </w:pPr>
      <w:r>
        <w:rPr>
          <w:rFonts w:hint="default" w:ascii="Times New Roman" w:hAnsi="Times New Roman" w:eastAsia="宋体" w:cs="Times New Roman"/>
          <w:color w:val="auto"/>
          <w:kern w:val="0"/>
          <w:sz w:val="22"/>
          <w:szCs w:val="22"/>
          <w:highlight w:val="none"/>
          <w:lang w:val="en-US" w:eastAsia="zh-CN" w:bidi="ar"/>
        </w:rPr>
        <w:t>□</w:t>
      </w:r>
      <w:r>
        <w:rPr>
          <w:rFonts w:hint="default" w:ascii="Times New Roman" w:hAnsi="Times New Roman" w:eastAsia="宋体" w:cs="Times New Roman"/>
          <w:color w:val="auto"/>
          <w:kern w:val="2"/>
          <w:sz w:val="22"/>
          <w:szCs w:val="22"/>
          <w:highlight w:val="none"/>
          <w:lang w:val="en-US" w:eastAsia="zh-CN" w:bidi="ar"/>
        </w:rPr>
        <w:t>发包人要求的合同工程工期小于定额工期的</w:t>
      </w:r>
      <w:r>
        <w:rPr>
          <w:rFonts w:hint="default" w:ascii="Times New Roman" w:hAnsi="Times New Roman" w:eastAsia="宋体" w:cs="Times New Roman"/>
          <w:color w:val="auto"/>
          <w:kern w:val="2"/>
          <w:sz w:val="22"/>
          <w:szCs w:val="22"/>
          <w:highlight w:val="none"/>
          <w:u w:val="single"/>
          <w:lang w:val="en-US" w:eastAsia="zh-CN" w:bidi="ar"/>
        </w:rPr>
        <w:t xml:space="preserve">    </w:t>
      </w:r>
      <w:r>
        <w:rPr>
          <w:rFonts w:hint="default" w:ascii="Times New Roman" w:hAnsi="Times New Roman" w:eastAsia="宋体" w:cs="Times New Roman"/>
          <w:color w:val="auto"/>
          <w:kern w:val="2"/>
          <w:sz w:val="22"/>
          <w:szCs w:val="22"/>
          <w:highlight w:val="none"/>
          <w:lang w:val="en-US" w:eastAsia="zh-CN" w:bidi="ar"/>
        </w:rPr>
        <w:t>%时，根据广东省建设工程计价依据规定的赶工措施费率为</w:t>
      </w:r>
      <w:r>
        <w:rPr>
          <w:rFonts w:hint="default" w:ascii="Times New Roman" w:hAnsi="Times New Roman" w:eastAsia="宋体" w:cs="Times New Roman"/>
          <w:color w:val="auto"/>
          <w:kern w:val="2"/>
          <w:sz w:val="22"/>
          <w:szCs w:val="22"/>
          <w:highlight w:val="none"/>
          <w:u w:val="single"/>
          <w:lang w:val="en-US" w:eastAsia="zh-CN" w:bidi="ar"/>
        </w:rPr>
        <w:t xml:space="preserve">     </w:t>
      </w:r>
      <w:r>
        <w:rPr>
          <w:rFonts w:hint="default" w:ascii="Times New Roman" w:hAnsi="Times New Roman" w:eastAsia="宋体" w:cs="Times New Roman"/>
          <w:color w:val="auto"/>
          <w:kern w:val="2"/>
          <w:sz w:val="22"/>
          <w:szCs w:val="22"/>
          <w:highlight w:val="none"/>
          <w:lang w:val="en-US" w:eastAsia="zh-CN" w:bidi="ar"/>
        </w:rPr>
        <w:t>%计算</w:t>
      </w:r>
      <w:r>
        <w:rPr>
          <w:rFonts w:hint="default" w:ascii="Times New Roman" w:hAnsi="Times New Roman" w:eastAsia="宋体" w:cs="Times New Roman"/>
          <w:color w:val="auto"/>
          <w:kern w:val="0"/>
          <w:sz w:val="22"/>
          <w:szCs w:val="22"/>
          <w:highlight w:val="none"/>
          <w:lang w:val="en-US" w:eastAsia="zh-CN" w:bidi="ar"/>
        </w:rPr>
        <w:t>；</w:t>
      </w:r>
    </w:p>
    <w:p w14:paraId="0266D619">
      <w:pPr>
        <w:keepNext w:val="0"/>
        <w:keepLines w:val="0"/>
        <w:widowControl w:val="0"/>
        <w:suppressLineNumbers w:val="0"/>
        <w:spacing w:before="0" w:beforeAutospacing="0" w:after="0" w:afterAutospacing="0" w:line="420" w:lineRule="exact"/>
        <w:ind w:left="579" w:leftChars="171" w:right="0" w:hanging="220" w:hangingChars="100"/>
        <w:jc w:val="left"/>
        <w:rPr>
          <w:rFonts w:hint="default" w:ascii="Times New Roman" w:hAnsi="Times New Roman" w:eastAsia="宋体" w:cs="Times New Roman"/>
          <w:color w:val="auto"/>
          <w:sz w:val="22"/>
          <w:szCs w:val="22"/>
          <w:highlight w:val="none"/>
          <w:lang w:val="en-US"/>
        </w:rPr>
      </w:pPr>
      <w:r>
        <w:rPr>
          <w:rFonts w:hint="default" w:ascii="Times New Roman" w:hAnsi="Times New Roman" w:eastAsia="宋体" w:cs="Times New Roman"/>
          <w:color w:val="auto"/>
          <w:kern w:val="0"/>
          <w:sz w:val="22"/>
          <w:szCs w:val="22"/>
          <w:highlight w:val="none"/>
          <w:lang w:val="en-US" w:eastAsia="zh-CN" w:bidi="ar"/>
        </w:rPr>
        <w:t>□</w:t>
      </w:r>
      <w:r>
        <w:rPr>
          <w:rFonts w:hint="default" w:ascii="Times New Roman" w:hAnsi="Times New Roman" w:eastAsia="宋体" w:cs="Times New Roman"/>
          <w:color w:val="auto"/>
          <w:kern w:val="2"/>
          <w:sz w:val="22"/>
          <w:szCs w:val="22"/>
          <w:highlight w:val="none"/>
          <w:lang w:val="en-US" w:eastAsia="zh-CN" w:bidi="ar"/>
        </w:rPr>
        <w:t>发包人要求的合同工程工期小于定额工期的</w:t>
      </w:r>
      <w:r>
        <w:rPr>
          <w:rFonts w:hint="default" w:ascii="Times New Roman" w:hAnsi="Times New Roman" w:eastAsia="宋体" w:cs="Times New Roman"/>
          <w:color w:val="auto"/>
          <w:kern w:val="2"/>
          <w:sz w:val="22"/>
          <w:szCs w:val="22"/>
          <w:highlight w:val="none"/>
          <w:u w:val="single"/>
          <w:lang w:val="en-US" w:eastAsia="zh-CN" w:bidi="ar"/>
        </w:rPr>
        <w:t xml:space="preserve">    </w:t>
      </w:r>
      <w:r>
        <w:rPr>
          <w:rFonts w:hint="default" w:ascii="Times New Roman" w:hAnsi="Times New Roman" w:eastAsia="宋体" w:cs="Times New Roman"/>
          <w:color w:val="auto"/>
          <w:kern w:val="2"/>
          <w:sz w:val="22"/>
          <w:szCs w:val="22"/>
          <w:highlight w:val="none"/>
          <w:lang w:val="en-US" w:eastAsia="zh-CN" w:bidi="ar"/>
        </w:rPr>
        <w:t>%时，根据广州市住房和城乡建设局发布的赶工措施费规定的赶工措施费率为</w:t>
      </w:r>
      <w:r>
        <w:rPr>
          <w:rFonts w:hint="default" w:ascii="Times New Roman" w:hAnsi="Times New Roman" w:eastAsia="宋体" w:cs="Times New Roman"/>
          <w:color w:val="auto"/>
          <w:kern w:val="2"/>
          <w:sz w:val="22"/>
          <w:szCs w:val="22"/>
          <w:highlight w:val="none"/>
          <w:u w:val="single"/>
          <w:lang w:val="en-US" w:eastAsia="zh-CN" w:bidi="ar"/>
        </w:rPr>
        <w:t xml:space="preserve">     </w:t>
      </w:r>
      <w:r>
        <w:rPr>
          <w:rFonts w:hint="default" w:ascii="Times New Roman" w:hAnsi="Times New Roman" w:eastAsia="宋体" w:cs="Times New Roman"/>
          <w:color w:val="auto"/>
          <w:kern w:val="2"/>
          <w:sz w:val="22"/>
          <w:szCs w:val="22"/>
          <w:highlight w:val="none"/>
          <w:lang w:val="en-US" w:eastAsia="zh-CN" w:bidi="ar"/>
        </w:rPr>
        <w:t>%计算；</w:t>
      </w:r>
    </w:p>
    <w:p w14:paraId="3A85E8B6">
      <w:pPr>
        <w:keepNext w:val="0"/>
        <w:keepLines w:val="0"/>
        <w:widowControl w:val="0"/>
        <w:suppressLineNumbers w:val="0"/>
        <w:spacing w:before="0" w:beforeAutospacing="0" w:after="0" w:afterAutospacing="0" w:line="420" w:lineRule="exact"/>
        <w:ind w:left="579" w:leftChars="171" w:right="0" w:hanging="220" w:hangingChars="100"/>
        <w:jc w:val="left"/>
        <w:rPr>
          <w:rFonts w:hint="default" w:ascii="Times New Roman" w:hAnsi="Times New Roman" w:eastAsia="宋体" w:cs="Times New Roman"/>
          <w:color w:val="auto"/>
          <w:sz w:val="22"/>
          <w:szCs w:val="22"/>
          <w:highlight w:val="none"/>
          <w:lang w:val="en-US"/>
        </w:rPr>
      </w:pPr>
      <w:r>
        <w:rPr>
          <w:rFonts w:hint="default" w:ascii="Times New Roman" w:hAnsi="Times New Roman" w:eastAsia="宋体" w:cs="Times New Roman"/>
          <w:color w:val="auto"/>
          <w:kern w:val="0"/>
          <w:sz w:val="22"/>
          <w:szCs w:val="22"/>
          <w:highlight w:val="none"/>
          <w:lang w:val="en-US" w:eastAsia="zh-CN" w:bidi="ar"/>
        </w:rPr>
        <w:t>□</w:t>
      </w:r>
      <w:r>
        <w:rPr>
          <w:rFonts w:hint="default" w:ascii="Times New Roman" w:hAnsi="Times New Roman" w:eastAsia="宋体" w:cs="Times New Roman"/>
          <w:color w:val="auto"/>
          <w:kern w:val="2"/>
          <w:sz w:val="22"/>
          <w:szCs w:val="22"/>
          <w:highlight w:val="none"/>
          <w:lang w:val="en-US" w:eastAsia="zh-CN" w:bidi="ar"/>
        </w:rPr>
        <w:t>发包人要求的合同工程工期小于定额工期的</w:t>
      </w:r>
      <w:r>
        <w:rPr>
          <w:rFonts w:hint="default" w:ascii="Times New Roman" w:hAnsi="Times New Roman" w:eastAsia="宋体" w:cs="Times New Roman"/>
          <w:color w:val="auto"/>
          <w:kern w:val="2"/>
          <w:sz w:val="22"/>
          <w:szCs w:val="22"/>
          <w:highlight w:val="none"/>
          <w:u w:val="single"/>
          <w:lang w:val="en-US" w:eastAsia="zh-CN" w:bidi="ar"/>
        </w:rPr>
        <w:t xml:space="preserve">    </w:t>
      </w:r>
      <w:r>
        <w:rPr>
          <w:rFonts w:hint="default" w:ascii="Times New Roman" w:hAnsi="Times New Roman" w:eastAsia="宋体" w:cs="Times New Roman"/>
          <w:color w:val="auto"/>
          <w:kern w:val="2"/>
          <w:sz w:val="22"/>
          <w:szCs w:val="22"/>
          <w:highlight w:val="none"/>
          <w:lang w:val="en-US" w:eastAsia="zh-CN" w:bidi="ar"/>
        </w:rPr>
        <w:t>%时，根据广州市建设工程造价管理站发布的赶工措施费规定的赶工措施费率为</w:t>
      </w:r>
      <w:r>
        <w:rPr>
          <w:rFonts w:hint="default" w:ascii="Times New Roman" w:hAnsi="Times New Roman" w:eastAsia="宋体" w:cs="Times New Roman"/>
          <w:color w:val="auto"/>
          <w:kern w:val="2"/>
          <w:sz w:val="22"/>
          <w:szCs w:val="22"/>
          <w:highlight w:val="none"/>
          <w:u w:val="single"/>
          <w:lang w:val="en-US" w:eastAsia="zh-CN" w:bidi="ar"/>
        </w:rPr>
        <w:t xml:space="preserve">     </w:t>
      </w:r>
      <w:r>
        <w:rPr>
          <w:rFonts w:hint="default" w:ascii="Times New Roman" w:hAnsi="Times New Roman" w:eastAsia="宋体" w:cs="Times New Roman"/>
          <w:color w:val="auto"/>
          <w:kern w:val="2"/>
          <w:sz w:val="22"/>
          <w:szCs w:val="22"/>
          <w:highlight w:val="none"/>
          <w:lang w:val="en-US" w:eastAsia="zh-CN" w:bidi="ar"/>
        </w:rPr>
        <w:t>%计算</w:t>
      </w:r>
      <w:r>
        <w:rPr>
          <w:rFonts w:hint="default" w:ascii="Times New Roman" w:hAnsi="Times New Roman" w:eastAsia="宋体" w:cs="Times New Roman"/>
          <w:color w:val="auto"/>
          <w:kern w:val="0"/>
          <w:sz w:val="22"/>
          <w:szCs w:val="22"/>
          <w:highlight w:val="none"/>
          <w:lang w:val="en-US" w:eastAsia="zh-CN" w:bidi="ar"/>
        </w:rPr>
        <w:t>；</w:t>
      </w:r>
    </w:p>
    <w:p w14:paraId="26F4365A">
      <w:pPr>
        <w:keepNext w:val="0"/>
        <w:keepLines w:val="0"/>
        <w:widowControl w:val="0"/>
        <w:suppressLineNumbers w:val="0"/>
        <w:spacing w:before="0" w:beforeAutospacing="0" w:after="0" w:afterAutospacing="0" w:line="420" w:lineRule="exact"/>
        <w:ind w:left="558" w:leftChars="56" w:right="0" w:hanging="440" w:hangingChars="200"/>
        <w:jc w:val="both"/>
        <w:rPr>
          <w:rFonts w:hint="default" w:ascii="Times New Roman" w:hAnsi="Times New Roman" w:eastAsia="宋体" w:cs="Times New Roman"/>
          <w:color w:val="auto"/>
          <w:sz w:val="22"/>
          <w:szCs w:val="22"/>
          <w:highlight w:val="none"/>
          <w:lang w:val="en-US"/>
        </w:rPr>
      </w:pPr>
      <w:r>
        <w:rPr>
          <w:rFonts w:hint="default" w:ascii="Times New Roman" w:hAnsi="Times New Roman" w:eastAsia="宋体" w:cs="Times New Roman"/>
          <w:color w:val="auto"/>
          <w:kern w:val="0"/>
          <w:sz w:val="22"/>
          <w:szCs w:val="22"/>
          <w:highlight w:val="none"/>
          <w:lang w:val="en-US" w:eastAsia="zh-CN" w:bidi="ar"/>
        </w:rPr>
        <w:t xml:space="preserve">  □</w:t>
      </w:r>
      <w:r>
        <w:rPr>
          <w:rFonts w:hint="default" w:ascii="Times New Roman" w:hAnsi="Times New Roman" w:eastAsia="宋体" w:cs="Times New Roman"/>
          <w:color w:val="auto"/>
          <w:kern w:val="2"/>
          <w:sz w:val="22"/>
          <w:szCs w:val="22"/>
          <w:highlight w:val="none"/>
          <w:lang w:val="en-US" w:eastAsia="zh-CN" w:bidi="ar"/>
        </w:rPr>
        <w:t>发包人要求的合同工程工期小于定额工期的</w:t>
      </w:r>
      <w:r>
        <w:rPr>
          <w:rFonts w:hint="default" w:ascii="Times New Roman" w:hAnsi="Times New Roman" w:eastAsia="宋体" w:cs="Times New Roman"/>
          <w:color w:val="auto"/>
          <w:kern w:val="2"/>
          <w:sz w:val="22"/>
          <w:szCs w:val="22"/>
          <w:highlight w:val="none"/>
          <w:u w:val="single"/>
          <w:lang w:val="en-US" w:eastAsia="zh-CN" w:bidi="ar"/>
        </w:rPr>
        <w:t xml:space="preserve">    </w:t>
      </w:r>
      <w:r>
        <w:rPr>
          <w:rFonts w:hint="default" w:ascii="Times New Roman" w:hAnsi="Times New Roman" w:eastAsia="宋体" w:cs="Times New Roman"/>
          <w:color w:val="auto"/>
          <w:kern w:val="2"/>
          <w:sz w:val="22"/>
          <w:szCs w:val="22"/>
          <w:highlight w:val="none"/>
          <w:lang w:val="en-US" w:eastAsia="zh-CN" w:bidi="ar"/>
        </w:rPr>
        <w:t>%时，发包人、承包人约定赶工措施费率按</w:t>
      </w:r>
      <w:r>
        <w:rPr>
          <w:rFonts w:hint="default" w:ascii="Times New Roman" w:hAnsi="Times New Roman" w:eastAsia="宋体" w:cs="Times New Roman"/>
          <w:color w:val="auto"/>
          <w:kern w:val="2"/>
          <w:sz w:val="22"/>
          <w:szCs w:val="22"/>
          <w:highlight w:val="none"/>
          <w:u w:val="single"/>
          <w:lang w:val="en-US" w:eastAsia="zh-CN" w:bidi="ar"/>
        </w:rPr>
        <w:t xml:space="preserve">     </w:t>
      </w:r>
      <w:r>
        <w:rPr>
          <w:rFonts w:hint="default" w:ascii="Times New Roman" w:hAnsi="Times New Roman" w:eastAsia="宋体" w:cs="Times New Roman"/>
          <w:color w:val="auto"/>
          <w:kern w:val="2"/>
          <w:sz w:val="22"/>
          <w:szCs w:val="22"/>
          <w:highlight w:val="none"/>
          <w:lang w:val="en-US" w:eastAsia="zh-CN" w:bidi="ar"/>
        </w:rPr>
        <w:t>%计算</w:t>
      </w:r>
      <w:r>
        <w:rPr>
          <w:rFonts w:hint="default" w:ascii="Times New Roman" w:hAnsi="Times New Roman" w:eastAsia="宋体" w:cs="Times New Roman"/>
          <w:color w:val="auto"/>
          <w:kern w:val="0"/>
          <w:sz w:val="22"/>
          <w:szCs w:val="22"/>
          <w:highlight w:val="none"/>
          <w:lang w:val="en-US" w:eastAsia="zh-CN" w:bidi="ar"/>
        </w:rPr>
        <w:t>；</w:t>
      </w:r>
      <w:r>
        <w:rPr>
          <w:rFonts w:hint="default" w:ascii="Times New Roman" w:hAnsi="Times New Roman" w:eastAsia="宋体" w:cs="Times New Roman"/>
          <w:color w:val="auto"/>
          <w:kern w:val="2"/>
          <w:sz w:val="22"/>
          <w:szCs w:val="22"/>
          <w:highlight w:val="none"/>
          <w:lang w:val="en-US" w:eastAsia="zh-CN" w:bidi="ar"/>
        </w:rPr>
        <w:t xml:space="preserve"> </w:t>
      </w:r>
    </w:p>
    <w:p w14:paraId="19245B1F">
      <w:pPr>
        <w:pStyle w:val="4"/>
        <w:numPr>
          <w:ilvl w:val="0"/>
          <w:numId w:val="0"/>
        </w:numPr>
        <w:tabs>
          <w:tab w:val="left" w:pos="360"/>
          <w:tab w:val="left" w:pos="420"/>
          <w:tab w:val="left" w:pos="576"/>
        </w:tabs>
        <w:spacing w:line="420" w:lineRule="exact"/>
        <w:rPr>
          <w:rFonts w:hint="default" w:ascii="Times New Roman" w:hAnsi="Times New Roman" w:cs="Times New Roman"/>
          <w:b/>
          <w:bCs/>
          <w:color w:val="auto"/>
          <w:sz w:val="22"/>
          <w:szCs w:val="22"/>
          <w:highlight w:val="none"/>
        </w:rPr>
      </w:pPr>
      <w:bookmarkStart w:id="376" w:name="_Toc19799"/>
      <w:bookmarkStart w:id="377" w:name="_Toc1747548015"/>
      <w:bookmarkStart w:id="378" w:name="_Toc469384104"/>
      <w:r>
        <w:rPr>
          <w:rFonts w:hint="default" w:ascii="Times New Roman" w:hAnsi="Times New Roman" w:cs="Times New Roman"/>
          <w:b/>
          <w:bCs/>
          <w:color w:val="auto"/>
          <w:sz w:val="22"/>
          <w:szCs w:val="22"/>
          <w:highlight w:val="none"/>
        </w:rPr>
        <w:t>38. 竣工日期</w:t>
      </w:r>
      <w:bookmarkEnd w:id="376"/>
      <w:bookmarkEnd w:id="377"/>
      <w:bookmarkEnd w:id="378"/>
    </w:p>
    <w:p w14:paraId="4FE00763">
      <w:pPr>
        <w:spacing w:line="420" w:lineRule="exact"/>
        <w:ind w:firstLine="110" w:firstLineChars="5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 xml:space="preserve"> </w:t>
      </w:r>
    </w:p>
    <w:p w14:paraId="74FBA8FA">
      <w:pPr>
        <w:spacing w:line="420" w:lineRule="exact"/>
        <w:ind w:firstLine="110" w:firstLineChars="50"/>
        <w:rPr>
          <w:rFonts w:hint="default" w:ascii="Times New Roman" w:hAnsi="Times New Roman" w:cs="Times New Roman"/>
          <w:color w:val="auto"/>
          <w:sz w:val="22"/>
          <w:szCs w:val="22"/>
          <w:highlight w:val="none"/>
          <w:u w:val="single"/>
        </w:rPr>
      </w:pPr>
      <w:r>
        <w:rPr>
          <w:rFonts w:hint="default" w:ascii="Times New Roman" w:hAnsi="Times New Roman" w:cs="Times New Roman"/>
          <w:color w:val="auto"/>
          <w:sz w:val="22"/>
          <w:szCs w:val="22"/>
          <w:highlight w:val="none"/>
        </w:rPr>
        <w:t xml:space="preserve">  38.1 计划竣工日期：</w:t>
      </w:r>
      <w:r>
        <w:rPr>
          <w:rFonts w:hint="default" w:ascii="Times New Roman" w:hAnsi="Times New Roman" w:cs="Times New Roman"/>
          <w:color w:val="auto"/>
          <w:sz w:val="22"/>
          <w:szCs w:val="22"/>
          <w:highlight w:val="none"/>
          <w:u w:val="single"/>
        </w:rPr>
        <w:t xml:space="preserve">       年       月       日。</w:t>
      </w:r>
    </w:p>
    <w:p w14:paraId="77E7B644">
      <w:pPr>
        <w:spacing w:line="420" w:lineRule="exact"/>
        <w:ind w:firstLine="110" w:firstLineChars="50"/>
        <w:rPr>
          <w:rFonts w:hint="default" w:ascii="Times New Roman" w:hAnsi="Times New Roman" w:cs="Times New Roman"/>
          <w:color w:val="auto"/>
          <w:sz w:val="22"/>
          <w:szCs w:val="22"/>
          <w:highlight w:val="none"/>
          <w:u w:val="single"/>
        </w:rPr>
      </w:pPr>
    </w:p>
    <w:p w14:paraId="74463737">
      <w:pPr>
        <w:numPr>
          <w:ilvl w:val="0"/>
          <w:numId w:val="0"/>
        </w:numPr>
        <w:rPr>
          <w:rFonts w:hint="default" w:ascii="Times New Roman" w:hAnsi="Times New Roman" w:eastAsia="宋体" w:cs="Times New Roman"/>
          <w:b/>
          <w:bCs/>
          <w:color w:val="auto"/>
          <w:kern w:val="0"/>
          <w:sz w:val="22"/>
          <w:szCs w:val="22"/>
          <w:highlight w:val="none"/>
          <w:lang w:val="en-US" w:eastAsia="zh-CN" w:bidi="ar-SA"/>
        </w:rPr>
      </w:pPr>
      <w:r>
        <w:rPr>
          <w:rFonts w:hint="default" w:ascii="Times New Roman" w:hAnsi="Times New Roman" w:eastAsia="宋体" w:cs="Times New Roman"/>
          <w:b/>
          <w:bCs/>
          <w:color w:val="auto"/>
          <w:kern w:val="0"/>
          <w:sz w:val="22"/>
          <w:szCs w:val="22"/>
          <w:highlight w:val="none"/>
          <w:lang w:val="en-US" w:eastAsia="zh-CN" w:bidi="ar-SA"/>
        </w:rPr>
        <w:t>40. 误期赔偿</w:t>
      </w:r>
    </w:p>
    <w:p w14:paraId="193D707F">
      <w:pPr>
        <w:spacing w:line="420" w:lineRule="exact"/>
        <w:ind w:firstLine="105" w:firstLineChars="50"/>
        <w:rPr>
          <w:rFonts w:hint="default" w:ascii="Times New Roman" w:hAnsi="Times New Roman" w:cs="Times New Roman"/>
          <w:color w:val="auto"/>
          <w:sz w:val="22"/>
          <w:szCs w:val="22"/>
          <w:highlight w:val="none"/>
          <w:lang w:val="en-US"/>
        </w:rPr>
      </w:pPr>
      <w:r>
        <w:rPr>
          <w:rFonts w:hint="default" w:ascii="Times New Roman" w:hAnsi="Times New Roman" w:cs="Times New Roman"/>
          <w:color w:val="auto"/>
          <w:highlight w:val="none"/>
          <w:lang w:val="en-US" w:eastAsia="zh-CN"/>
        </w:rPr>
        <w:t xml:space="preserve"> </w:t>
      </w:r>
      <w:r>
        <w:rPr>
          <w:rFonts w:hint="default" w:ascii="Times New Roman" w:hAnsi="Times New Roman" w:cs="Times New Roman"/>
          <w:color w:val="auto"/>
          <w:sz w:val="22"/>
          <w:szCs w:val="22"/>
          <w:highlight w:val="none"/>
          <w:lang w:val="en-US" w:eastAsia="zh-CN"/>
        </w:rPr>
        <w:t xml:space="preserve"> 承包人不能按照协议书约定的竣工日期或监理师/发包人同意顺延的工期竣工，延误的工期每延误1天（日历天），应向发包人支付本工程合同价款的0.5‰作为违约金。</w:t>
      </w:r>
    </w:p>
    <w:p w14:paraId="1F6DE12C">
      <w:pPr>
        <w:spacing w:line="420" w:lineRule="exact"/>
        <w:ind w:firstLine="110" w:firstLineChars="50"/>
        <w:rPr>
          <w:rFonts w:hint="default" w:ascii="Times New Roman" w:hAnsi="Times New Roman" w:cs="Times New Roman"/>
          <w:color w:val="auto"/>
          <w:sz w:val="22"/>
          <w:szCs w:val="22"/>
          <w:highlight w:val="none"/>
          <w:u w:val="single"/>
        </w:rPr>
      </w:pPr>
    </w:p>
    <w:p w14:paraId="7B75AF90">
      <w:pPr>
        <w:pStyle w:val="4"/>
        <w:numPr>
          <w:ilvl w:val="0"/>
          <w:numId w:val="0"/>
        </w:numPr>
        <w:tabs>
          <w:tab w:val="left" w:pos="360"/>
          <w:tab w:val="left" w:pos="420"/>
          <w:tab w:val="left" w:pos="576"/>
        </w:tabs>
        <w:spacing w:line="420" w:lineRule="exact"/>
        <w:rPr>
          <w:rFonts w:hint="default" w:ascii="Times New Roman" w:hAnsi="Times New Roman" w:cs="Times New Roman"/>
          <w:b/>
          <w:bCs/>
          <w:color w:val="auto"/>
          <w:sz w:val="22"/>
          <w:szCs w:val="22"/>
          <w:highlight w:val="none"/>
        </w:rPr>
      </w:pPr>
      <w:bookmarkStart w:id="379" w:name="_Toc21675"/>
      <w:bookmarkStart w:id="380" w:name="_Toc469384105"/>
      <w:bookmarkStart w:id="381" w:name="_Toc1175852959"/>
      <w:r>
        <w:rPr>
          <w:rFonts w:hint="default" w:ascii="Times New Roman" w:hAnsi="Times New Roman" w:cs="Times New Roman"/>
          <w:b/>
          <w:bCs/>
          <w:color w:val="auto"/>
          <w:sz w:val="22"/>
          <w:szCs w:val="22"/>
          <w:highlight w:val="none"/>
        </w:rPr>
        <w:t>★42. 质量标准、目标</w:t>
      </w:r>
      <w:bookmarkEnd w:id="379"/>
      <w:bookmarkEnd w:id="380"/>
      <w:bookmarkEnd w:id="381"/>
    </w:p>
    <w:p w14:paraId="381F3F17">
      <w:pPr>
        <w:spacing w:line="420" w:lineRule="exact"/>
        <w:ind w:firstLine="110" w:firstLineChars="50"/>
        <w:rPr>
          <w:rFonts w:hint="default" w:ascii="Times New Roman" w:hAnsi="Times New Roman" w:cs="Times New Roman"/>
          <w:color w:val="auto"/>
          <w:sz w:val="22"/>
          <w:szCs w:val="22"/>
          <w:highlight w:val="none"/>
        </w:rPr>
      </w:pPr>
    </w:p>
    <w:p w14:paraId="28E01931">
      <w:pPr>
        <w:spacing w:line="420" w:lineRule="exact"/>
        <w:ind w:firstLine="110" w:firstLineChars="5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 xml:space="preserve">  </w:t>
      </w:r>
      <w:r>
        <w:rPr>
          <w:rFonts w:hint="default" w:ascii="Times New Roman" w:hAnsi="Times New Roman" w:cs="Times New Roman"/>
          <w:b/>
          <w:bCs/>
          <w:color w:val="auto"/>
          <w:sz w:val="22"/>
          <w:szCs w:val="22"/>
          <w:highlight w:val="none"/>
        </w:rPr>
        <w:t>★</w:t>
      </w:r>
      <w:r>
        <w:rPr>
          <w:rFonts w:hint="default" w:ascii="Times New Roman" w:hAnsi="Times New Roman" w:cs="Times New Roman"/>
          <w:color w:val="auto"/>
          <w:sz w:val="22"/>
          <w:szCs w:val="22"/>
          <w:highlight w:val="none"/>
        </w:rPr>
        <w:t>42.1 约定的工程质量标准</w:t>
      </w:r>
    </w:p>
    <w:p w14:paraId="79763817">
      <w:pPr>
        <w:spacing w:line="420" w:lineRule="exact"/>
        <w:ind w:firstLine="110" w:firstLineChars="50"/>
        <w:rPr>
          <w:rFonts w:hint="default" w:ascii="Times New Roman" w:hAnsi="Times New Roman" w:cs="Times New Roman"/>
          <w:color w:val="auto"/>
          <w:sz w:val="22"/>
          <w:szCs w:val="22"/>
          <w:highlight w:val="none"/>
          <w:u w:val="single"/>
        </w:rPr>
      </w:pPr>
      <w:r>
        <w:rPr>
          <w:rFonts w:hint="default" w:ascii="Times New Roman" w:hAnsi="Times New Roman" w:cs="Times New Roman"/>
          <w:color w:val="auto"/>
          <w:sz w:val="22"/>
          <w:szCs w:val="22"/>
          <w:highlight w:val="none"/>
        </w:rPr>
        <w:t xml:space="preserve">  （1） 合同工程质量标准：</w:t>
      </w:r>
      <w:r>
        <w:rPr>
          <w:rFonts w:hint="default" w:ascii="Times New Roman" w:hAnsi="Times New Roman" w:cs="Times New Roman"/>
          <w:color w:val="auto"/>
          <w:sz w:val="22"/>
          <w:szCs w:val="22"/>
          <w:highlight w:val="none"/>
          <w:u w:val="single"/>
        </w:rPr>
        <w:t xml:space="preserve"> 合格 </w:t>
      </w:r>
    </w:p>
    <w:p w14:paraId="0ADB2334">
      <w:pPr>
        <w:spacing w:line="420" w:lineRule="exact"/>
        <w:ind w:firstLine="440" w:firstLineChars="20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创优目标：</w:t>
      </w:r>
    </w:p>
    <w:p w14:paraId="466C98F3">
      <w:pPr>
        <w:autoSpaceDE w:val="0"/>
        <w:autoSpaceDN w:val="0"/>
        <w:adjustRightInd w:val="0"/>
        <w:spacing w:line="420" w:lineRule="exact"/>
        <w:ind w:firstLine="440" w:firstLineChars="200"/>
        <w:jc w:val="lef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w:t>
      </w:r>
      <w:r>
        <w:rPr>
          <w:rFonts w:hint="default" w:ascii="Times New Roman" w:hAnsi="Times New Roman" w:cs="Times New Roman"/>
          <w:color w:val="auto"/>
          <w:sz w:val="22"/>
          <w:szCs w:val="22"/>
          <w:highlight w:val="none"/>
        </w:rPr>
        <w:t>市级工程优质奖</w:t>
      </w:r>
      <w:r>
        <w:rPr>
          <w:rFonts w:hint="default" w:ascii="Times New Roman" w:hAnsi="Times New Roman" w:cs="Times New Roman"/>
          <w:color w:val="auto"/>
          <w:kern w:val="0"/>
          <w:sz w:val="22"/>
          <w:szCs w:val="22"/>
          <w:highlight w:val="none"/>
        </w:rPr>
        <w:t>；</w:t>
      </w:r>
    </w:p>
    <w:p w14:paraId="6FF03049">
      <w:pPr>
        <w:autoSpaceDE w:val="0"/>
        <w:autoSpaceDN w:val="0"/>
        <w:adjustRightInd w:val="0"/>
        <w:spacing w:line="420" w:lineRule="exact"/>
        <w:ind w:firstLine="440" w:firstLineChars="200"/>
        <w:jc w:val="lef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w:t>
      </w:r>
      <w:r>
        <w:rPr>
          <w:rFonts w:hint="default" w:ascii="Times New Roman" w:hAnsi="Times New Roman" w:cs="Times New Roman"/>
          <w:color w:val="auto"/>
          <w:sz w:val="22"/>
          <w:szCs w:val="22"/>
          <w:highlight w:val="none"/>
        </w:rPr>
        <w:t>省级工程优质奖</w:t>
      </w:r>
      <w:r>
        <w:rPr>
          <w:rFonts w:hint="default" w:ascii="Times New Roman" w:hAnsi="Times New Roman" w:cs="Times New Roman"/>
          <w:color w:val="auto"/>
          <w:kern w:val="0"/>
          <w:sz w:val="22"/>
          <w:szCs w:val="22"/>
          <w:highlight w:val="none"/>
        </w:rPr>
        <w:t>；</w:t>
      </w:r>
    </w:p>
    <w:p w14:paraId="530DB4A1">
      <w:pPr>
        <w:spacing w:line="420" w:lineRule="exact"/>
        <w:ind w:firstLine="440" w:firstLineChars="20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w:t>
      </w:r>
      <w:r>
        <w:rPr>
          <w:rFonts w:hint="default" w:ascii="Times New Roman" w:hAnsi="Times New Roman" w:cs="Times New Roman"/>
          <w:color w:val="auto"/>
          <w:sz w:val="22"/>
          <w:szCs w:val="22"/>
          <w:highlight w:val="none"/>
        </w:rPr>
        <w:t>国家级工程优质奖</w:t>
      </w:r>
      <w:r>
        <w:rPr>
          <w:rFonts w:hint="default" w:ascii="Times New Roman" w:hAnsi="Times New Roman" w:cs="Times New Roman"/>
          <w:color w:val="auto"/>
          <w:kern w:val="0"/>
          <w:sz w:val="22"/>
          <w:szCs w:val="22"/>
          <w:highlight w:val="none"/>
        </w:rPr>
        <w:t>；</w:t>
      </w:r>
    </w:p>
    <w:p w14:paraId="48D4D68E">
      <w:pPr>
        <w:spacing w:line="420" w:lineRule="exact"/>
        <w:ind w:firstLine="440" w:firstLineChars="20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其它</w:t>
      </w:r>
      <w:r>
        <w:rPr>
          <w:rFonts w:hint="default" w:ascii="Times New Roman" w:hAnsi="Times New Roman" w:cs="Times New Roman"/>
          <w:color w:val="auto"/>
          <w:kern w:val="0"/>
          <w:sz w:val="22"/>
          <w:szCs w:val="22"/>
          <w:highlight w:val="none"/>
          <w:lang w:eastAsia="zh-CN"/>
        </w:rPr>
        <w:t>：</w:t>
      </w:r>
      <w:r>
        <w:rPr>
          <w:rFonts w:hint="default" w:ascii="Times New Roman" w:hAnsi="Times New Roman" w:cs="Times New Roman"/>
          <w:color w:val="auto"/>
          <w:kern w:val="0"/>
          <w:sz w:val="22"/>
          <w:szCs w:val="22"/>
          <w:highlight w:val="none"/>
          <w:u w:val="single"/>
          <w:lang w:eastAsia="zh-CN"/>
        </w:rPr>
        <w:t>水务精品工程</w:t>
      </w:r>
    </w:p>
    <w:p w14:paraId="23639C25">
      <w:pPr>
        <w:spacing w:line="420" w:lineRule="exact"/>
        <w:rPr>
          <w:rFonts w:hint="default" w:ascii="Times New Roman" w:hAnsi="Times New Roman" w:cs="Times New Roman"/>
          <w:color w:val="auto"/>
          <w:kern w:val="0"/>
          <w:sz w:val="22"/>
          <w:szCs w:val="22"/>
          <w:highlight w:val="none"/>
        </w:rPr>
      </w:pPr>
    </w:p>
    <w:p w14:paraId="0DD05813">
      <w:pPr>
        <w:keepNext w:val="0"/>
        <w:keepLines w:val="0"/>
        <w:pageBreakBefore w:val="0"/>
        <w:widowControl w:val="0"/>
        <w:kinsoku/>
        <w:wordWrap/>
        <w:overflowPunct/>
        <w:topLinePunct w:val="0"/>
        <w:autoSpaceDE/>
        <w:autoSpaceDN/>
        <w:bidi w:val="0"/>
        <w:adjustRightInd/>
        <w:snapToGrid/>
        <w:spacing w:line="420" w:lineRule="exact"/>
        <w:ind w:firstLine="440" w:firstLineChars="200"/>
        <w:textAlignment w:val="auto"/>
        <w:rPr>
          <w:rFonts w:hint="default" w:ascii="Times New Roman" w:hAnsi="Times New Roman" w:cs="Times New Roman"/>
          <w:color w:val="auto"/>
          <w:sz w:val="22"/>
          <w:szCs w:val="22"/>
          <w:highlight w:val="none"/>
          <w:u w:val="single"/>
        </w:rPr>
      </w:pPr>
      <w:r>
        <w:rPr>
          <w:rFonts w:hint="default" w:ascii="Times New Roman" w:hAnsi="Times New Roman" w:cs="Times New Roman"/>
          <w:color w:val="auto"/>
          <w:kern w:val="0"/>
          <w:sz w:val="22"/>
          <w:szCs w:val="22"/>
          <w:highlight w:val="none"/>
        </w:rPr>
        <w:t>（2）</w:t>
      </w:r>
      <w:r>
        <w:rPr>
          <w:rFonts w:hint="default" w:ascii="Times New Roman" w:hAnsi="Times New Roman" w:cs="Times New Roman"/>
          <w:color w:val="auto"/>
          <w:sz w:val="22"/>
          <w:szCs w:val="22"/>
          <w:highlight w:val="none"/>
        </w:rPr>
        <w:t>特殊质量标准和要求：</w:t>
      </w:r>
      <w:r>
        <w:rPr>
          <w:rFonts w:hint="default" w:ascii="Times New Roman" w:hAnsi="Times New Roman" w:cs="Times New Roman"/>
          <w:color w:val="auto"/>
          <w:sz w:val="22"/>
          <w:szCs w:val="22"/>
          <w:highlight w:val="none"/>
          <w:u w:val="single"/>
        </w:rPr>
        <w:t xml:space="preserve">                        </w:t>
      </w:r>
    </w:p>
    <w:p w14:paraId="1A64CDB9">
      <w:pPr>
        <w:keepNext w:val="0"/>
        <w:keepLines w:val="0"/>
        <w:pageBreakBefore w:val="0"/>
        <w:widowControl w:val="0"/>
        <w:kinsoku/>
        <w:wordWrap/>
        <w:overflowPunct/>
        <w:topLinePunct w:val="0"/>
        <w:autoSpaceDE/>
        <w:autoSpaceDN/>
        <w:bidi w:val="0"/>
        <w:adjustRightInd/>
        <w:snapToGrid/>
        <w:spacing w:line="420" w:lineRule="exact"/>
        <w:ind w:firstLine="440" w:firstLineChars="200"/>
        <w:textAlignment w:val="auto"/>
        <w:rPr>
          <w:rFonts w:hint="default" w:ascii="Times New Roman" w:hAnsi="Times New Roman" w:cs="Times New Roman"/>
          <w:color w:val="auto"/>
          <w:sz w:val="22"/>
          <w:szCs w:val="22"/>
          <w:highlight w:val="none"/>
          <w:u w:val="single"/>
        </w:rPr>
      </w:pPr>
      <w:r>
        <w:rPr>
          <w:rFonts w:hint="default" w:ascii="Times New Roman" w:hAnsi="Times New Roman" w:cs="Times New Roman"/>
          <w:color w:val="auto"/>
          <w:sz w:val="22"/>
          <w:szCs w:val="22"/>
          <w:highlight w:val="none"/>
        </w:rPr>
        <w:t>（3） 工程质量验收标准：</w:t>
      </w:r>
      <w:r>
        <w:rPr>
          <w:rFonts w:hint="default" w:ascii="Times New Roman" w:hAnsi="Times New Roman" w:cs="Times New Roman"/>
          <w:color w:val="auto"/>
          <w:sz w:val="22"/>
          <w:szCs w:val="22"/>
          <w:highlight w:val="none"/>
          <w:u w:val="single"/>
        </w:rPr>
        <w:t xml:space="preserve"> 合格 </w:t>
      </w:r>
    </w:p>
    <w:p w14:paraId="290F18B5">
      <w:pPr>
        <w:keepNext w:val="0"/>
        <w:keepLines w:val="0"/>
        <w:pageBreakBefore w:val="0"/>
        <w:widowControl w:val="0"/>
        <w:kinsoku/>
        <w:wordWrap/>
        <w:overflowPunct/>
        <w:topLinePunct w:val="0"/>
        <w:autoSpaceDE/>
        <w:autoSpaceDN/>
        <w:bidi w:val="0"/>
        <w:adjustRightInd/>
        <w:snapToGrid/>
        <w:spacing w:line="420" w:lineRule="exact"/>
        <w:ind w:firstLine="440" w:firstLineChars="200"/>
        <w:textAlignment w:val="auto"/>
        <w:rPr>
          <w:rFonts w:hint="default" w:ascii="Times New Roman" w:hAnsi="Times New Roman" w:cs="Times New Roman"/>
          <w:color w:val="auto"/>
          <w:sz w:val="22"/>
          <w:szCs w:val="22"/>
          <w:highlight w:val="none"/>
          <w:u w:val="single"/>
        </w:rPr>
      </w:pPr>
    </w:p>
    <w:p w14:paraId="364BD3C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20" w:lineRule="exact"/>
        <w:ind w:left="0" w:right="0" w:firstLine="440" w:firstLineChars="200"/>
        <w:jc w:val="both"/>
        <w:textAlignment w:val="auto"/>
        <w:rPr>
          <w:rFonts w:hint="default" w:ascii="Times New Roman" w:hAnsi="Times New Roman" w:eastAsia="宋体" w:cs="Times New Roman"/>
          <w:color w:val="auto"/>
          <w:sz w:val="22"/>
          <w:szCs w:val="22"/>
          <w:highlight w:val="none"/>
          <w:lang w:val="en-US"/>
        </w:rPr>
      </w:pPr>
      <w:r>
        <w:rPr>
          <w:rFonts w:hint="default" w:ascii="Times New Roman" w:hAnsi="Times New Roman" w:eastAsia="宋体" w:cs="Times New Roman"/>
          <w:color w:val="auto"/>
          <w:kern w:val="2"/>
          <w:sz w:val="22"/>
          <w:szCs w:val="22"/>
          <w:highlight w:val="none"/>
          <w:lang w:val="en-US" w:eastAsia="zh-CN" w:bidi="ar"/>
        </w:rPr>
        <w:t>42.3 质量保证体系</w:t>
      </w:r>
    </w:p>
    <w:p w14:paraId="2D780213">
      <w:pPr>
        <w:keepNext w:val="0"/>
        <w:keepLines w:val="0"/>
        <w:widowControl w:val="0"/>
        <w:suppressLineNumbers w:val="0"/>
        <w:spacing w:before="0" w:beforeAutospacing="0" w:after="0" w:afterAutospacing="0" w:line="420" w:lineRule="exact"/>
        <w:ind w:left="0" w:right="0" w:firstLine="389" w:firstLineChars="177"/>
        <w:jc w:val="both"/>
        <w:rPr>
          <w:rFonts w:hint="default" w:ascii="Times New Roman" w:hAnsi="Times New Roman" w:eastAsia="宋体" w:cs="Times New Roman"/>
          <w:color w:val="auto"/>
          <w:sz w:val="22"/>
          <w:szCs w:val="22"/>
          <w:highlight w:val="none"/>
          <w:lang w:val="en-US"/>
        </w:rPr>
      </w:pPr>
      <w:r>
        <w:rPr>
          <w:rFonts w:hint="default" w:ascii="Times New Roman" w:hAnsi="Times New Roman" w:eastAsia="宋体" w:cs="Times New Roman"/>
          <w:color w:val="auto"/>
          <w:kern w:val="2"/>
          <w:sz w:val="22"/>
          <w:szCs w:val="22"/>
          <w:highlight w:val="none"/>
          <w:lang w:val="en-US" w:eastAsia="zh-CN" w:bidi="ar"/>
        </w:rPr>
        <w:t>承包人应当完善质量管理制度，建立质量控制流程，建立并保持一个有效的工程质量管理体系。</w:t>
      </w:r>
    </w:p>
    <w:p w14:paraId="0D2B6313">
      <w:pPr>
        <w:keepNext w:val="0"/>
        <w:keepLines w:val="0"/>
        <w:widowControl w:val="0"/>
        <w:suppressLineNumbers w:val="0"/>
        <w:spacing w:before="0" w:beforeAutospacing="0" w:after="0" w:afterAutospacing="0" w:line="420" w:lineRule="exact"/>
        <w:ind w:left="0" w:right="0" w:firstLine="389" w:firstLineChars="177"/>
        <w:jc w:val="both"/>
        <w:rPr>
          <w:rFonts w:hint="default" w:ascii="Times New Roman" w:hAnsi="Times New Roman" w:eastAsia="宋体" w:cs="Times New Roman"/>
          <w:color w:val="auto"/>
          <w:sz w:val="22"/>
          <w:szCs w:val="22"/>
          <w:highlight w:val="none"/>
          <w:u w:val="none"/>
          <w:lang w:val="en-US"/>
        </w:rPr>
      </w:pPr>
      <w:r>
        <w:rPr>
          <w:rFonts w:hint="default" w:ascii="Times New Roman" w:hAnsi="Times New Roman" w:eastAsia="宋体" w:cs="Times New Roman"/>
          <w:color w:val="auto"/>
          <w:kern w:val="2"/>
          <w:sz w:val="22"/>
          <w:szCs w:val="22"/>
          <w:highlight w:val="none"/>
          <w:lang w:val="en-US" w:eastAsia="zh-CN" w:bidi="ar"/>
        </w:rPr>
        <w:t>（1）</w:t>
      </w:r>
      <w:r>
        <w:rPr>
          <w:rFonts w:hint="default" w:ascii="Times New Roman" w:hAnsi="Times New Roman" w:eastAsia="宋体" w:cs="Times New Roman"/>
          <w:color w:val="auto"/>
          <w:kern w:val="2"/>
          <w:sz w:val="22"/>
          <w:szCs w:val="22"/>
          <w:highlight w:val="none"/>
          <w:u w:val="none"/>
          <w:lang w:val="en-US" w:eastAsia="zh-CN" w:bidi="ar"/>
        </w:rPr>
        <w:t>建立完整的质量体系，委派专人负责工程质量管理，现场管理机构、工区（段）设有专职质检人员，班组设质检员，同时附有项目架构人员名单，各类人员必须持有上岗资格证。承包人还应建立并完善各项目质量管理检查制度及企业质量管理文件等。同时，承包人应积极配合工程质量第三方检测工作，并积极采用新材料、新工艺、新技术。</w:t>
      </w:r>
    </w:p>
    <w:p w14:paraId="3B910754">
      <w:pPr>
        <w:keepNext w:val="0"/>
        <w:keepLines w:val="0"/>
        <w:widowControl w:val="0"/>
        <w:suppressLineNumbers w:val="0"/>
        <w:spacing w:before="0" w:beforeAutospacing="0" w:after="0" w:afterAutospacing="0" w:line="420" w:lineRule="exact"/>
        <w:ind w:left="0" w:right="0" w:firstLine="389" w:firstLineChars="177"/>
        <w:jc w:val="both"/>
        <w:rPr>
          <w:rFonts w:hint="default" w:ascii="Times New Roman" w:hAnsi="Times New Roman" w:eastAsia="宋体" w:cs="Times New Roman"/>
          <w:color w:val="auto"/>
          <w:sz w:val="22"/>
          <w:szCs w:val="22"/>
          <w:highlight w:val="none"/>
          <w:u w:val="single"/>
          <w:lang w:val="en-US"/>
        </w:rPr>
      </w:pPr>
      <w:r>
        <w:rPr>
          <w:rFonts w:hint="default" w:ascii="Times New Roman" w:hAnsi="Times New Roman" w:eastAsia="宋体" w:cs="Times New Roman"/>
          <w:color w:val="auto"/>
          <w:kern w:val="2"/>
          <w:sz w:val="22"/>
          <w:szCs w:val="22"/>
          <w:highlight w:val="none"/>
          <w:lang w:val="en-US" w:eastAsia="zh-CN" w:bidi="ar"/>
        </w:rPr>
        <w:t>（2）承包人提交总监理工程师批准的施工组织设计或者施工方案必须附有完备的工程质量保证措施，包括：</w:t>
      </w:r>
      <w:r>
        <w:rPr>
          <w:rFonts w:hint="default" w:ascii="Times New Roman" w:hAnsi="Times New Roman" w:eastAsia="宋体" w:cs="Times New Roman"/>
          <w:color w:val="auto"/>
          <w:kern w:val="2"/>
          <w:sz w:val="22"/>
          <w:szCs w:val="22"/>
          <w:highlight w:val="none"/>
          <w:u w:val="single"/>
          <w:lang w:val="en-US" w:eastAsia="zh-CN" w:bidi="ar"/>
        </w:rPr>
        <w:t xml:space="preserve"> </w:t>
      </w:r>
      <w:r>
        <w:rPr>
          <w:rFonts w:hint="default" w:ascii="Times New Roman" w:hAnsi="Times New Roman" w:cs="Times New Roman"/>
          <w:color w:val="auto"/>
          <w:kern w:val="2"/>
          <w:sz w:val="22"/>
          <w:szCs w:val="22"/>
          <w:highlight w:val="none"/>
          <w:u w:val="single"/>
          <w:lang w:val="en-US" w:eastAsia="zh-CN" w:bidi="ar"/>
        </w:rPr>
        <w:t>人</w:t>
      </w:r>
      <w:r>
        <w:rPr>
          <w:rFonts w:hint="default" w:ascii="Times New Roman" w:hAnsi="Times New Roman" w:eastAsia="宋体" w:cs="Times New Roman"/>
          <w:color w:val="auto"/>
          <w:kern w:val="2"/>
          <w:sz w:val="22"/>
          <w:szCs w:val="22"/>
          <w:highlight w:val="none"/>
          <w:u w:val="single"/>
          <w:lang w:val="en-US" w:eastAsia="zh-CN" w:bidi="ar"/>
        </w:rPr>
        <w:t xml:space="preserve">员架构、材料进场质检流程、验收工序、送检流程等；                                               </w:t>
      </w:r>
    </w:p>
    <w:p w14:paraId="1BC080D1">
      <w:pPr>
        <w:keepNext w:val="0"/>
        <w:keepLines w:val="0"/>
        <w:widowControl w:val="0"/>
        <w:suppressLineNumbers w:val="0"/>
        <w:spacing w:before="0" w:beforeAutospacing="0" w:after="0" w:afterAutospacing="0" w:line="420" w:lineRule="exact"/>
        <w:ind w:left="0" w:right="0" w:firstLine="389" w:firstLineChars="177"/>
        <w:jc w:val="both"/>
        <w:rPr>
          <w:rFonts w:hint="default" w:ascii="Times New Roman" w:hAnsi="Times New Roman" w:eastAsia="宋体" w:cs="Times New Roman"/>
          <w:color w:val="auto"/>
          <w:sz w:val="22"/>
          <w:szCs w:val="22"/>
          <w:highlight w:val="none"/>
          <w:u w:val="none"/>
          <w:lang w:val="en-US"/>
        </w:rPr>
      </w:pPr>
      <w:r>
        <w:rPr>
          <w:rFonts w:hint="default" w:ascii="Times New Roman" w:hAnsi="Times New Roman" w:eastAsia="宋体" w:cs="Times New Roman"/>
          <w:color w:val="auto"/>
          <w:kern w:val="2"/>
          <w:sz w:val="22"/>
          <w:szCs w:val="22"/>
          <w:highlight w:val="none"/>
          <w:lang w:val="en-US" w:eastAsia="zh-CN" w:bidi="ar"/>
        </w:rPr>
        <w:t>（3）</w:t>
      </w:r>
      <w:r>
        <w:rPr>
          <w:rFonts w:hint="default" w:ascii="Times New Roman" w:hAnsi="Times New Roman" w:eastAsia="宋体" w:cs="Times New Roman"/>
          <w:color w:val="auto"/>
          <w:kern w:val="2"/>
          <w:sz w:val="22"/>
          <w:szCs w:val="22"/>
          <w:highlight w:val="none"/>
          <w:u w:val="none"/>
          <w:lang w:val="en-US" w:eastAsia="zh-CN" w:bidi="ar"/>
        </w:rPr>
        <w:t>单项工程开工前，承包人必须按要求对职工分级进行技术交底，组织学习有关规程、标准、规范和工艺要求，在施工中必须按规程及工艺进行操作。</w:t>
      </w:r>
    </w:p>
    <w:p w14:paraId="0FE2AAD6">
      <w:pPr>
        <w:keepNext w:val="0"/>
        <w:keepLines w:val="0"/>
        <w:widowControl w:val="0"/>
        <w:suppressLineNumbers w:val="0"/>
        <w:spacing w:before="0" w:beforeAutospacing="0" w:after="0" w:afterAutospacing="0" w:line="420" w:lineRule="exact"/>
        <w:ind w:left="0" w:right="0" w:firstLine="389" w:firstLineChars="177"/>
        <w:jc w:val="both"/>
        <w:rPr>
          <w:rFonts w:hint="default" w:ascii="Times New Roman" w:hAnsi="Times New Roman" w:eastAsia="宋体" w:cs="Times New Roman"/>
          <w:color w:val="auto"/>
          <w:kern w:val="2"/>
          <w:sz w:val="22"/>
          <w:szCs w:val="22"/>
          <w:highlight w:val="none"/>
          <w:u w:val="none"/>
          <w:lang w:val="en-US" w:eastAsia="zh-CN" w:bidi="ar"/>
        </w:rPr>
      </w:pPr>
      <w:r>
        <w:rPr>
          <w:rFonts w:hint="default" w:ascii="Times New Roman" w:hAnsi="Times New Roman" w:eastAsia="宋体" w:cs="Times New Roman"/>
          <w:color w:val="auto"/>
          <w:kern w:val="2"/>
          <w:sz w:val="22"/>
          <w:szCs w:val="22"/>
          <w:highlight w:val="none"/>
          <w:u w:val="none"/>
          <w:lang w:val="en-US" w:eastAsia="zh-CN" w:bidi="ar"/>
        </w:rPr>
        <w:t>（4）单项工程和重要部位必须遵循先试验后铺开施工的程序，开工前承包人应熟悉施工图纸和图纸会审、设计变更内容，并完成施工组织设计和必要的施工准备，送总监理工程师审查批准后方可进行实验性施工，完工后由总监理工程师检验，符合要求后才能铺开施工或者批量生产。</w:t>
      </w:r>
    </w:p>
    <w:p w14:paraId="44C58FD2">
      <w:pPr>
        <w:keepNext w:val="0"/>
        <w:keepLines w:val="0"/>
        <w:widowControl w:val="0"/>
        <w:suppressLineNumbers w:val="0"/>
        <w:spacing w:before="0" w:beforeAutospacing="0" w:after="0" w:afterAutospacing="0" w:line="420" w:lineRule="exact"/>
        <w:ind w:right="0"/>
        <w:jc w:val="both"/>
        <w:rPr>
          <w:rFonts w:hint="default" w:ascii="Times New Roman" w:hAnsi="Times New Roman" w:eastAsia="宋体" w:cs="Times New Roman"/>
          <w:color w:val="auto"/>
          <w:kern w:val="2"/>
          <w:sz w:val="22"/>
          <w:szCs w:val="22"/>
          <w:highlight w:val="none"/>
          <w:lang w:val="en-US" w:eastAsia="zh-CN" w:bidi="ar"/>
        </w:rPr>
      </w:pPr>
    </w:p>
    <w:p w14:paraId="424004E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20" w:lineRule="exact"/>
        <w:ind w:left="0" w:right="0" w:firstLine="440" w:firstLineChars="200"/>
        <w:jc w:val="both"/>
        <w:textAlignment w:val="auto"/>
        <w:rPr>
          <w:rFonts w:hint="default" w:ascii="Times New Roman" w:hAnsi="Times New Roman" w:eastAsia="宋体" w:cs="Times New Roman"/>
          <w:color w:val="auto"/>
          <w:kern w:val="2"/>
          <w:sz w:val="22"/>
          <w:szCs w:val="22"/>
          <w:highlight w:val="none"/>
          <w:lang w:val="en-US" w:eastAsia="zh-CN" w:bidi="ar"/>
        </w:rPr>
      </w:pPr>
      <w:r>
        <w:rPr>
          <w:rFonts w:hint="default" w:ascii="Times New Roman" w:hAnsi="Times New Roman" w:eastAsia="宋体" w:cs="Times New Roman"/>
          <w:color w:val="auto"/>
          <w:kern w:val="2"/>
          <w:sz w:val="22"/>
          <w:szCs w:val="22"/>
          <w:highlight w:val="none"/>
          <w:lang w:val="en-US" w:eastAsia="zh-CN" w:bidi="ar"/>
        </w:rPr>
        <w:t>42.5 质量违约</w:t>
      </w:r>
    </w:p>
    <w:p w14:paraId="46280B5E">
      <w:pPr>
        <w:keepNext w:val="0"/>
        <w:keepLines w:val="0"/>
        <w:widowControl w:val="0"/>
        <w:suppressLineNumbers w:val="0"/>
        <w:spacing w:before="0" w:beforeAutospacing="0" w:after="0" w:afterAutospacing="0" w:line="420" w:lineRule="exact"/>
        <w:ind w:left="0" w:right="0" w:firstLine="389" w:firstLineChars="177"/>
        <w:jc w:val="both"/>
        <w:rPr>
          <w:rFonts w:hint="default" w:ascii="Times New Roman" w:hAnsi="Times New Roman" w:eastAsia="宋体" w:cs="Times New Roman"/>
          <w:color w:val="auto"/>
          <w:kern w:val="2"/>
          <w:sz w:val="22"/>
          <w:szCs w:val="22"/>
          <w:highlight w:val="none"/>
          <w:u w:val="none"/>
          <w:lang w:val="en-US" w:eastAsia="zh-CN" w:bidi="ar"/>
        </w:rPr>
      </w:pPr>
      <w:r>
        <w:rPr>
          <w:rFonts w:hint="default" w:ascii="Times New Roman" w:hAnsi="Times New Roman" w:eastAsia="宋体" w:cs="Times New Roman"/>
          <w:color w:val="auto"/>
          <w:kern w:val="2"/>
          <w:sz w:val="22"/>
          <w:szCs w:val="22"/>
          <w:highlight w:val="none"/>
          <w:u w:val="none"/>
          <w:lang w:val="en-US" w:eastAsia="zh-CN" w:bidi="ar"/>
        </w:rPr>
        <w:t>工程竣工验收达不到合同约定的质量标准的，承包人向发包人交纳审定结算总价2%的违约金，且仍应无偿进行施工直至质量合格</w:t>
      </w:r>
      <w:r>
        <w:rPr>
          <w:rFonts w:hint="default" w:ascii="Times New Roman" w:hAnsi="Times New Roman" w:cs="Times New Roman"/>
          <w:color w:val="auto"/>
          <w:kern w:val="2"/>
          <w:sz w:val="22"/>
          <w:szCs w:val="22"/>
          <w:highlight w:val="none"/>
          <w:u w:val="none"/>
          <w:lang w:val="en-US" w:eastAsia="zh-CN" w:bidi="ar"/>
        </w:rPr>
        <w:t>；</w:t>
      </w:r>
      <w:r>
        <w:rPr>
          <w:rFonts w:hint="default" w:ascii="Times New Roman" w:hAnsi="Times New Roman" w:eastAsia="宋体" w:cs="Times New Roman"/>
          <w:color w:val="auto"/>
          <w:kern w:val="2"/>
          <w:sz w:val="22"/>
          <w:szCs w:val="22"/>
          <w:highlight w:val="none"/>
          <w:u w:val="none"/>
          <w:lang w:val="en-US" w:eastAsia="zh-CN" w:bidi="ar"/>
        </w:rPr>
        <w:t>由此导致的逾期完工依据</w:t>
      </w:r>
      <w:r>
        <w:rPr>
          <w:rFonts w:hint="default" w:ascii="Times New Roman" w:hAnsi="Times New Roman" w:cs="Times New Roman"/>
          <w:color w:val="auto"/>
          <w:kern w:val="2"/>
          <w:sz w:val="22"/>
          <w:szCs w:val="22"/>
          <w:highlight w:val="none"/>
          <w:u w:val="none"/>
          <w:lang w:val="en-US" w:eastAsia="zh-CN" w:bidi="ar"/>
        </w:rPr>
        <w:t>专用条款40条规定</w:t>
      </w:r>
      <w:r>
        <w:rPr>
          <w:rFonts w:hint="default" w:ascii="Times New Roman" w:hAnsi="Times New Roman" w:eastAsia="宋体" w:cs="Times New Roman"/>
          <w:color w:val="auto"/>
          <w:kern w:val="2"/>
          <w:sz w:val="22"/>
          <w:szCs w:val="22"/>
          <w:highlight w:val="none"/>
          <w:u w:val="none"/>
          <w:lang w:val="en-US" w:eastAsia="zh-CN" w:bidi="ar"/>
        </w:rPr>
        <w:t>承担延误工期的违约金。若承包人怠于继续施工、拒绝施工或施工后仍达不到竣工验收质量标准的，发包人有权委托第三方予以施工直至质量合格，所需费用由承包人全额承担，并有权在应付工程款中予以扣除。</w:t>
      </w:r>
    </w:p>
    <w:p w14:paraId="41F5A8F9">
      <w:pPr>
        <w:pStyle w:val="11"/>
        <w:rPr>
          <w:rFonts w:hint="default" w:ascii="Times New Roman" w:hAnsi="Times New Roman" w:cs="Times New Roman"/>
          <w:color w:val="auto"/>
          <w:highlight w:val="none"/>
          <w:lang w:val="en-US"/>
        </w:rPr>
      </w:pPr>
    </w:p>
    <w:p w14:paraId="56203ACF">
      <w:pPr>
        <w:keepNext w:val="0"/>
        <w:keepLines w:val="0"/>
        <w:pageBreakBefore w:val="0"/>
        <w:widowControl w:val="0"/>
        <w:kinsoku/>
        <w:wordWrap/>
        <w:overflowPunct/>
        <w:topLinePunct w:val="0"/>
        <w:autoSpaceDE/>
        <w:autoSpaceDN/>
        <w:bidi w:val="0"/>
        <w:adjustRightInd/>
        <w:snapToGrid/>
        <w:spacing w:line="420" w:lineRule="exact"/>
        <w:ind w:firstLine="440" w:firstLineChars="200"/>
        <w:textAlignment w:val="auto"/>
        <w:rPr>
          <w:rFonts w:hint="default" w:ascii="Times New Roman" w:hAnsi="Times New Roman" w:cs="Times New Roman"/>
          <w:color w:val="auto"/>
          <w:sz w:val="22"/>
          <w:szCs w:val="22"/>
          <w:highlight w:val="none"/>
          <w:u w:val="single"/>
        </w:rPr>
      </w:pPr>
    </w:p>
    <w:p w14:paraId="72E59E14">
      <w:pPr>
        <w:pStyle w:val="4"/>
        <w:numPr>
          <w:ilvl w:val="0"/>
          <w:numId w:val="0"/>
        </w:numPr>
        <w:tabs>
          <w:tab w:val="left" w:pos="360"/>
          <w:tab w:val="left" w:pos="420"/>
          <w:tab w:val="left" w:pos="576"/>
        </w:tabs>
        <w:spacing w:line="420" w:lineRule="exact"/>
        <w:rPr>
          <w:rFonts w:hint="default" w:ascii="Times New Roman" w:hAnsi="Times New Roman" w:cs="Times New Roman"/>
          <w:b/>
          <w:bCs/>
          <w:color w:val="auto"/>
          <w:sz w:val="22"/>
          <w:szCs w:val="22"/>
          <w:highlight w:val="none"/>
        </w:rPr>
      </w:pPr>
      <w:bookmarkStart w:id="382" w:name="_Toc469384106"/>
      <w:bookmarkStart w:id="383" w:name="_Toc12244"/>
      <w:bookmarkStart w:id="384" w:name="_Toc564249532"/>
      <w:r>
        <w:rPr>
          <w:rFonts w:hint="default" w:ascii="Times New Roman" w:hAnsi="Times New Roman" w:cs="Times New Roman"/>
          <w:b/>
          <w:bCs/>
          <w:color w:val="auto"/>
          <w:sz w:val="22"/>
          <w:szCs w:val="22"/>
          <w:highlight w:val="none"/>
        </w:rPr>
        <w:t xml:space="preserve">★45. </w:t>
      </w:r>
      <w:bookmarkEnd w:id="382"/>
      <w:r>
        <w:rPr>
          <w:rFonts w:hint="default" w:ascii="Times New Roman" w:hAnsi="Times New Roman" w:cs="Times New Roman"/>
          <w:b/>
          <w:bCs/>
          <w:color w:val="auto"/>
          <w:sz w:val="22"/>
          <w:szCs w:val="22"/>
          <w:highlight w:val="none"/>
        </w:rPr>
        <w:t>绿色施工安全防护</w:t>
      </w:r>
      <w:bookmarkEnd w:id="383"/>
      <w:bookmarkEnd w:id="384"/>
    </w:p>
    <w:p w14:paraId="3A7D8567">
      <w:pPr>
        <w:spacing w:line="420" w:lineRule="exact"/>
        <w:ind w:firstLine="110" w:firstLineChars="50"/>
        <w:rPr>
          <w:rFonts w:hint="default" w:ascii="Times New Roman" w:hAnsi="Times New Roman" w:cs="Times New Roman"/>
          <w:color w:val="auto"/>
          <w:sz w:val="22"/>
          <w:szCs w:val="22"/>
          <w:highlight w:val="none"/>
        </w:rPr>
      </w:pPr>
    </w:p>
    <w:p w14:paraId="7B1D75D7">
      <w:pPr>
        <w:spacing w:line="420" w:lineRule="exact"/>
        <w:ind w:firstLine="110" w:firstLineChars="5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 xml:space="preserve">  45.1绿色施工安全防护的要求：</w:t>
      </w:r>
    </w:p>
    <w:p w14:paraId="6489C360">
      <w:pPr>
        <w:spacing w:line="420" w:lineRule="exact"/>
        <w:ind w:firstLine="330" w:firstLineChars="1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lang w:val="en-US" w:eastAsia="zh-CN" w:bidi="ar"/>
        </w:rPr>
        <w:t>□</w:t>
      </w:r>
      <w:r>
        <w:rPr>
          <w:rFonts w:hint="default" w:ascii="Times New Roman" w:hAnsi="Times New Roman" w:eastAsia="宋体" w:cs="Times New Roman"/>
          <w:color w:val="auto"/>
          <w:kern w:val="0"/>
          <w:sz w:val="22"/>
          <w:szCs w:val="22"/>
          <w:highlight w:val="none"/>
          <w:lang w:val="en-US" w:eastAsia="zh-CN" w:bidi="ar"/>
        </w:rPr>
        <w:t xml:space="preserve"> </w:t>
      </w:r>
      <w:r>
        <w:rPr>
          <w:rFonts w:hint="default" w:ascii="Times New Roman" w:hAnsi="Times New Roman" w:cs="Times New Roman"/>
          <w:color w:val="auto"/>
          <w:kern w:val="0"/>
          <w:sz w:val="22"/>
          <w:szCs w:val="22"/>
          <w:highlight w:val="none"/>
        </w:rPr>
        <w:t xml:space="preserve"> 按通用条款的规定。</w:t>
      </w:r>
    </w:p>
    <w:p w14:paraId="525DBC64">
      <w:pPr>
        <w:keepNext w:val="0"/>
        <w:keepLines w:val="0"/>
        <w:widowControl w:val="0"/>
        <w:suppressLineNumbers w:val="0"/>
        <w:spacing w:before="0" w:beforeAutospacing="0" w:after="0" w:afterAutospacing="0" w:line="420" w:lineRule="exact"/>
        <w:ind w:left="0" w:right="0" w:firstLine="110" w:firstLineChars="50"/>
        <w:jc w:val="both"/>
        <w:rPr>
          <w:rFonts w:hint="default" w:ascii="Times New Roman" w:hAnsi="Times New Roman" w:eastAsia="宋体" w:cs="Times New Roman"/>
          <w:color w:val="auto"/>
          <w:sz w:val="22"/>
          <w:szCs w:val="22"/>
          <w:highlight w:val="none"/>
          <w:lang w:val="en-US"/>
        </w:rPr>
      </w:pPr>
      <w:r>
        <w:rPr>
          <w:rFonts w:hint="default" w:ascii="Times New Roman" w:hAnsi="Times New Roman" w:cs="Times New Roman"/>
          <w:color w:val="auto"/>
          <w:kern w:val="0"/>
          <w:sz w:val="22"/>
          <w:szCs w:val="22"/>
          <w:highlight w:val="none"/>
        </w:rPr>
        <w:t xml:space="preserve">  </w:t>
      </w:r>
      <w:r>
        <w:rPr>
          <w:rFonts w:hint="default" w:ascii="Times New Roman" w:hAnsi="Times New Roman" w:eastAsia="宋体" w:cs="Times New Roman"/>
          <w:color w:val="auto"/>
          <w:kern w:val="0"/>
          <w:sz w:val="22"/>
          <w:szCs w:val="22"/>
          <w:highlight w:val="none"/>
          <w:lang w:val="en-US" w:eastAsia="zh-CN" w:bidi="ar"/>
        </w:rPr>
        <w:t>□ 另作约定：</w:t>
      </w:r>
      <w:r>
        <w:rPr>
          <w:rFonts w:hint="default" w:ascii="Times New Roman" w:hAnsi="Times New Roman" w:eastAsia="宋体" w:cs="Times New Roman"/>
          <w:color w:val="auto"/>
          <w:kern w:val="0"/>
          <w:sz w:val="22"/>
          <w:szCs w:val="22"/>
          <w:highlight w:val="none"/>
          <w:u w:val="single"/>
          <w:lang w:val="en-US" w:eastAsia="zh-CN" w:bidi="ar"/>
        </w:rPr>
        <w:t xml:space="preserve">                                                                     </w:t>
      </w:r>
    </w:p>
    <w:p w14:paraId="46062E1F">
      <w:pPr>
        <w:keepNext w:val="0"/>
        <w:keepLines w:val="0"/>
        <w:widowControl w:val="0"/>
        <w:suppressLineNumbers w:val="0"/>
        <w:spacing w:before="0" w:beforeAutospacing="0" w:after="0" w:afterAutospacing="0" w:line="420" w:lineRule="exact"/>
        <w:ind w:left="0" w:right="0" w:firstLine="110" w:firstLineChars="50"/>
        <w:jc w:val="both"/>
        <w:rPr>
          <w:rFonts w:hint="default" w:ascii="Times New Roman" w:hAnsi="Times New Roman" w:eastAsia="宋体" w:cs="Times New Roman"/>
          <w:color w:val="auto"/>
          <w:sz w:val="22"/>
          <w:szCs w:val="22"/>
          <w:highlight w:val="none"/>
          <w:lang w:val="en-US"/>
        </w:rPr>
      </w:pPr>
      <w:r>
        <w:rPr>
          <w:rFonts w:hint="default" w:ascii="Times New Roman" w:hAnsi="Times New Roman" w:eastAsia="宋体" w:cs="Times New Roman"/>
          <w:color w:val="auto"/>
          <w:kern w:val="2"/>
          <w:sz w:val="22"/>
          <w:szCs w:val="22"/>
          <w:highlight w:val="none"/>
          <w:lang w:val="en-US" w:eastAsia="zh-CN" w:bidi="ar"/>
        </w:rPr>
        <w:t xml:space="preserve">     </w:t>
      </w:r>
      <w:r>
        <w:rPr>
          <w:rFonts w:hint="default" w:ascii="Times New Roman" w:hAnsi="Times New Roman" w:eastAsia="宋体" w:cs="Times New Roman"/>
          <w:color w:val="auto"/>
          <w:kern w:val="0"/>
          <w:sz w:val="22"/>
          <w:szCs w:val="22"/>
          <w:highlight w:val="none"/>
          <w:lang w:val="en-US" w:eastAsia="zh-CN" w:bidi="ar"/>
        </w:rPr>
        <w:t>其中：</w:t>
      </w:r>
      <w:r>
        <w:rPr>
          <w:rFonts w:hint="default" w:ascii="Times New Roman" w:hAnsi="Times New Roman" w:eastAsia="宋体" w:cs="Times New Roman"/>
          <w:color w:val="auto"/>
          <w:kern w:val="2"/>
          <w:sz w:val="22"/>
          <w:szCs w:val="22"/>
          <w:highlight w:val="none"/>
          <w:lang w:val="en-US" w:eastAsia="zh-CN" w:bidi="ar"/>
        </w:rPr>
        <w:t>施工扬尘污染防治措施：</w:t>
      </w:r>
      <w:r>
        <w:rPr>
          <w:rFonts w:hint="default" w:ascii="Times New Roman" w:hAnsi="Times New Roman" w:eastAsia="宋体" w:cs="Times New Roman"/>
          <w:color w:val="auto"/>
          <w:kern w:val="0"/>
          <w:sz w:val="22"/>
          <w:szCs w:val="22"/>
          <w:highlight w:val="none"/>
          <w:u w:val="single"/>
          <w:lang w:val="en-US" w:eastAsia="zh-CN" w:bidi="ar"/>
        </w:rPr>
        <w:t xml:space="preserve">                              </w:t>
      </w:r>
    </w:p>
    <w:p w14:paraId="6DFC92FB">
      <w:pPr>
        <w:keepNext w:val="0"/>
        <w:keepLines w:val="0"/>
        <w:widowControl w:val="0"/>
        <w:suppressLineNumbers w:val="0"/>
        <w:spacing w:before="0" w:beforeAutospacing="0" w:after="0" w:afterAutospacing="0" w:line="420" w:lineRule="exact"/>
        <w:ind w:left="0" w:right="0" w:firstLine="1320" w:firstLineChars="600"/>
        <w:jc w:val="both"/>
        <w:rPr>
          <w:rFonts w:hint="default" w:ascii="Times New Roman" w:hAnsi="Times New Roman" w:eastAsia="宋体" w:cs="Times New Roman"/>
          <w:color w:val="auto"/>
          <w:kern w:val="0"/>
          <w:sz w:val="22"/>
          <w:szCs w:val="22"/>
          <w:highlight w:val="none"/>
          <w:u w:val="single"/>
          <w:lang w:val="en-US" w:eastAsia="zh-CN" w:bidi="ar"/>
        </w:rPr>
      </w:pPr>
      <w:r>
        <w:rPr>
          <w:rFonts w:hint="default" w:ascii="Times New Roman" w:hAnsi="Times New Roman" w:eastAsia="宋体" w:cs="Times New Roman"/>
          <w:color w:val="auto"/>
          <w:kern w:val="2"/>
          <w:sz w:val="22"/>
          <w:szCs w:val="22"/>
          <w:highlight w:val="none"/>
          <w:lang w:val="en-US" w:eastAsia="zh-CN" w:bidi="ar"/>
        </w:rPr>
        <w:t>用工实名管理：</w:t>
      </w:r>
      <w:r>
        <w:rPr>
          <w:rFonts w:hint="default" w:ascii="Times New Roman" w:hAnsi="Times New Roman" w:eastAsia="宋体" w:cs="Times New Roman"/>
          <w:color w:val="auto"/>
          <w:kern w:val="0"/>
          <w:sz w:val="22"/>
          <w:szCs w:val="22"/>
          <w:highlight w:val="none"/>
          <w:u w:val="single"/>
          <w:lang w:val="en-US" w:eastAsia="zh-CN" w:bidi="ar"/>
        </w:rPr>
        <w:t xml:space="preserve">                              </w:t>
      </w:r>
    </w:p>
    <w:p w14:paraId="0A410E3A">
      <w:pPr>
        <w:pStyle w:val="11"/>
        <w:rPr>
          <w:rFonts w:hint="default" w:ascii="Times New Roman" w:hAnsi="Times New Roman" w:cs="Times New Roman"/>
          <w:color w:val="auto"/>
          <w:highlight w:val="none"/>
          <w:lang w:val="en-US"/>
        </w:rPr>
      </w:pPr>
    </w:p>
    <w:p w14:paraId="4B43D727">
      <w:pPr>
        <w:keepNext w:val="0"/>
        <w:keepLines w:val="0"/>
        <w:widowControl w:val="0"/>
        <w:suppressLineNumbers w:val="0"/>
        <w:spacing w:before="0" w:beforeAutospacing="0" w:after="0" w:afterAutospacing="0" w:line="420" w:lineRule="exact"/>
        <w:ind w:left="0" w:right="0" w:firstLine="330" w:firstLineChars="150"/>
        <w:jc w:val="both"/>
        <w:rPr>
          <w:rFonts w:hint="default" w:ascii="Times New Roman" w:hAnsi="Times New Roman" w:eastAsia="宋体" w:cs="Times New Roman"/>
          <w:color w:val="auto"/>
          <w:kern w:val="0"/>
          <w:sz w:val="22"/>
          <w:szCs w:val="22"/>
          <w:highlight w:val="none"/>
          <w:lang w:val="en-US"/>
        </w:rPr>
      </w:pPr>
      <w:r>
        <w:rPr>
          <w:rFonts w:hint="default" w:ascii="Times New Roman" w:hAnsi="Times New Roman" w:eastAsia="宋体" w:cs="Times New Roman"/>
          <w:color w:val="auto"/>
          <w:kern w:val="2"/>
          <w:sz w:val="22"/>
          <w:szCs w:val="22"/>
          <w:highlight w:val="none"/>
          <w:lang w:val="en-US" w:eastAsia="zh-CN" w:bidi="ar"/>
        </w:rPr>
        <w:t>45.2</w:t>
      </w:r>
      <w:r>
        <w:rPr>
          <w:rFonts w:hint="default" w:ascii="Times New Roman" w:hAnsi="Times New Roman" w:eastAsia="宋体" w:cs="Times New Roman"/>
          <w:color w:val="auto"/>
          <w:kern w:val="0"/>
          <w:sz w:val="22"/>
          <w:szCs w:val="22"/>
          <w:highlight w:val="none"/>
          <w:lang w:val="en-US" w:eastAsia="zh-CN" w:bidi="ar"/>
        </w:rPr>
        <w:t>用工实名制、工人工资支付分账管理</w:t>
      </w:r>
    </w:p>
    <w:p w14:paraId="456EDA4D">
      <w:pPr>
        <w:keepNext w:val="0"/>
        <w:keepLines w:val="0"/>
        <w:widowControl w:val="0"/>
        <w:suppressLineNumbers w:val="0"/>
        <w:spacing w:before="0" w:beforeAutospacing="0" w:after="0" w:afterAutospacing="0" w:line="420" w:lineRule="exact"/>
        <w:ind w:left="0" w:right="0" w:firstLine="330" w:firstLineChars="150"/>
        <w:jc w:val="both"/>
        <w:rPr>
          <w:rFonts w:hint="default" w:ascii="Times New Roman" w:hAnsi="Times New Roman" w:eastAsia="宋体" w:cs="Times New Roman"/>
          <w:color w:val="auto"/>
          <w:kern w:val="0"/>
          <w:sz w:val="22"/>
          <w:szCs w:val="22"/>
          <w:highlight w:val="none"/>
          <w:lang w:val="en-US"/>
        </w:rPr>
      </w:pPr>
      <w:r>
        <w:rPr>
          <w:rFonts w:hint="default" w:ascii="Times New Roman" w:hAnsi="Times New Roman" w:eastAsia="宋体" w:cs="Times New Roman"/>
          <w:color w:val="auto"/>
          <w:kern w:val="0"/>
          <w:sz w:val="22"/>
          <w:szCs w:val="22"/>
          <w:highlight w:val="none"/>
          <w:lang w:val="en-US" w:eastAsia="zh-CN" w:bidi="ar"/>
        </w:rPr>
        <w:t xml:space="preserve">  </w:t>
      </w:r>
      <w:r>
        <w:rPr>
          <w:rFonts w:hint="default" w:ascii="Times New Roman" w:hAnsi="Times New Roman" w:cs="Times New Roman"/>
          <w:color w:val="auto"/>
          <w:kern w:val="0"/>
          <w:sz w:val="22"/>
          <w:szCs w:val="22"/>
          <w:highlight w:val="none"/>
          <w:lang w:val="en-US" w:eastAsia="zh-CN" w:bidi="ar"/>
        </w:rPr>
        <w:t>☑</w:t>
      </w:r>
      <w:r>
        <w:rPr>
          <w:rFonts w:hint="default" w:ascii="Times New Roman" w:hAnsi="Times New Roman" w:eastAsia="宋体" w:cs="Times New Roman"/>
          <w:color w:val="auto"/>
          <w:kern w:val="0"/>
          <w:sz w:val="22"/>
          <w:szCs w:val="22"/>
          <w:highlight w:val="none"/>
          <w:lang w:val="en-US" w:eastAsia="zh-CN" w:bidi="ar"/>
        </w:rPr>
        <w:t xml:space="preserve">  按通用条款的规定以及以下文件规定：</w:t>
      </w:r>
    </w:p>
    <w:p w14:paraId="15A1BA93">
      <w:pPr>
        <w:keepNext w:val="0"/>
        <w:keepLines w:val="0"/>
        <w:widowControl w:val="0"/>
        <w:suppressLineNumbers w:val="0"/>
        <w:spacing w:before="0" w:beforeAutospacing="0" w:after="0" w:afterAutospacing="0" w:line="420" w:lineRule="exact"/>
        <w:ind w:left="0" w:right="0" w:firstLine="880" w:firstLineChars="400"/>
        <w:jc w:val="both"/>
        <w:rPr>
          <w:rFonts w:hint="default" w:ascii="Times New Roman" w:hAnsi="Times New Roman" w:eastAsia="宋体" w:cs="Times New Roman"/>
          <w:color w:val="auto"/>
          <w:kern w:val="0"/>
          <w:sz w:val="22"/>
          <w:szCs w:val="22"/>
          <w:highlight w:val="none"/>
          <w:lang w:val="en-US" w:eastAsia="zh-CN" w:bidi="ar"/>
        </w:rPr>
      </w:pPr>
      <w:r>
        <w:rPr>
          <w:rFonts w:hint="default" w:ascii="Times New Roman" w:hAnsi="Times New Roman" w:eastAsia="宋体" w:cs="Times New Roman"/>
          <w:color w:val="auto"/>
          <w:kern w:val="0"/>
          <w:sz w:val="22"/>
          <w:szCs w:val="22"/>
          <w:highlight w:val="none"/>
          <w:lang w:val="en-US" w:eastAsia="zh-CN" w:bidi="ar"/>
        </w:rPr>
        <w:t>1.《保障农民工工资支付条例》（国令第724号）</w:t>
      </w:r>
    </w:p>
    <w:p w14:paraId="656E5316">
      <w:pPr>
        <w:keepNext w:val="0"/>
        <w:keepLines w:val="0"/>
        <w:widowControl w:val="0"/>
        <w:suppressLineNumbers w:val="0"/>
        <w:spacing w:before="0" w:beforeAutospacing="0" w:after="0" w:afterAutospacing="0" w:line="420" w:lineRule="exact"/>
        <w:ind w:left="0" w:right="0" w:firstLine="880" w:firstLineChars="400"/>
        <w:jc w:val="both"/>
        <w:rPr>
          <w:rFonts w:hint="default" w:ascii="Times New Roman" w:hAnsi="Times New Roman" w:eastAsia="宋体" w:cs="Times New Roman"/>
          <w:color w:val="auto"/>
          <w:kern w:val="0"/>
          <w:sz w:val="22"/>
          <w:szCs w:val="22"/>
          <w:highlight w:val="none"/>
          <w:lang w:val="en-US" w:eastAsia="zh-CN" w:bidi="ar"/>
        </w:rPr>
      </w:pPr>
      <w:r>
        <w:rPr>
          <w:rFonts w:hint="default" w:ascii="Times New Roman" w:hAnsi="Times New Roman" w:eastAsia="宋体" w:cs="Times New Roman"/>
          <w:color w:val="auto"/>
          <w:kern w:val="0"/>
          <w:sz w:val="22"/>
          <w:szCs w:val="22"/>
          <w:highlight w:val="none"/>
          <w:lang w:val="en-US" w:eastAsia="zh-CN" w:bidi="ar"/>
        </w:rPr>
        <w:t>2.《广州市住房和城乡建设局关于印发广州市建筑施工实名制管理办法的通知》（穗建规字〔2020〕18号）</w:t>
      </w:r>
    </w:p>
    <w:p w14:paraId="03DB5B1D">
      <w:pPr>
        <w:keepNext w:val="0"/>
        <w:keepLines w:val="0"/>
        <w:widowControl w:val="0"/>
        <w:suppressLineNumbers w:val="0"/>
        <w:spacing w:before="0" w:beforeAutospacing="0" w:after="0" w:afterAutospacing="0" w:line="420" w:lineRule="exact"/>
        <w:ind w:left="0" w:right="0" w:firstLine="880" w:firstLineChars="400"/>
        <w:jc w:val="both"/>
        <w:rPr>
          <w:rFonts w:hint="default" w:ascii="Times New Roman" w:hAnsi="Times New Roman" w:eastAsia="宋体" w:cs="Times New Roman"/>
          <w:color w:val="auto"/>
          <w:kern w:val="0"/>
          <w:sz w:val="22"/>
          <w:szCs w:val="22"/>
          <w:highlight w:val="none"/>
          <w:lang w:val="en-US" w:eastAsia="zh-CN" w:bidi="ar"/>
        </w:rPr>
      </w:pPr>
      <w:r>
        <w:rPr>
          <w:rFonts w:hint="default" w:ascii="Times New Roman" w:hAnsi="Times New Roman" w:eastAsia="宋体" w:cs="Times New Roman"/>
          <w:color w:val="auto"/>
          <w:kern w:val="0"/>
          <w:sz w:val="22"/>
          <w:szCs w:val="22"/>
          <w:highlight w:val="none"/>
          <w:lang w:val="en-US" w:eastAsia="zh-CN" w:bidi="ar"/>
        </w:rPr>
        <w:t>3.广州市建设领域工人工资支付分账管理实施细则（穗建规字〔2020〕37号）</w:t>
      </w:r>
    </w:p>
    <w:p w14:paraId="598B9CDB">
      <w:pPr>
        <w:keepNext w:val="0"/>
        <w:keepLines w:val="0"/>
        <w:widowControl w:val="0"/>
        <w:suppressLineNumbers w:val="0"/>
        <w:spacing w:before="0" w:beforeAutospacing="0" w:after="0" w:afterAutospacing="0" w:line="420" w:lineRule="exact"/>
        <w:ind w:right="0" w:firstLine="440" w:firstLineChars="200"/>
        <w:jc w:val="both"/>
        <w:rPr>
          <w:rFonts w:hint="default" w:ascii="Times New Roman" w:hAnsi="Times New Roman" w:eastAsia="宋体" w:cs="Times New Roman"/>
          <w:color w:val="auto"/>
          <w:kern w:val="0"/>
          <w:sz w:val="22"/>
          <w:szCs w:val="22"/>
          <w:highlight w:val="none"/>
          <w:lang w:val="en-US"/>
        </w:rPr>
      </w:pPr>
      <w:r>
        <w:rPr>
          <w:rFonts w:hint="default" w:ascii="Times New Roman" w:hAnsi="Times New Roman" w:eastAsia="宋体" w:cs="Times New Roman"/>
          <w:color w:val="auto"/>
          <w:kern w:val="0"/>
          <w:sz w:val="22"/>
          <w:szCs w:val="22"/>
          <w:highlight w:val="none"/>
          <w:lang w:val="en-US" w:eastAsia="zh-CN" w:bidi="ar"/>
        </w:rPr>
        <w:t>□其他文件：</w:t>
      </w:r>
      <w:r>
        <w:rPr>
          <w:rFonts w:hint="default" w:ascii="Times New Roman" w:hAnsi="Times New Roman" w:eastAsia="宋体" w:cs="Times New Roman"/>
          <w:color w:val="auto"/>
          <w:kern w:val="0"/>
          <w:sz w:val="22"/>
          <w:szCs w:val="22"/>
          <w:highlight w:val="none"/>
          <w:u w:val="single"/>
          <w:lang w:val="en-US" w:eastAsia="zh-CN" w:bidi="ar"/>
        </w:rPr>
        <w:t xml:space="preserve">                                                                   </w:t>
      </w:r>
    </w:p>
    <w:p w14:paraId="69099F63">
      <w:pPr>
        <w:keepNext w:val="0"/>
        <w:keepLines w:val="0"/>
        <w:widowControl w:val="0"/>
        <w:suppressLineNumbers w:val="0"/>
        <w:spacing w:before="0" w:beforeAutospacing="0" w:after="0" w:afterAutospacing="0" w:line="420" w:lineRule="exact"/>
        <w:ind w:left="0" w:right="0" w:firstLine="330" w:firstLineChars="150"/>
        <w:jc w:val="both"/>
        <w:rPr>
          <w:rFonts w:hint="default" w:ascii="Times New Roman" w:hAnsi="Times New Roman" w:eastAsia="宋体" w:cs="Times New Roman"/>
          <w:color w:val="auto"/>
          <w:kern w:val="0"/>
          <w:sz w:val="22"/>
          <w:szCs w:val="22"/>
          <w:highlight w:val="none"/>
          <w:lang w:val="en-US"/>
        </w:rPr>
      </w:pPr>
      <w:r>
        <w:rPr>
          <w:rFonts w:hint="default" w:ascii="Times New Roman" w:hAnsi="Times New Roman" w:eastAsia="宋体" w:cs="Times New Roman"/>
          <w:color w:val="auto"/>
          <w:kern w:val="0"/>
          <w:sz w:val="22"/>
          <w:szCs w:val="22"/>
          <w:highlight w:val="none"/>
          <w:lang w:val="en-US" w:eastAsia="zh-CN" w:bidi="ar"/>
        </w:rPr>
        <w:t xml:space="preserve"> □ 另作约定：</w:t>
      </w:r>
      <w:r>
        <w:rPr>
          <w:rFonts w:hint="default" w:ascii="Times New Roman" w:hAnsi="Times New Roman" w:eastAsia="宋体" w:cs="Times New Roman"/>
          <w:color w:val="auto"/>
          <w:kern w:val="0"/>
          <w:sz w:val="22"/>
          <w:szCs w:val="22"/>
          <w:highlight w:val="none"/>
          <w:u w:val="single"/>
          <w:lang w:val="en-US" w:eastAsia="zh-CN" w:bidi="ar"/>
        </w:rPr>
        <w:t xml:space="preserve">                                                                     </w:t>
      </w:r>
    </w:p>
    <w:p w14:paraId="095B9C81">
      <w:pPr>
        <w:keepNext w:val="0"/>
        <w:keepLines w:val="0"/>
        <w:widowControl w:val="0"/>
        <w:suppressLineNumbers w:val="0"/>
        <w:spacing w:before="0" w:beforeAutospacing="0" w:after="0" w:afterAutospacing="0" w:line="420" w:lineRule="exact"/>
        <w:ind w:left="0" w:right="0" w:firstLine="1320" w:firstLineChars="600"/>
        <w:jc w:val="both"/>
        <w:rPr>
          <w:rFonts w:hint="default" w:ascii="Times New Roman" w:hAnsi="Times New Roman" w:eastAsia="宋体" w:cs="Times New Roman"/>
          <w:color w:val="auto"/>
          <w:sz w:val="22"/>
          <w:szCs w:val="22"/>
          <w:highlight w:val="none"/>
          <w:lang w:val="en-US"/>
        </w:rPr>
      </w:pPr>
    </w:p>
    <w:p w14:paraId="58B8303C">
      <w:pPr>
        <w:keepNext w:val="0"/>
        <w:keepLines w:val="0"/>
        <w:widowControl w:val="0"/>
        <w:suppressLineNumbers w:val="0"/>
        <w:spacing w:before="0" w:beforeAutospacing="0" w:after="0" w:afterAutospacing="0" w:line="420" w:lineRule="exact"/>
        <w:ind w:left="0" w:right="0" w:firstLine="110" w:firstLineChars="50"/>
        <w:jc w:val="both"/>
        <w:rPr>
          <w:rFonts w:hint="default" w:ascii="Times New Roman" w:hAnsi="Times New Roman" w:eastAsia="宋体" w:cs="Times New Roman"/>
          <w:color w:val="auto"/>
          <w:sz w:val="22"/>
          <w:szCs w:val="22"/>
          <w:highlight w:val="none"/>
          <w:lang w:val="en-US"/>
        </w:rPr>
      </w:pPr>
      <w:r>
        <w:rPr>
          <w:rFonts w:hint="default" w:ascii="Times New Roman" w:hAnsi="Times New Roman" w:eastAsia="宋体" w:cs="Times New Roman"/>
          <w:color w:val="auto"/>
          <w:kern w:val="2"/>
          <w:sz w:val="22"/>
          <w:szCs w:val="22"/>
          <w:highlight w:val="none"/>
          <w:lang w:val="en-US" w:eastAsia="zh-CN" w:bidi="ar"/>
        </w:rPr>
        <w:t xml:space="preserve">   45.6 治安管理：</w:t>
      </w:r>
    </w:p>
    <w:p w14:paraId="598F510B">
      <w:pPr>
        <w:keepNext w:val="0"/>
        <w:keepLines w:val="0"/>
        <w:widowControl w:val="0"/>
        <w:suppressLineNumbers w:val="0"/>
        <w:spacing w:before="0" w:beforeAutospacing="0" w:after="0" w:afterAutospacing="0" w:line="420" w:lineRule="exact"/>
        <w:ind w:left="0" w:right="0" w:firstLine="110" w:firstLineChars="50"/>
        <w:jc w:val="both"/>
        <w:rPr>
          <w:rFonts w:hint="default" w:ascii="Times New Roman" w:hAnsi="Times New Roman" w:eastAsia="宋体" w:cs="Times New Roman"/>
          <w:color w:val="auto"/>
          <w:kern w:val="0"/>
          <w:sz w:val="22"/>
          <w:szCs w:val="22"/>
          <w:highlight w:val="none"/>
          <w:lang w:val="en-US"/>
        </w:rPr>
      </w:pPr>
      <w:r>
        <w:rPr>
          <w:rFonts w:hint="default" w:ascii="Times New Roman" w:hAnsi="Times New Roman" w:eastAsia="宋体" w:cs="Times New Roman"/>
          <w:color w:val="auto"/>
          <w:kern w:val="2"/>
          <w:sz w:val="22"/>
          <w:szCs w:val="22"/>
          <w:highlight w:val="none"/>
          <w:lang w:val="en-US" w:eastAsia="zh-CN" w:bidi="ar"/>
        </w:rPr>
        <w:t xml:space="preserve">  </w:t>
      </w:r>
      <w:r>
        <w:rPr>
          <w:rFonts w:hint="default" w:ascii="Times New Roman" w:hAnsi="Times New Roman" w:cs="Times New Roman"/>
          <w:color w:val="auto"/>
          <w:kern w:val="0"/>
          <w:sz w:val="22"/>
          <w:szCs w:val="22"/>
          <w:highlight w:val="none"/>
          <w:lang w:val="en-US" w:eastAsia="zh-CN" w:bidi="ar"/>
        </w:rPr>
        <w:t>☑</w:t>
      </w:r>
      <w:r>
        <w:rPr>
          <w:rFonts w:hint="default" w:ascii="Times New Roman" w:hAnsi="Times New Roman" w:eastAsia="宋体" w:cs="Times New Roman"/>
          <w:color w:val="auto"/>
          <w:kern w:val="0"/>
          <w:sz w:val="22"/>
          <w:szCs w:val="22"/>
          <w:highlight w:val="none"/>
          <w:lang w:val="en-US" w:eastAsia="zh-CN" w:bidi="ar"/>
        </w:rPr>
        <w:t xml:space="preserve">  按通用条款的规定。</w:t>
      </w:r>
    </w:p>
    <w:p w14:paraId="3A54C851">
      <w:pPr>
        <w:keepNext w:val="0"/>
        <w:keepLines w:val="0"/>
        <w:widowControl w:val="0"/>
        <w:suppressLineNumbers w:val="0"/>
        <w:spacing w:before="0" w:beforeAutospacing="0" w:after="0" w:afterAutospacing="0" w:line="420" w:lineRule="exact"/>
        <w:ind w:left="0" w:right="0" w:firstLine="110" w:firstLineChars="50"/>
        <w:jc w:val="both"/>
        <w:rPr>
          <w:rFonts w:hint="default" w:ascii="Times New Roman" w:hAnsi="Times New Roman" w:eastAsia="宋体" w:cs="Times New Roman"/>
          <w:color w:val="auto"/>
          <w:kern w:val="0"/>
          <w:sz w:val="22"/>
          <w:szCs w:val="22"/>
          <w:highlight w:val="none"/>
          <w:lang w:val="en-US"/>
        </w:rPr>
      </w:pPr>
      <w:r>
        <w:rPr>
          <w:rFonts w:hint="default" w:ascii="Times New Roman" w:hAnsi="Times New Roman" w:eastAsia="宋体" w:cs="Times New Roman"/>
          <w:color w:val="auto"/>
          <w:kern w:val="0"/>
          <w:sz w:val="22"/>
          <w:szCs w:val="22"/>
          <w:highlight w:val="none"/>
          <w:lang w:val="en-US" w:eastAsia="zh-CN" w:bidi="ar"/>
        </w:rPr>
        <w:t xml:space="preserve">  □ 另作约定：</w:t>
      </w:r>
      <w:r>
        <w:rPr>
          <w:rFonts w:hint="default" w:ascii="Times New Roman" w:hAnsi="Times New Roman" w:eastAsia="宋体" w:cs="Times New Roman"/>
          <w:color w:val="auto"/>
          <w:kern w:val="0"/>
          <w:sz w:val="22"/>
          <w:szCs w:val="22"/>
          <w:highlight w:val="none"/>
          <w:u w:val="single"/>
          <w:lang w:val="en-US" w:eastAsia="zh-CN" w:bidi="ar"/>
        </w:rPr>
        <w:t xml:space="preserve">                                                                         </w:t>
      </w:r>
    </w:p>
    <w:p w14:paraId="4753009C">
      <w:pPr>
        <w:keepNext w:val="0"/>
        <w:keepLines w:val="0"/>
        <w:widowControl w:val="0"/>
        <w:suppressLineNumbers w:val="0"/>
        <w:spacing w:before="0" w:beforeAutospacing="0" w:after="0" w:afterAutospacing="0" w:line="420" w:lineRule="exact"/>
        <w:ind w:left="0" w:right="0" w:firstLine="110" w:firstLineChars="50"/>
        <w:jc w:val="both"/>
        <w:rPr>
          <w:rFonts w:hint="default" w:ascii="Times New Roman" w:hAnsi="Times New Roman" w:eastAsia="宋体" w:cs="Times New Roman"/>
          <w:color w:val="auto"/>
          <w:kern w:val="0"/>
          <w:sz w:val="22"/>
          <w:szCs w:val="22"/>
          <w:highlight w:val="none"/>
          <w:lang w:val="en-US"/>
        </w:rPr>
      </w:pPr>
    </w:p>
    <w:p w14:paraId="7741CA28">
      <w:pPr>
        <w:keepNext w:val="0"/>
        <w:keepLines w:val="0"/>
        <w:widowControl w:val="0"/>
        <w:suppressLineNumbers w:val="0"/>
        <w:spacing w:before="0" w:beforeAutospacing="0" w:after="0" w:afterAutospacing="0" w:line="420" w:lineRule="exact"/>
        <w:ind w:left="0" w:right="0" w:firstLine="440" w:firstLineChars="200"/>
        <w:jc w:val="both"/>
        <w:rPr>
          <w:rFonts w:hint="default" w:ascii="Times New Roman" w:hAnsi="Times New Roman" w:eastAsia="宋体" w:cs="Times New Roman"/>
          <w:color w:val="auto"/>
          <w:sz w:val="22"/>
          <w:szCs w:val="22"/>
          <w:highlight w:val="none"/>
          <w:lang w:val="en-US"/>
        </w:rPr>
      </w:pPr>
      <w:r>
        <w:rPr>
          <w:rFonts w:hint="default" w:ascii="Times New Roman" w:hAnsi="Times New Roman" w:eastAsia="宋体" w:cs="Times New Roman"/>
          <w:color w:val="auto"/>
          <w:kern w:val="2"/>
          <w:sz w:val="22"/>
          <w:szCs w:val="22"/>
          <w:highlight w:val="none"/>
          <w:lang w:val="en-US" w:eastAsia="zh-CN" w:bidi="ar"/>
        </w:rPr>
        <w:t>45.8</w:t>
      </w:r>
      <w:r>
        <w:rPr>
          <w:rFonts w:hint="default" w:ascii="Times New Roman" w:hAnsi="Times New Roman" w:eastAsia="宋体" w:cs="Times New Roman"/>
          <w:color w:val="auto"/>
          <w:kern w:val="0"/>
          <w:sz w:val="22"/>
          <w:szCs w:val="22"/>
          <w:highlight w:val="none"/>
          <w:lang w:val="en-US" w:eastAsia="zh-CN" w:bidi="ar"/>
        </w:rPr>
        <w:t>创文明工地目标：</w:t>
      </w:r>
    </w:p>
    <w:p w14:paraId="48249624">
      <w:pPr>
        <w:keepNext w:val="0"/>
        <w:keepLines w:val="0"/>
        <w:widowControl w:val="0"/>
        <w:suppressLineNumbers w:val="0"/>
        <w:autoSpaceDE w:val="0"/>
        <w:autoSpaceDN w:val="0"/>
        <w:adjustRightInd w:val="0"/>
        <w:spacing w:before="0" w:beforeAutospacing="0" w:after="0" w:afterAutospacing="0" w:line="420" w:lineRule="exact"/>
        <w:ind w:left="0" w:right="0" w:firstLine="440" w:firstLineChars="200"/>
        <w:jc w:val="left"/>
        <w:rPr>
          <w:rFonts w:hint="default" w:ascii="Times New Roman" w:hAnsi="Times New Roman" w:eastAsia="宋体" w:cs="Times New Roman"/>
          <w:color w:val="auto"/>
          <w:kern w:val="0"/>
          <w:sz w:val="22"/>
          <w:szCs w:val="22"/>
          <w:highlight w:val="none"/>
          <w:lang w:val="en-US"/>
        </w:rPr>
      </w:pPr>
      <w:r>
        <w:rPr>
          <w:rFonts w:hint="default" w:ascii="Times New Roman" w:hAnsi="Times New Roman" w:eastAsia="宋体" w:cs="Times New Roman"/>
          <w:color w:val="auto"/>
          <w:kern w:val="0"/>
          <w:sz w:val="22"/>
          <w:szCs w:val="22"/>
          <w:highlight w:val="none"/>
          <w:lang w:val="en-US" w:eastAsia="zh-CN" w:bidi="ar"/>
        </w:rPr>
        <w:t xml:space="preserve">□ </w:t>
      </w:r>
      <w:r>
        <w:rPr>
          <w:rFonts w:hint="default" w:ascii="Times New Roman" w:hAnsi="Times New Roman" w:eastAsia="宋体" w:cs="Times New Roman"/>
          <w:color w:val="auto"/>
          <w:kern w:val="2"/>
          <w:sz w:val="22"/>
          <w:szCs w:val="22"/>
          <w:highlight w:val="none"/>
          <w:lang w:val="en-US" w:eastAsia="zh-CN" w:bidi="ar"/>
        </w:rPr>
        <w:t>市级安全文明绿色施工样板工地</w:t>
      </w:r>
      <w:r>
        <w:rPr>
          <w:rFonts w:hint="default" w:ascii="Times New Roman" w:hAnsi="Times New Roman" w:eastAsia="宋体" w:cs="Times New Roman"/>
          <w:color w:val="auto"/>
          <w:kern w:val="0"/>
          <w:sz w:val="22"/>
          <w:szCs w:val="22"/>
          <w:highlight w:val="none"/>
          <w:lang w:val="en-US" w:eastAsia="zh-CN" w:bidi="ar"/>
        </w:rPr>
        <w:t>；</w:t>
      </w:r>
    </w:p>
    <w:p w14:paraId="0DC32C60">
      <w:pPr>
        <w:keepNext w:val="0"/>
        <w:keepLines w:val="0"/>
        <w:widowControl w:val="0"/>
        <w:suppressLineNumbers w:val="0"/>
        <w:autoSpaceDE w:val="0"/>
        <w:autoSpaceDN w:val="0"/>
        <w:adjustRightInd w:val="0"/>
        <w:spacing w:before="0" w:beforeAutospacing="0" w:after="0" w:afterAutospacing="0" w:line="420" w:lineRule="exact"/>
        <w:ind w:left="0" w:right="0" w:firstLine="440" w:firstLineChars="200"/>
        <w:jc w:val="left"/>
        <w:rPr>
          <w:rFonts w:hint="default" w:ascii="Times New Roman" w:hAnsi="Times New Roman" w:eastAsia="宋体" w:cs="Times New Roman"/>
          <w:color w:val="auto"/>
          <w:kern w:val="0"/>
          <w:sz w:val="22"/>
          <w:szCs w:val="22"/>
          <w:highlight w:val="none"/>
          <w:lang w:val="en-US"/>
        </w:rPr>
      </w:pPr>
      <w:r>
        <w:rPr>
          <w:rFonts w:hint="default" w:ascii="Times New Roman" w:hAnsi="Times New Roman" w:eastAsia="宋体" w:cs="Times New Roman"/>
          <w:color w:val="auto"/>
          <w:kern w:val="0"/>
          <w:sz w:val="22"/>
          <w:szCs w:val="22"/>
          <w:highlight w:val="none"/>
          <w:lang w:val="en-US" w:eastAsia="zh-CN" w:bidi="ar"/>
        </w:rPr>
        <w:t>□ 省级安全文明示范工地；</w:t>
      </w:r>
    </w:p>
    <w:p w14:paraId="200D2205">
      <w:pPr>
        <w:keepNext w:val="0"/>
        <w:keepLines w:val="0"/>
        <w:widowControl w:val="0"/>
        <w:suppressLineNumbers w:val="0"/>
        <w:autoSpaceDE w:val="0"/>
        <w:autoSpaceDN w:val="0"/>
        <w:adjustRightInd w:val="0"/>
        <w:spacing w:before="0" w:beforeAutospacing="0" w:after="0" w:afterAutospacing="0" w:line="420" w:lineRule="exact"/>
        <w:ind w:left="0" w:right="0" w:firstLine="440" w:firstLineChars="200"/>
        <w:jc w:val="left"/>
        <w:rPr>
          <w:rFonts w:hint="default" w:ascii="Times New Roman" w:hAnsi="Times New Roman" w:eastAsia="宋体" w:cs="Times New Roman"/>
          <w:color w:val="auto"/>
          <w:kern w:val="0"/>
          <w:sz w:val="22"/>
          <w:szCs w:val="22"/>
          <w:highlight w:val="none"/>
          <w:lang w:val="en-US"/>
        </w:rPr>
      </w:pPr>
      <w:r>
        <w:rPr>
          <w:rFonts w:hint="default" w:ascii="Times New Roman" w:hAnsi="Times New Roman" w:eastAsia="宋体" w:cs="Times New Roman"/>
          <w:color w:val="auto"/>
          <w:kern w:val="0"/>
          <w:sz w:val="22"/>
          <w:szCs w:val="22"/>
          <w:highlight w:val="none"/>
          <w:lang w:val="en-US" w:eastAsia="zh-CN" w:bidi="ar"/>
        </w:rPr>
        <w:t xml:space="preserve">□ </w:t>
      </w:r>
      <w:r>
        <w:rPr>
          <w:rFonts w:hint="default" w:ascii="Times New Roman" w:hAnsi="Times New Roman" w:eastAsia="宋体" w:cs="Times New Roman"/>
          <w:color w:val="auto"/>
          <w:kern w:val="2"/>
          <w:sz w:val="22"/>
          <w:szCs w:val="22"/>
          <w:highlight w:val="none"/>
          <w:lang w:val="en-US" w:eastAsia="zh-CN" w:bidi="ar"/>
        </w:rPr>
        <w:t>国家级安全文明工地</w:t>
      </w:r>
      <w:r>
        <w:rPr>
          <w:rFonts w:hint="default" w:ascii="Times New Roman" w:hAnsi="Times New Roman" w:eastAsia="宋体" w:cs="Times New Roman"/>
          <w:color w:val="auto"/>
          <w:kern w:val="0"/>
          <w:sz w:val="22"/>
          <w:szCs w:val="22"/>
          <w:highlight w:val="none"/>
          <w:lang w:val="en-US" w:eastAsia="zh-CN" w:bidi="ar"/>
        </w:rPr>
        <w:t>；</w:t>
      </w:r>
    </w:p>
    <w:p w14:paraId="1CF2D785">
      <w:pPr>
        <w:keepNext w:val="0"/>
        <w:keepLines w:val="0"/>
        <w:widowControl w:val="0"/>
        <w:suppressLineNumbers w:val="0"/>
        <w:spacing w:before="0" w:beforeAutospacing="0" w:after="0" w:afterAutospacing="0" w:line="420" w:lineRule="exact"/>
        <w:ind w:left="0" w:right="0" w:firstLine="440" w:firstLineChars="200"/>
        <w:jc w:val="both"/>
        <w:rPr>
          <w:rFonts w:hint="default" w:ascii="Times New Roman" w:hAnsi="Times New Roman" w:eastAsia="宋体" w:cs="Times New Roman"/>
          <w:color w:val="auto"/>
          <w:kern w:val="0"/>
          <w:sz w:val="22"/>
          <w:szCs w:val="22"/>
          <w:highlight w:val="none"/>
          <w:lang w:val="en-US"/>
        </w:rPr>
      </w:pPr>
      <w:r>
        <w:rPr>
          <w:rFonts w:hint="default" w:ascii="Times New Roman" w:hAnsi="Times New Roman" w:eastAsia="宋体" w:cs="Times New Roman"/>
          <w:color w:val="auto"/>
          <w:kern w:val="0"/>
          <w:sz w:val="22"/>
          <w:szCs w:val="22"/>
          <w:highlight w:val="none"/>
          <w:lang w:val="en-US" w:eastAsia="zh-CN" w:bidi="ar"/>
        </w:rPr>
        <w:t>□ 广州市建筑业绿色施工示范工程；</w:t>
      </w:r>
    </w:p>
    <w:p w14:paraId="3D33E808">
      <w:pPr>
        <w:keepNext w:val="0"/>
        <w:keepLines w:val="0"/>
        <w:widowControl w:val="0"/>
        <w:suppressLineNumbers w:val="0"/>
        <w:spacing w:before="0" w:beforeAutospacing="0" w:after="0" w:afterAutospacing="0" w:line="420" w:lineRule="exact"/>
        <w:ind w:left="0" w:right="0" w:firstLine="440" w:firstLineChars="200"/>
        <w:jc w:val="both"/>
        <w:rPr>
          <w:rFonts w:hint="default" w:ascii="Times New Roman" w:hAnsi="Times New Roman" w:eastAsia="宋体" w:cs="Times New Roman"/>
          <w:color w:val="auto"/>
          <w:kern w:val="0"/>
          <w:sz w:val="22"/>
          <w:szCs w:val="22"/>
          <w:highlight w:val="none"/>
          <w:lang w:val="en-US"/>
        </w:rPr>
      </w:pPr>
      <w:r>
        <w:rPr>
          <w:rFonts w:hint="default" w:ascii="Times New Roman" w:hAnsi="Times New Roman" w:eastAsia="宋体" w:cs="Times New Roman"/>
          <w:color w:val="auto"/>
          <w:kern w:val="0"/>
          <w:sz w:val="22"/>
          <w:szCs w:val="22"/>
          <w:highlight w:val="none"/>
          <w:lang w:val="en-US" w:eastAsia="zh-CN" w:bidi="ar"/>
        </w:rPr>
        <w:t>□ 广东省建筑业绿色施工示范工程；</w:t>
      </w:r>
    </w:p>
    <w:p w14:paraId="50EC1805">
      <w:pPr>
        <w:keepNext w:val="0"/>
        <w:keepLines w:val="0"/>
        <w:widowControl w:val="0"/>
        <w:suppressLineNumbers w:val="0"/>
        <w:spacing w:before="0" w:beforeAutospacing="0" w:after="0" w:afterAutospacing="0" w:line="420" w:lineRule="exact"/>
        <w:ind w:left="0" w:right="0" w:firstLine="440" w:firstLineChars="200"/>
        <w:jc w:val="both"/>
        <w:rPr>
          <w:rFonts w:hint="default" w:ascii="Times New Roman" w:hAnsi="Times New Roman" w:eastAsia="宋体" w:cs="Times New Roman"/>
          <w:color w:val="auto"/>
          <w:kern w:val="0"/>
          <w:sz w:val="22"/>
          <w:szCs w:val="22"/>
          <w:highlight w:val="none"/>
          <w:lang w:val="en-US"/>
        </w:rPr>
      </w:pPr>
      <w:r>
        <w:rPr>
          <w:rFonts w:hint="default" w:ascii="Times New Roman" w:hAnsi="Times New Roman" w:eastAsia="宋体" w:cs="Times New Roman"/>
          <w:color w:val="auto"/>
          <w:kern w:val="0"/>
          <w:sz w:val="22"/>
          <w:szCs w:val="22"/>
          <w:highlight w:val="none"/>
          <w:lang w:val="en-US" w:eastAsia="zh-CN" w:bidi="ar"/>
        </w:rPr>
        <w:t>□ 全国建筑业绿色施工示范工程；</w:t>
      </w:r>
    </w:p>
    <w:p w14:paraId="66702805">
      <w:pPr>
        <w:keepNext w:val="0"/>
        <w:keepLines w:val="0"/>
        <w:widowControl w:val="0"/>
        <w:suppressLineNumbers w:val="0"/>
        <w:spacing w:before="0" w:beforeAutospacing="0" w:after="0" w:afterAutospacing="0" w:line="420" w:lineRule="exact"/>
        <w:ind w:left="0" w:right="0" w:firstLine="440" w:firstLineChars="200"/>
        <w:jc w:val="both"/>
        <w:rPr>
          <w:rFonts w:hint="default" w:ascii="Times New Roman" w:hAnsi="Times New Roman" w:eastAsia="宋体" w:cs="Times New Roman"/>
          <w:color w:val="auto"/>
          <w:sz w:val="22"/>
          <w:szCs w:val="22"/>
          <w:highlight w:val="none"/>
          <w:u w:val="single"/>
          <w:lang w:val="en-US"/>
        </w:rPr>
      </w:pPr>
      <w:r>
        <w:rPr>
          <w:rFonts w:hint="default" w:ascii="Times New Roman" w:hAnsi="Times New Roman" w:eastAsia="宋体" w:cs="Times New Roman"/>
          <w:color w:val="auto"/>
          <w:kern w:val="0"/>
          <w:sz w:val="22"/>
          <w:szCs w:val="22"/>
          <w:highlight w:val="none"/>
          <w:lang w:val="en-US" w:eastAsia="zh-CN" w:bidi="ar"/>
        </w:rPr>
        <w:t xml:space="preserve">□ </w:t>
      </w:r>
      <w:r>
        <w:rPr>
          <w:rFonts w:hint="default" w:ascii="Times New Roman" w:hAnsi="Times New Roman" w:cs="Times New Roman"/>
          <w:color w:val="auto"/>
          <w:kern w:val="0"/>
          <w:sz w:val="22"/>
          <w:szCs w:val="22"/>
          <w:highlight w:val="none"/>
          <w:lang w:val="en-US" w:eastAsia="zh-CN" w:bidi="ar"/>
        </w:rPr>
        <w:t>其他</w:t>
      </w:r>
      <w:r>
        <w:rPr>
          <w:rFonts w:hint="default" w:ascii="Times New Roman" w:hAnsi="Times New Roman" w:eastAsia="宋体" w:cs="Times New Roman"/>
          <w:color w:val="auto"/>
          <w:kern w:val="0"/>
          <w:sz w:val="22"/>
          <w:szCs w:val="22"/>
          <w:highlight w:val="none"/>
          <w:u w:val="single"/>
          <w:lang w:val="en-US" w:eastAsia="zh-CN" w:bidi="ar"/>
        </w:rPr>
        <w:t xml:space="preserve">               </w:t>
      </w:r>
    </w:p>
    <w:p w14:paraId="6F085A94">
      <w:pPr>
        <w:keepNext w:val="0"/>
        <w:keepLines w:val="0"/>
        <w:widowControl w:val="0"/>
        <w:suppressLineNumbers w:val="0"/>
        <w:spacing w:before="0" w:beforeAutospacing="0" w:after="0" w:afterAutospacing="0" w:line="420" w:lineRule="exact"/>
        <w:ind w:left="0" w:right="0"/>
        <w:jc w:val="both"/>
        <w:rPr>
          <w:rFonts w:hint="default" w:ascii="Times New Roman" w:hAnsi="Times New Roman" w:eastAsia="宋体" w:cs="Times New Roman"/>
          <w:color w:val="auto"/>
          <w:kern w:val="0"/>
          <w:sz w:val="22"/>
          <w:szCs w:val="22"/>
          <w:highlight w:val="none"/>
          <w:lang w:val="en-US"/>
        </w:rPr>
      </w:pPr>
      <w:r>
        <w:rPr>
          <w:rFonts w:hint="default" w:ascii="Times New Roman" w:hAnsi="Times New Roman" w:eastAsia="宋体" w:cs="Times New Roman"/>
          <w:color w:val="auto"/>
          <w:kern w:val="0"/>
          <w:sz w:val="22"/>
          <w:szCs w:val="22"/>
          <w:highlight w:val="none"/>
          <w:lang w:val="en-US" w:eastAsia="zh-CN" w:bidi="ar"/>
        </w:rPr>
        <w:t xml:space="preserve">    </w:t>
      </w:r>
    </w:p>
    <w:p w14:paraId="72A133D7">
      <w:pPr>
        <w:keepNext w:val="0"/>
        <w:keepLines w:val="0"/>
        <w:widowControl w:val="0"/>
        <w:suppressLineNumbers w:val="0"/>
        <w:spacing w:before="0" w:beforeAutospacing="0" w:after="0" w:afterAutospacing="0" w:line="420" w:lineRule="exact"/>
        <w:ind w:left="0" w:right="0" w:firstLine="482"/>
        <w:jc w:val="both"/>
        <w:rPr>
          <w:rFonts w:hint="default" w:ascii="Times New Roman" w:hAnsi="Times New Roman" w:eastAsia="宋体" w:cs="Times New Roman"/>
          <w:color w:val="auto"/>
          <w:kern w:val="0"/>
          <w:sz w:val="22"/>
          <w:szCs w:val="22"/>
          <w:highlight w:val="none"/>
          <w:lang w:val="en-US"/>
        </w:rPr>
      </w:pPr>
      <w:r>
        <w:rPr>
          <w:rFonts w:hint="default" w:ascii="Times New Roman" w:hAnsi="Times New Roman" w:eastAsia="宋体" w:cs="Times New Roman"/>
          <w:color w:val="auto"/>
          <w:kern w:val="2"/>
          <w:sz w:val="22"/>
          <w:szCs w:val="22"/>
          <w:highlight w:val="none"/>
          <w:lang w:val="en-US" w:eastAsia="zh-CN" w:bidi="ar"/>
        </w:rPr>
        <w:t>45.9</w:t>
      </w:r>
      <w:r>
        <w:rPr>
          <w:rFonts w:hint="default" w:ascii="Times New Roman" w:hAnsi="Times New Roman" w:eastAsia="宋体" w:cs="Times New Roman"/>
          <w:color w:val="auto"/>
          <w:kern w:val="0"/>
          <w:sz w:val="22"/>
          <w:szCs w:val="22"/>
          <w:highlight w:val="none"/>
          <w:lang w:val="en-US" w:eastAsia="zh-CN" w:bidi="ar"/>
        </w:rPr>
        <w:t>特别安全生产事项</w:t>
      </w:r>
    </w:p>
    <w:p w14:paraId="2021B1B0">
      <w:pPr>
        <w:keepNext w:val="0"/>
        <w:keepLines w:val="0"/>
        <w:widowControl w:val="0"/>
        <w:suppressLineNumbers w:val="0"/>
        <w:spacing w:before="0" w:beforeAutospacing="0" w:after="0" w:afterAutospacing="0" w:line="420" w:lineRule="exact"/>
        <w:ind w:left="0" w:right="0" w:firstLine="482"/>
        <w:jc w:val="both"/>
        <w:rPr>
          <w:rFonts w:hint="default" w:ascii="Times New Roman" w:hAnsi="Times New Roman" w:eastAsia="宋体" w:cs="Times New Roman"/>
          <w:color w:val="auto"/>
          <w:sz w:val="22"/>
          <w:szCs w:val="22"/>
          <w:highlight w:val="none"/>
          <w:u w:val="single"/>
          <w:lang w:val="en-US"/>
        </w:rPr>
      </w:pPr>
      <w:r>
        <w:rPr>
          <w:rFonts w:hint="default" w:ascii="Times New Roman" w:hAnsi="Times New Roman" w:eastAsia="宋体" w:cs="Times New Roman"/>
          <w:color w:val="auto"/>
          <w:kern w:val="2"/>
          <w:sz w:val="22"/>
          <w:szCs w:val="22"/>
          <w:highlight w:val="none"/>
          <w:lang w:val="en-US" w:eastAsia="zh-CN" w:bidi="ar"/>
        </w:rPr>
        <w:t>危险性较大分部分项专项工程施工技术措施标准、要求：</w:t>
      </w:r>
      <w:r>
        <w:rPr>
          <w:rFonts w:hint="default" w:ascii="Times New Roman" w:hAnsi="Times New Roman" w:eastAsia="宋体" w:cs="Times New Roman"/>
          <w:color w:val="auto"/>
          <w:kern w:val="2"/>
          <w:sz w:val="22"/>
          <w:szCs w:val="22"/>
          <w:highlight w:val="none"/>
          <w:u w:val="single"/>
          <w:lang w:val="en-US" w:eastAsia="zh-CN" w:bidi="ar"/>
        </w:rPr>
        <w:t xml:space="preserve">                         </w:t>
      </w:r>
      <w:r>
        <w:rPr>
          <w:rFonts w:hint="default" w:ascii="Times New Roman" w:hAnsi="Times New Roman" w:eastAsia="宋体" w:cs="Times New Roman"/>
          <w:color w:val="auto"/>
          <w:kern w:val="2"/>
          <w:sz w:val="22"/>
          <w:szCs w:val="22"/>
          <w:highlight w:val="none"/>
          <w:lang w:val="en-US" w:eastAsia="zh-CN" w:bidi="ar"/>
        </w:rPr>
        <w:t>；</w:t>
      </w:r>
    </w:p>
    <w:p w14:paraId="1A324095">
      <w:pPr>
        <w:keepNext w:val="0"/>
        <w:keepLines w:val="0"/>
        <w:widowControl w:val="0"/>
        <w:suppressLineNumbers w:val="0"/>
        <w:spacing w:before="0" w:beforeAutospacing="0" w:after="0" w:afterAutospacing="0" w:line="420" w:lineRule="exact"/>
        <w:ind w:left="0" w:right="0" w:firstLine="482"/>
        <w:jc w:val="both"/>
        <w:rPr>
          <w:rFonts w:hint="default" w:ascii="Times New Roman" w:hAnsi="Times New Roman" w:eastAsia="宋体" w:cs="Times New Roman"/>
          <w:color w:val="auto"/>
          <w:kern w:val="0"/>
          <w:sz w:val="22"/>
          <w:szCs w:val="22"/>
          <w:highlight w:val="none"/>
          <w:u w:val="single"/>
          <w:lang w:val="en-US"/>
        </w:rPr>
      </w:pPr>
      <w:r>
        <w:rPr>
          <w:rFonts w:hint="default" w:ascii="Times New Roman" w:hAnsi="Times New Roman" w:eastAsia="宋体" w:cs="Times New Roman"/>
          <w:color w:val="auto"/>
          <w:kern w:val="2"/>
          <w:sz w:val="22"/>
          <w:szCs w:val="22"/>
          <w:highlight w:val="none"/>
          <w:lang w:val="en-US" w:eastAsia="zh-CN" w:bidi="ar"/>
        </w:rPr>
        <w:t>危险性较大分部分项专项工程施工技术措施费：</w:t>
      </w:r>
      <w:r>
        <w:rPr>
          <w:rFonts w:hint="default" w:ascii="Times New Roman" w:hAnsi="Times New Roman" w:eastAsia="宋体" w:cs="Times New Roman"/>
          <w:color w:val="auto"/>
          <w:kern w:val="2"/>
          <w:sz w:val="22"/>
          <w:szCs w:val="22"/>
          <w:highlight w:val="none"/>
          <w:u w:val="single"/>
          <w:lang w:val="en-US" w:eastAsia="zh-CN" w:bidi="ar"/>
        </w:rPr>
        <w:t xml:space="preserve">                         </w:t>
      </w:r>
      <w:r>
        <w:rPr>
          <w:rFonts w:hint="default" w:ascii="Times New Roman" w:hAnsi="Times New Roman" w:eastAsia="宋体" w:cs="Times New Roman"/>
          <w:color w:val="auto"/>
          <w:kern w:val="2"/>
          <w:sz w:val="22"/>
          <w:szCs w:val="22"/>
          <w:highlight w:val="none"/>
          <w:lang w:val="en-US" w:eastAsia="zh-CN" w:bidi="ar"/>
        </w:rPr>
        <w:t>元。</w:t>
      </w:r>
    </w:p>
    <w:p w14:paraId="66018008">
      <w:pPr>
        <w:spacing w:line="360" w:lineRule="auto"/>
        <w:ind w:firstLine="110" w:firstLineChars="50"/>
        <w:rPr>
          <w:rFonts w:hint="default" w:ascii="Times New Roman" w:hAnsi="Times New Roman" w:cs="Times New Roman"/>
          <w:color w:val="auto"/>
          <w:kern w:val="0"/>
          <w:sz w:val="22"/>
          <w:szCs w:val="22"/>
          <w:highlight w:val="none"/>
        </w:rPr>
      </w:pPr>
    </w:p>
    <w:p w14:paraId="741756E3">
      <w:pPr>
        <w:spacing w:line="420" w:lineRule="exact"/>
        <w:ind w:firstLine="1320" w:firstLineChars="600"/>
        <w:rPr>
          <w:rFonts w:hint="default" w:ascii="Times New Roman" w:hAnsi="Times New Roman" w:cs="Times New Roman"/>
          <w:color w:val="auto"/>
          <w:kern w:val="0"/>
          <w:sz w:val="22"/>
          <w:szCs w:val="22"/>
          <w:highlight w:val="none"/>
          <w:u w:val="single"/>
        </w:rPr>
      </w:pPr>
      <w:r>
        <w:rPr>
          <w:rFonts w:hint="default" w:ascii="Times New Roman" w:hAnsi="Times New Roman" w:cs="Times New Roman"/>
          <w:color w:val="auto"/>
          <w:sz w:val="22"/>
          <w:szCs w:val="22"/>
          <w:highlight w:val="none"/>
        </w:rPr>
        <w:t xml:space="preserve">     </w:t>
      </w:r>
    </w:p>
    <w:p w14:paraId="629FB842">
      <w:pPr>
        <w:pStyle w:val="4"/>
        <w:numPr>
          <w:ilvl w:val="0"/>
          <w:numId w:val="0"/>
        </w:numPr>
        <w:tabs>
          <w:tab w:val="left" w:pos="360"/>
          <w:tab w:val="left" w:pos="420"/>
          <w:tab w:val="left" w:pos="576"/>
        </w:tabs>
        <w:spacing w:line="420" w:lineRule="exact"/>
        <w:rPr>
          <w:rFonts w:hint="default" w:ascii="Times New Roman" w:hAnsi="Times New Roman" w:cs="Times New Roman"/>
          <w:b/>
          <w:bCs/>
          <w:color w:val="auto"/>
          <w:sz w:val="22"/>
          <w:szCs w:val="22"/>
          <w:highlight w:val="none"/>
        </w:rPr>
      </w:pPr>
      <w:bookmarkStart w:id="385" w:name="_Toc1425710332"/>
      <w:bookmarkStart w:id="386" w:name="_Toc8600"/>
      <w:bookmarkStart w:id="387" w:name="_Toc469384107"/>
      <w:r>
        <w:rPr>
          <w:rFonts w:hint="default" w:ascii="Times New Roman" w:hAnsi="Times New Roman" w:cs="Times New Roman"/>
          <w:b/>
          <w:bCs/>
          <w:color w:val="auto"/>
          <w:sz w:val="22"/>
          <w:szCs w:val="22"/>
          <w:highlight w:val="none"/>
        </w:rPr>
        <w:t>46. 测量放线</w:t>
      </w:r>
      <w:bookmarkEnd w:id="385"/>
      <w:bookmarkEnd w:id="386"/>
      <w:bookmarkEnd w:id="387"/>
    </w:p>
    <w:p w14:paraId="2E2EC4A8">
      <w:pPr>
        <w:spacing w:line="420" w:lineRule="exact"/>
        <w:ind w:firstLine="110" w:firstLineChars="50"/>
        <w:rPr>
          <w:rFonts w:hint="default" w:ascii="Times New Roman" w:hAnsi="Times New Roman" w:cs="Times New Roman"/>
          <w:color w:val="auto"/>
          <w:kern w:val="0"/>
          <w:sz w:val="22"/>
          <w:szCs w:val="22"/>
          <w:highlight w:val="none"/>
        </w:rPr>
      </w:pPr>
    </w:p>
    <w:p w14:paraId="1906B9BF">
      <w:pPr>
        <w:spacing w:line="360" w:lineRule="auto"/>
        <w:rPr>
          <w:rFonts w:hint="default" w:ascii="Times New Roman" w:hAnsi="Times New Roman" w:cs="Times New Roman"/>
          <w:color w:val="auto"/>
          <w:kern w:val="0"/>
          <w:sz w:val="22"/>
          <w:szCs w:val="22"/>
          <w:highlight w:val="none"/>
          <w:u w:val="single"/>
        </w:rPr>
      </w:pPr>
      <w:r>
        <w:rPr>
          <w:rFonts w:hint="default" w:ascii="Times New Roman" w:hAnsi="Times New Roman" w:cs="Times New Roman"/>
          <w:color w:val="auto"/>
          <w:kern w:val="0"/>
          <w:sz w:val="22"/>
          <w:szCs w:val="22"/>
          <w:highlight w:val="none"/>
        </w:rPr>
        <w:t xml:space="preserve"> 46.1 承包人提交施工控制网资料的时间：</w:t>
      </w:r>
      <w:r>
        <w:rPr>
          <w:rFonts w:hint="default" w:ascii="Times New Roman" w:hAnsi="Times New Roman" w:cs="Times New Roman"/>
          <w:color w:val="auto"/>
          <w:kern w:val="0"/>
          <w:sz w:val="22"/>
          <w:szCs w:val="22"/>
          <w:highlight w:val="none"/>
          <w:u w:val="single"/>
        </w:rPr>
        <w:t xml:space="preserve">                 /                  </w:t>
      </w:r>
    </w:p>
    <w:p w14:paraId="7B9B4039">
      <w:pPr>
        <w:spacing w:line="360" w:lineRule="auto"/>
        <w:ind w:firstLine="110" w:firstLineChars="50"/>
        <w:rPr>
          <w:rFonts w:hint="default" w:ascii="Times New Roman" w:hAnsi="Times New Roman" w:cs="Times New Roman"/>
          <w:color w:val="auto"/>
          <w:kern w:val="0"/>
          <w:sz w:val="22"/>
          <w:szCs w:val="22"/>
          <w:highlight w:val="none"/>
        </w:rPr>
      </w:pPr>
    </w:p>
    <w:p w14:paraId="58557D31">
      <w:pPr>
        <w:spacing w:line="360" w:lineRule="auto"/>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46.4 测量放线误差的约定：</w:t>
      </w:r>
      <w:r>
        <w:rPr>
          <w:rFonts w:hint="default" w:ascii="Times New Roman" w:hAnsi="Times New Roman" w:cs="Times New Roman"/>
          <w:color w:val="auto"/>
          <w:kern w:val="0"/>
          <w:sz w:val="22"/>
          <w:szCs w:val="22"/>
          <w:highlight w:val="none"/>
          <w:u w:val="single"/>
        </w:rPr>
        <w:t xml:space="preserve">                       /                        </w:t>
      </w:r>
    </w:p>
    <w:p w14:paraId="07BE89B9">
      <w:pPr>
        <w:pStyle w:val="4"/>
        <w:numPr>
          <w:ilvl w:val="0"/>
          <w:numId w:val="0"/>
        </w:numPr>
        <w:tabs>
          <w:tab w:val="left" w:pos="360"/>
          <w:tab w:val="left" w:pos="420"/>
          <w:tab w:val="left" w:pos="576"/>
        </w:tabs>
        <w:spacing w:line="420" w:lineRule="exact"/>
        <w:rPr>
          <w:rFonts w:hint="default" w:ascii="Times New Roman" w:hAnsi="Times New Roman" w:cs="Times New Roman"/>
          <w:b/>
          <w:bCs/>
          <w:color w:val="auto"/>
          <w:sz w:val="22"/>
          <w:szCs w:val="22"/>
          <w:highlight w:val="none"/>
        </w:rPr>
      </w:pPr>
      <w:bookmarkStart w:id="388" w:name="_Toc469384108"/>
      <w:bookmarkStart w:id="389" w:name="_Toc32386"/>
      <w:bookmarkStart w:id="390" w:name="_Toc261031083"/>
      <w:r>
        <w:rPr>
          <w:rFonts w:hint="default" w:ascii="Times New Roman" w:hAnsi="Times New Roman" w:cs="Times New Roman"/>
          <w:b/>
          <w:bCs/>
          <w:color w:val="auto"/>
          <w:sz w:val="22"/>
          <w:szCs w:val="22"/>
          <w:highlight w:val="none"/>
        </w:rPr>
        <w:t>48.发包人供应材料和工程设备</w:t>
      </w:r>
      <w:bookmarkEnd w:id="388"/>
      <w:bookmarkEnd w:id="389"/>
      <w:bookmarkEnd w:id="390"/>
    </w:p>
    <w:p w14:paraId="418638C1">
      <w:pPr>
        <w:spacing w:line="420" w:lineRule="exact"/>
        <w:ind w:firstLine="110" w:firstLineChars="50"/>
        <w:rPr>
          <w:rFonts w:hint="default" w:ascii="Times New Roman" w:hAnsi="Times New Roman" w:cs="Times New Roman"/>
          <w:color w:val="auto"/>
          <w:kern w:val="0"/>
          <w:sz w:val="22"/>
          <w:szCs w:val="22"/>
          <w:highlight w:val="none"/>
        </w:rPr>
      </w:pPr>
    </w:p>
    <w:p w14:paraId="0884C0EC">
      <w:pPr>
        <w:spacing w:line="420" w:lineRule="exact"/>
        <w:ind w:firstLine="110" w:firstLineChars="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48.1 约定供应的材料和工程设备</w:t>
      </w:r>
    </w:p>
    <w:p w14:paraId="2C5CD16A">
      <w:pPr>
        <w:spacing w:line="420" w:lineRule="exact"/>
        <w:ind w:firstLine="110" w:firstLineChars="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w:t>
      </w:r>
      <w:r>
        <w:rPr>
          <w:rFonts w:hint="default" w:ascii="Times New Roman" w:hAnsi="Times New Roman" w:cs="Times New Roman"/>
          <w:color w:val="auto"/>
          <w:kern w:val="0"/>
          <w:sz w:val="22"/>
          <w:szCs w:val="22"/>
          <w:highlight w:val="none"/>
          <w:lang w:val="en-US" w:eastAsia="zh-CN" w:bidi="ar"/>
        </w:rPr>
        <w:t>☑</w:t>
      </w:r>
      <w:r>
        <w:rPr>
          <w:rFonts w:hint="default" w:ascii="Times New Roman" w:hAnsi="Times New Roman" w:eastAsia="宋体" w:cs="Times New Roman"/>
          <w:color w:val="auto"/>
          <w:kern w:val="0"/>
          <w:sz w:val="22"/>
          <w:szCs w:val="22"/>
          <w:highlight w:val="none"/>
          <w:lang w:val="en-US" w:eastAsia="zh-CN" w:bidi="ar"/>
        </w:rPr>
        <w:t xml:space="preserve"> </w:t>
      </w:r>
      <w:r>
        <w:rPr>
          <w:rFonts w:hint="default" w:ascii="Times New Roman" w:hAnsi="Times New Roman" w:cs="Times New Roman"/>
          <w:color w:val="auto"/>
          <w:kern w:val="0"/>
          <w:sz w:val="22"/>
          <w:szCs w:val="22"/>
          <w:highlight w:val="none"/>
        </w:rPr>
        <w:t xml:space="preserve"> 发包人不供应材料和工程设备，本条不适用。</w:t>
      </w:r>
    </w:p>
    <w:p w14:paraId="635708D2">
      <w:pPr>
        <w:spacing w:line="420" w:lineRule="exact"/>
        <w:ind w:firstLine="110" w:firstLineChars="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 发包人供应材料和工程设备的，应与承包人约定“发包人供应材料和工程设备一览表”，作为本合同的附件。</w:t>
      </w:r>
    </w:p>
    <w:p w14:paraId="0189DE9E">
      <w:pPr>
        <w:spacing w:line="420" w:lineRule="exact"/>
        <w:ind w:firstLine="110" w:firstLineChars="50"/>
        <w:rPr>
          <w:rFonts w:hint="default" w:ascii="Times New Roman" w:hAnsi="Times New Roman" w:cs="Times New Roman"/>
          <w:color w:val="auto"/>
          <w:kern w:val="0"/>
          <w:sz w:val="22"/>
          <w:szCs w:val="22"/>
          <w:highlight w:val="none"/>
        </w:rPr>
      </w:pPr>
    </w:p>
    <w:p w14:paraId="5C838300">
      <w:pPr>
        <w:spacing w:line="420" w:lineRule="exact"/>
        <w:ind w:firstLine="110" w:firstLineChars="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48.8 发包人供应材料和工程设备的结算方式：</w:t>
      </w:r>
      <w:r>
        <w:rPr>
          <w:rFonts w:hint="default" w:ascii="Times New Roman" w:hAnsi="Times New Roman" w:cs="Times New Roman"/>
          <w:color w:val="auto"/>
          <w:kern w:val="0"/>
          <w:sz w:val="22"/>
          <w:szCs w:val="22"/>
          <w:highlight w:val="none"/>
          <w:u w:val="single"/>
        </w:rPr>
        <w:t xml:space="preserve">                /                            </w:t>
      </w:r>
      <w:r>
        <w:rPr>
          <w:rFonts w:hint="default" w:ascii="Times New Roman" w:hAnsi="Times New Roman" w:cs="Times New Roman"/>
          <w:color w:val="auto"/>
          <w:kern w:val="0"/>
          <w:sz w:val="22"/>
          <w:szCs w:val="22"/>
          <w:highlight w:val="none"/>
        </w:rPr>
        <w:t xml:space="preserve">  </w:t>
      </w:r>
    </w:p>
    <w:p w14:paraId="42164AB5">
      <w:pPr>
        <w:pStyle w:val="4"/>
        <w:numPr>
          <w:ilvl w:val="0"/>
          <w:numId w:val="0"/>
        </w:numPr>
        <w:tabs>
          <w:tab w:val="left" w:pos="360"/>
          <w:tab w:val="left" w:pos="420"/>
          <w:tab w:val="left" w:pos="576"/>
        </w:tabs>
        <w:spacing w:line="420" w:lineRule="exact"/>
        <w:rPr>
          <w:rFonts w:hint="default" w:ascii="Times New Roman" w:hAnsi="Times New Roman" w:cs="Times New Roman"/>
          <w:b/>
          <w:bCs/>
          <w:color w:val="auto"/>
          <w:sz w:val="22"/>
          <w:szCs w:val="22"/>
          <w:highlight w:val="none"/>
        </w:rPr>
      </w:pPr>
      <w:bookmarkStart w:id="391" w:name="_Toc469384109"/>
      <w:bookmarkStart w:id="392" w:name="_Toc92159808"/>
      <w:bookmarkStart w:id="393" w:name="_Toc23891"/>
      <w:r>
        <w:rPr>
          <w:rFonts w:hint="default" w:ascii="Times New Roman" w:hAnsi="Times New Roman" w:cs="Times New Roman"/>
          <w:b/>
          <w:bCs/>
          <w:color w:val="auto"/>
          <w:sz w:val="22"/>
          <w:szCs w:val="22"/>
          <w:highlight w:val="none"/>
        </w:rPr>
        <w:t>49. 承包人采购材料和工程设备</w:t>
      </w:r>
      <w:bookmarkEnd w:id="391"/>
      <w:bookmarkEnd w:id="392"/>
      <w:bookmarkEnd w:id="393"/>
    </w:p>
    <w:p w14:paraId="1C115FA6">
      <w:pPr>
        <w:spacing w:line="420" w:lineRule="exact"/>
        <w:rPr>
          <w:rFonts w:hint="default" w:ascii="Times New Roman" w:hAnsi="Times New Roman" w:cs="Times New Roman"/>
          <w:color w:val="auto"/>
          <w:kern w:val="0"/>
          <w:sz w:val="22"/>
          <w:szCs w:val="22"/>
          <w:highlight w:val="none"/>
        </w:rPr>
      </w:pPr>
    </w:p>
    <w:p w14:paraId="6DACFADC">
      <w:pPr>
        <w:spacing w:line="420" w:lineRule="exact"/>
        <w:ind w:firstLine="110" w:firstLineChars="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49.1 承包人采购材料和工程设备</w:t>
      </w:r>
    </w:p>
    <w:p w14:paraId="12EF5FAD">
      <w:pPr>
        <w:spacing w:line="420" w:lineRule="exact"/>
        <w:ind w:firstLine="110" w:firstLineChars="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w:t>
      </w:r>
      <w:r>
        <w:rPr>
          <w:rFonts w:hint="default" w:ascii="Times New Roman" w:hAnsi="Times New Roman" w:cs="Times New Roman"/>
          <w:color w:val="auto"/>
          <w:kern w:val="0"/>
          <w:sz w:val="22"/>
          <w:szCs w:val="22"/>
          <w:highlight w:val="none"/>
          <w:lang w:val="en-US" w:eastAsia="zh-CN" w:bidi="ar"/>
        </w:rPr>
        <w:t>☑</w:t>
      </w:r>
      <w:r>
        <w:rPr>
          <w:rFonts w:hint="default" w:ascii="Times New Roman" w:hAnsi="Times New Roman" w:eastAsia="宋体" w:cs="Times New Roman"/>
          <w:color w:val="auto"/>
          <w:kern w:val="0"/>
          <w:sz w:val="22"/>
          <w:szCs w:val="22"/>
          <w:highlight w:val="none"/>
          <w:lang w:val="en-US" w:eastAsia="zh-CN" w:bidi="ar"/>
        </w:rPr>
        <w:t xml:space="preserve"> </w:t>
      </w:r>
      <w:r>
        <w:rPr>
          <w:rFonts w:hint="default" w:ascii="Times New Roman" w:hAnsi="Times New Roman" w:cs="Times New Roman"/>
          <w:color w:val="auto"/>
          <w:kern w:val="0"/>
          <w:sz w:val="22"/>
          <w:szCs w:val="22"/>
          <w:highlight w:val="none"/>
        </w:rPr>
        <w:t xml:space="preserve"> 按通用条款规定，由承包人负责运输和保管。</w:t>
      </w:r>
    </w:p>
    <w:p w14:paraId="60F12FF6">
      <w:pPr>
        <w:spacing w:line="420" w:lineRule="exact"/>
        <w:ind w:firstLine="110" w:firstLineChars="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 另作约定：</w:t>
      </w:r>
      <w:r>
        <w:rPr>
          <w:rFonts w:hint="default" w:ascii="Times New Roman" w:hAnsi="Times New Roman" w:cs="Times New Roman"/>
          <w:color w:val="auto"/>
          <w:kern w:val="0"/>
          <w:sz w:val="22"/>
          <w:szCs w:val="22"/>
          <w:highlight w:val="none"/>
          <w:u w:val="single"/>
        </w:rPr>
        <w:t xml:space="preserve">                               /                                         </w:t>
      </w:r>
      <w:r>
        <w:rPr>
          <w:rFonts w:hint="default" w:ascii="Times New Roman" w:hAnsi="Times New Roman" w:cs="Times New Roman"/>
          <w:color w:val="auto"/>
          <w:kern w:val="0"/>
          <w:sz w:val="22"/>
          <w:szCs w:val="22"/>
          <w:highlight w:val="none"/>
        </w:rPr>
        <w:t xml:space="preserve">  </w:t>
      </w:r>
    </w:p>
    <w:p w14:paraId="6153F3FB">
      <w:pPr>
        <w:spacing w:line="420" w:lineRule="exact"/>
        <w:ind w:firstLine="110" w:firstLineChars="50"/>
        <w:rPr>
          <w:rFonts w:hint="default" w:ascii="Times New Roman" w:hAnsi="Times New Roman" w:cs="Times New Roman"/>
          <w:color w:val="auto"/>
          <w:kern w:val="0"/>
          <w:sz w:val="22"/>
          <w:szCs w:val="22"/>
          <w:highlight w:val="none"/>
        </w:rPr>
      </w:pPr>
    </w:p>
    <w:p w14:paraId="65712A09">
      <w:pPr>
        <w:spacing w:line="360" w:lineRule="auto"/>
        <w:ind w:firstLine="220" w:firstLineChars="100"/>
        <w:rPr>
          <w:rFonts w:hint="default" w:ascii="Times New Roman" w:hAnsi="Times New Roman" w:cs="Times New Roman"/>
          <w:color w:val="auto"/>
          <w:sz w:val="22"/>
          <w:szCs w:val="22"/>
          <w:highlight w:val="none"/>
          <w:u w:val="single"/>
        </w:rPr>
      </w:pPr>
      <w:bookmarkStart w:id="394" w:name="_Toc469384110"/>
      <w:r>
        <w:rPr>
          <w:rFonts w:hint="default" w:ascii="Times New Roman" w:hAnsi="Times New Roman" w:cs="Times New Roman"/>
          <w:color w:val="auto"/>
          <w:kern w:val="0"/>
          <w:sz w:val="22"/>
          <w:szCs w:val="22"/>
          <w:highlight w:val="none"/>
        </w:rPr>
        <w:t>49.2 承包人供货要求：</w:t>
      </w:r>
      <w:r>
        <w:rPr>
          <w:rFonts w:hint="default" w:ascii="Times New Roman" w:hAnsi="Times New Roman" w:cs="Times New Roman"/>
          <w:color w:val="auto"/>
          <w:kern w:val="0"/>
          <w:sz w:val="22"/>
          <w:szCs w:val="22"/>
          <w:highlight w:val="none"/>
          <w:u w:val="single"/>
        </w:rPr>
        <w:t>承包人应在计划采购材料或设备前的28天向监理单位报送工程材料样品或设备相关质量证明文件，承包人提供的材料、设备样品须满足设计指标和发包人工程或效果需求，如样品不满足设计和发包人要求，须抓紧报送，直至设计和发包人确认为止。具体看样定板审查的流程概括：承包人按规定提交材料（设备）样板，建设（管理）单位、监理单位、设计单位等有关人员组成看样定板审查组（下称审查组），对样板进行审查，对于重点看样定板材料，还须由建设（管理）单位会同有关单位负责人或专家对重点看样定板材料进行审定（专家会议费和会议会场由承包方负责）。施工单位负责对已审定的材料每月进行汇总和建账。</w:t>
      </w:r>
    </w:p>
    <w:p w14:paraId="11B9DA55">
      <w:pPr>
        <w:spacing w:line="420" w:lineRule="exact"/>
        <w:ind w:firstLine="440" w:firstLineChars="200"/>
        <w:rPr>
          <w:rFonts w:hint="default" w:ascii="Times New Roman" w:hAnsi="Times New Roman" w:cs="Times New Roman"/>
          <w:color w:val="auto"/>
          <w:kern w:val="0"/>
          <w:sz w:val="22"/>
          <w:szCs w:val="22"/>
          <w:highlight w:val="none"/>
          <w:u w:val="single"/>
        </w:rPr>
      </w:pPr>
      <w:r>
        <w:rPr>
          <w:rFonts w:hint="default" w:ascii="Times New Roman" w:hAnsi="Times New Roman" w:cs="Times New Roman"/>
          <w:color w:val="auto"/>
          <w:kern w:val="0"/>
          <w:sz w:val="22"/>
          <w:szCs w:val="22"/>
          <w:highlight w:val="none"/>
          <w:u w:val="single"/>
        </w:rPr>
        <w:t>除发包人另外采购的材料设备外，本工程中的承包人工作范围内的所有材料设备均由承包人按设计图纸技术效果要求、规范要求将材料设备品牌报发包人审批同意后方可进行采购，该材料或设备的价格在结算时不得进行任何调整，材料或设备的装卸、运输、存储、质检和验收均由承包人负责。如发包人有要求时，承包人须无条件将所有材料设备的样板制作成效果图形或模型提交发包人审定。</w:t>
      </w:r>
    </w:p>
    <w:p w14:paraId="440F7566">
      <w:pPr>
        <w:spacing w:line="360" w:lineRule="auto"/>
        <w:ind w:firstLine="110" w:firstLineChars="50"/>
        <w:rPr>
          <w:rFonts w:hint="default" w:ascii="Times New Roman" w:hAnsi="Times New Roman" w:cs="Times New Roman"/>
          <w:color w:val="auto"/>
          <w:kern w:val="0"/>
          <w:sz w:val="22"/>
          <w:szCs w:val="22"/>
          <w:highlight w:val="none"/>
          <w:u w:val="single"/>
        </w:rPr>
      </w:pPr>
    </w:p>
    <w:p w14:paraId="7D665E85">
      <w:pPr>
        <w:spacing w:line="360" w:lineRule="auto"/>
        <w:rPr>
          <w:rFonts w:hint="default" w:ascii="Times New Roman" w:hAnsi="Times New Roman" w:cs="Times New Roman"/>
          <w:color w:val="auto"/>
          <w:kern w:val="0"/>
          <w:sz w:val="22"/>
          <w:szCs w:val="22"/>
          <w:highlight w:val="none"/>
          <w:u w:val="single"/>
        </w:rPr>
      </w:pPr>
      <w:r>
        <w:rPr>
          <w:rFonts w:hint="default" w:ascii="Times New Roman" w:hAnsi="Times New Roman" w:cs="Times New Roman"/>
          <w:color w:val="auto"/>
          <w:kern w:val="0"/>
          <w:sz w:val="22"/>
          <w:szCs w:val="22"/>
          <w:highlight w:val="none"/>
        </w:rPr>
        <w:t>49.8 发包人依法指定的生产厂家和供应商：</w:t>
      </w:r>
      <w:r>
        <w:rPr>
          <w:rFonts w:hint="default" w:ascii="Times New Roman" w:hAnsi="Times New Roman" w:cs="Times New Roman"/>
          <w:color w:val="auto"/>
          <w:kern w:val="0"/>
          <w:sz w:val="22"/>
          <w:szCs w:val="22"/>
          <w:highlight w:val="none"/>
          <w:u w:val="single"/>
        </w:rPr>
        <w:t xml:space="preserve">                 /                </w:t>
      </w:r>
    </w:p>
    <w:p w14:paraId="68578298">
      <w:pPr>
        <w:keepNext w:val="0"/>
        <w:keepLines w:val="0"/>
        <w:pageBreakBefore w:val="0"/>
        <w:widowControl w:val="0"/>
        <w:kinsoku/>
        <w:wordWrap/>
        <w:overflowPunct/>
        <w:topLinePunct w:val="0"/>
        <w:autoSpaceDE/>
        <w:autoSpaceDN/>
        <w:bidi w:val="0"/>
        <w:adjustRightInd/>
        <w:snapToGrid/>
        <w:spacing w:line="360" w:lineRule="auto"/>
        <w:ind w:firstLine="440" w:firstLineChars="200"/>
        <w:textAlignment w:val="auto"/>
        <w:rPr>
          <w:rFonts w:hint="default" w:ascii="Times New Roman" w:hAnsi="Times New Roman" w:cs="Times New Roman"/>
          <w:color w:val="auto"/>
          <w:kern w:val="0"/>
          <w:sz w:val="22"/>
          <w:szCs w:val="22"/>
          <w:highlight w:val="none"/>
          <w:u w:val="single"/>
        </w:rPr>
      </w:pPr>
      <w:r>
        <w:rPr>
          <w:rFonts w:hint="default" w:ascii="Times New Roman" w:hAnsi="Times New Roman" w:eastAsia="宋体" w:cs="Times New Roman"/>
          <w:color w:val="auto"/>
          <w:kern w:val="0"/>
          <w:sz w:val="22"/>
          <w:szCs w:val="22"/>
          <w:highlight w:val="none"/>
          <w:lang w:val="en-US" w:eastAsia="zh-CN" w:bidi="ar"/>
        </w:rPr>
        <w:t>发包人要求的材料和工程设备建设标准、质量等级：</w:t>
      </w:r>
      <w:r>
        <w:rPr>
          <w:rFonts w:hint="default" w:ascii="Times New Roman" w:hAnsi="Times New Roman" w:eastAsia="宋体" w:cs="Times New Roman"/>
          <w:color w:val="auto"/>
          <w:kern w:val="0"/>
          <w:sz w:val="22"/>
          <w:szCs w:val="22"/>
          <w:highlight w:val="none"/>
          <w:u w:val="single"/>
          <w:lang w:val="en-US" w:eastAsia="zh-CN" w:bidi="ar"/>
        </w:rPr>
        <w:t xml:space="preserve">            </w:t>
      </w:r>
      <w:r>
        <w:rPr>
          <w:rFonts w:hint="default" w:ascii="Times New Roman" w:hAnsi="Times New Roman" w:cs="Times New Roman"/>
          <w:color w:val="auto"/>
          <w:kern w:val="0"/>
          <w:sz w:val="22"/>
          <w:szCs w:val="22"/>
          <w:highlight w:val="none"/>
          <w:u w:val="single"/>
        </w:rPr>
        <w:t xml:space="preserve"> / </w:t>
      </w:r>
      <w:r>
        <w:rPr>
          <w:rFonts w:hint="default" w:ascii="Times New Roman" w:hAnsi="Times New Roman" w:eastAsia="宋体" w:cs="Times New Roman"/>
          <w:color w:val="auto"/>
          <w:kern w:val="0"/>
          <w:sz w:val="22"/>
          <w:szCs w:val="22"/>
          <w:highlight w:val="none"/>
          <w:u w:val="single"/>
          <w:lang w:val="en-US" w:eastAsia="zh-CN" w:bidi="ar"/>
        </w:rPr>
        <w:t xml:space="preserve">                </w:t>
      </w:r>
    </w:p>
    <w:p w14:paraId="13EB60FE">
      <w:pPr>
        <w:pStyle w:val="4"/>
        <w:numPr>
          <w:ilvl w:val="0"/>
          <w:numId w:val="0"/>
        </w:numPr>
        <w:tabs>
          <w:tab w:val="left" w:pos="360"/>
          <w:tab w:val="left" w:pos="420"/>
          <w:tab w:val="left" w:pos="576"/>
        </w:tabs>
        <w:spacing w:line="420" w:lineRule="exact"/>
        <w:rPr>
          <w:rFonts w:hint="default" w:ascii="Times New Roman" w:hAnsi="Times New Roman" w:cs="Times New Roman"/>
          <w:b/>
          <w:bCs/>
          <w:color w:val="auto"/>
          <w:sz w:val="22"/>
          <w:szCs w:val="22"/>
          <w:highlight w:val="none"/>
        </w:rPr>
      </w:pPr>
      <w:bookmarkStart w:id="395" w:name="_Toc31649"/>
      <w:bookmarkStart w:id="396" w:name="_Toc1227286704"/>
      <w:r>
        <w:rPr>
          <w:rFonts w:hint="default" w:ascii="Times New Roman" w:hAnsi="Times New Roman" w:cs="Times New Roman"/>
          <w:b/>
          <w:bCs/>
          <w:color w:val="auto"/>
          <w:sz w:val="22"/>
          <w:szCs w:val="22"/>
          <w:highlight w:val="none"/>
        </w:rPr>
        <w:t>50. 材料和工程设备的检验试验</w:t>
      </w:r>
      <w:bookmarkEnd w:id="394"/>
      <w:bookmarkEnd w:id="395"/>
      <w:bookmarkEnd w:id="396"/>
    </w:p>
    <w:p w14:paraId="027AD133">
      <w:pPr>
        <w:spacing w:line="420" w:lineRule="exact"/>
        <w:ind w:firstLine="110" w:firstLineChars="50"/>
        <w:rPr>
          <w:rFonts w:hint="default" w:ascii="Times New Roman" w:hAnsi="Times New Roman" w:cs="Times New Roman"/>
          <w:b/>
          <w:bCs/>
          <w:color w:val="auto"/>
          <w:kern w:val="0"/>
          <w:sz w:val="22"/>
          <w:szCs w:val="22"/>
          <w:highlight w:val="none"/>
        </w:rPr>
      </w:pPr>
    </w:p>
    <w:p w14:paraId="7C1F7810">
      <w:pPr>
        <w:spacing w:line="420" w:lineRule="exact"/>
        <w:ind w:firstLine="110" w:firstLineChars="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50.2 见证取样检验试验的材料和工程设备</w:t>
      </w:r>
    </w:p>
    <w:p w14:paraId="22B6EFA5">
      <w:pPr>
        <w:spacing w:line="420" w:lineRule="exact"/>
        <w:ind w:firstLine="110" w:firstLineChars="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（1） 种类：</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u w:val="single"/>
          <w:lang w:eastAsia="zh-CN"/>
        </w:rPr>
        <w:t>详见发包人委托第三方检验检测机构的合同</w:t>
      </w:r>
      <w:r>
        <w:rPr>
          <w:rFonts w:hint="default" w:ascii="Times New Roman" w:hAnsi="Times New Roman" w:cs="Times New Roman"/>
          <w:color w:val="auto"/>
          <w:kern w:val="0"/>
          <w:sz w:val="22"/>
          <w:szCs w:val="22"/>
          <w:highlight w:val="none"/>
          <w:u w:val="single"/>
        </w:rPr>
        <w:t xml:space="preserve">                         </w:t>
      </w:r>
    </w:p>
    <w:p w14:paraId="46BF2A36">
      <w:pPr>
        <w:spacing w:line="420" w:lineRule="exact"/>
        <w:ind w:firstLine="110" w:firstLineChars="50"/>
        <w:rPr>
          <w:rFonts w:hint="default" w:ascii="Times New Roman" w:hAnsi="Times New Roman" w:cs="Times New Roman"/>
          <w:color w:val="auto"/>
          <w:kern w:val="0"/>
          <w:sz w:val="22"/>
          <w:szCs w:val="22"/>
          <w:highlight w:val="none"/>
        </w:rPr>
      </w:pPr>
    </w:p>
    <w:p w14:paraId="54124F80">
      <w:pPr>
        <w:spacing w:line="420" w:lineRule="exact"/>
        <w:ind w:firstLine="110" w:firstLineChars="50"/>
        <w:rPr>
          <w:rFonts w:hint="default" w:ascii="Times New Roman" w:hAnsi="Times New Roman" w:cs="Times New Roman"/>
          <w:color w:val="auto"/>
          <w:kern w:val="0"/>
          <w:sz w:val="22"/>
          <w:szCs w:val="22"/>
          <w:highlight w:val="none"/>
          <w:u w:val="single"/>
        </w:rPr>
      </w:pPr>
      <w:r>
        <w:rPr>
          <w:rFonts w:hint="default" w:ascii="Times New Roman" w:hAnsi="Times New Roman" w:cs="Times New Roman"/>
          <w:color w:val="auto"/>
          <w:kern w:val="0"/>
          <w:sz w:val="22"/>
          <w:szCs w:val="22"/>
          <w:highlight w:val="none"/>
        </w:rPr>
        <w:t xml:space="preserve">  （2） 检测机构：</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u w:val="single"/>
          <w:lang w:eastAsia="zh-CN"/>
        </w:rPr>
        <w:t>详见发包人委托第三方检验检测机构的合同</w:t>
      </w:r>
      <w:r>
        <w:rPr>
          <w:rFonts w:hint="default" w:ascii="Times New Roman" w:hAnsi="Times New Roman" w:cs="Times New Roman"/>
          <w:color w:val="auto"/>
          <w:kern w:val="0"/>
          <w:sz w:val="22"/>
          <w:szCs w:val="22"/>
          <w:highlight w:val="none"/>
          <w:u w:val="single"/>
        </w:rPr>
        <w:t xml:space="preserve">                       </w:t>
      </w:r>
    </w:p>
    <w:p w14:paraId="04774CB7">
      <w:pPr>
        <w:spacing w:line="420" w:lineRule="exact"/>
        <w:ind w:firstLine="110" w:firstLineChars="50"/>
        <w:rPr>
          <w:rFonts w:hint="default" w:ascii="Times New Roman" w:hAnsi="Times New Roman" w:cs="Times New Roman"/>
          <w:color w:val="auto"/>
          <w:sz w:val="22"/>
          <w:szCs w:val="22"/>
          <w:highlight w:val="none"/>
          <w:u w:val="single"/>
        </w:rPr>
      </w:pPr>
    </w:p>
    <w:p w14:paraId="7994F33F">
      <w:pPr>
        <w:keepNext w:val="0"/>
        <w:keepLines w:val="0"/>
        <w:pageBreakBefore w:val="0"/>
        <w:widowControl w:val="0"/>
        <w:kinsoku/>
        <w:wordWrap/>
        <w:overflowPunct/>
        <w:topLinePunct w:val="0"/>
        <w:autoSpaceDE/>
        <w:autoSpaceDN/>
        <w:bidi w:val="0"/>
        <w:adjustRightInd/>
        <w:snapToGrid/>
        <w:spacing w:line="420" w:lineRule="exact"/>
        <w:ind w:firstLine="440" w:firstLineChars="200"/>
        <w:textAlignment w:val="auto"/>
        <w:rPr>
          <w:rFonts w:hint="default" w:ascii="Times New Roman" w:hAnsi="Times New Roman" w:cs="Times New Roman"/>
          <w:color w:val="auto"/>
          <w:sz w:val="22"/>
          <w:szCs w:val="22"/>
          <w:highlight w:val="none"/>
          <w:u w:val="single"/>
        </w:rPr>
      </w:pPr>
      <w:r>
        <w:rPr>
          <w:rFonts w:hint="default" w:ascii="Times New Roman" w:hAnsi="Times New Roman" w:cs="Times New Roman"/>
          <w:color w:val="auto"/>
          <w:sz w:val="22"/>
          <w:szCs w:val="22"/>
          <w:highlight w:val="none"/>
          <w:u w:val="single"/>
        </w:rPr>
        <w:t>50.4施工过程中材料和工程设备等产品的检验试验，合格的，检验试验费由发包人承担。不合格的，发包人供应的，检验试验费由发包人承担；承包人采购的，检验试验费由承包人承担。</w:t>
      </w:r>
    </w:p>
    <w:p w14:paraId="54F59C86">
      <w:pPr>
        <w:pStyle w:val="4"/>
        <w:numPr>
          <w:ilvl w:val="0"/>
          <w:numId w:val="0"/>
        </w:numPr>
        <w:tabs>
          <w:tab w:val="left" w:pos="360"/>
          <w:tab w:val="left" w:pos="420"/>
          <w:tab w:val="left" w:pos="576"/>
        </w:tabs>
        <w:spacing w:line="420" w:lineRule="exact"/>
        <w:rPr>
          <w:rFonts w:hint="default" w:ascii="Times New Roman" w:hAnsi="Times New Roman" w:cs="Times New Roman"/>
          <w:b/>
          <w:bCs/>
          <w:color w:val="auto"/>
          <w:sz w:val="22"/>
          <w:szCs w:val="22"/>
          <w:highlight w:val="none"/>
        </w:rPr>
      </w:pPr>
      <w:bookmarkStart w:id="397" w:name="_Toc469384111"/>
      <w:bookmarkStart w:id="398" w:name="_Toc361505128"/>
      <w:bookmarkStart w:id="399" w:name="_Toc24103"/>
      <w:r>
        <w:rPr>
          <w:rFonts w:hint="default" w:ascii="Times New Roman" w:hAnsi="Times New Roman" w:cs="Times New Roman"/>
          <w:b/>
          <w:bCs/>
          <w:color w:val="auto"/>
          <w:sz w:val="22"/>
          <w:szCs w:val="22"/>
          <w:highlight w:val="none"/>
        </w:rPr>
        <w:t>51. 施工设备和临时设施</w:t>
      </w:r>
      <w:bookmarkEnd w:id="397"/>
      <w:bookmarkEnd w:id="398"/>
      <w:bookmarkEnd w:id="399"/>
    </w:p>
    <w:p w14:paraId="45B93989">
      <w:pPr>
        <w:spacing w:line="420" w:lineRule="exact"/>
        <w:ind w:firstLine="110" w:firstLineChars="50"/>
        <w:rPr>
          <w:rFonts w:hint="default" w:ascii="Times New Roman" w:hAnsi="Times New Roman" w:cs="Times New Roman"/>
          <w:color w:val="auto"/>
          <w:sz w:val="22"/>
          <w:szCs w:val="22"/>
          <w:highlight w:val="none"/>
        </w:rPr>
      </w:pPr>
    </w:p>
    <w:p w14:paraId="674D2ED4">
      <w:pPr>
        <w:spacing w:line="420" w:lineRule="exact"/>
        <w:ind w:firstLine="110" w:firstLineChars="5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 xml:space="preserve">  51.1 承包人配置施工设备和临时设施</w:t>
      </w:r>
    </w:p>
    <w:p w14:paraId="6ECF4428">
      <w:pPr>
        <w:spacing w:line="420" w:lineRule="exact"/>
        <w:ind w:firstLine="110" w:firstLineChars="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sz w:val="22"/>
          <w:szCs w:val="22"/>
          <w:highlight w:val="none"/>
        </w:rPr>
        <w:t xml:space="preserve">  </w:t>
      </w:r>
      <w:r>
        <w:rPr>
          <w:rFonts w:hint="default" w:ascii="Times New Roman" w:hAnsi="Times New Roman" w:eastAsia="宋体" w:cs="Times New Roman"/>
          <w:color w:val="auto"/>
          <w:sz w:val="22"/>
          <w:szCs w:val="22"/>
          <w:highlight w:val="none"/>
          <w:lang w:val="en-US" w:eastAsia="zh-CN" w:bidi="ar"/>
        </w:rPr>
        <w:t>☑</w:t>
      </w:r>
      <w:r>
        <w:rPr>
          <w:rFonts w:hint="default" w:ascii="Times New Roman" w:hAnsi="Times New Roman" w:cs="Times New Roman"/>
          <w:color w:val="auto"/>
          <w:kern w:val="0"/>
          <w:sz w:val="22"/>
          <w:szCs w:val="22"/>
          <w:highlight w:val="none"/>
        </w:rPr>
        <w:t xml:space="preserve"> 按通用条款规定，承包人承担修建临时设施的费用。</w:t>
      </w:r>
    </w:p>
    <w:p w14:paraId="0ABD3725">
      <w:pPr>
        <w:spacing w:line="420" w:lineRule="exact"/>
        <w:ind w:firstLine="110" w:firstLineChars="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w:t>
      </w:r>
      <w:r>
        <w:rPr>
          <w:rFonts w:hint="default" w:ascii="Times New Roman" w:hAnsi="Times New Roman" w:eastAsia="宋体" w:cs="Times New Roman"/>
          <w:color w:val="auto"/>
          <w:sz w:val="22"/>
          <w:szCs w:val="22"/>
          <w:highlight w:val="none"/>
          <w:lang w:val="en-US" w:eastAsia="zh-CN" w:bidi="ar"/>
        </w:rPr>
        <w:t>☑</w:t>
      </w:r>
      <w:r>
        <w:rPr>
          <w:rFonts w:hint="default" w:ascii="Times New Roman" w:hAnsi="Times New Roman" w:cs="Times New Roman"/>
          <w:color w:val="auto"/>
          <w:kern w:val="0"/>
          <w:sz w:val="22"/>
          <w:szCs w:val="22"/>
          <w:highlight w:val="none"/>
        </w:rPr>
        <w:t xml:space="preserve"> 另作约定：</w:t>
      </w:r>
      <w:r>
        <w:rPr>
          <w:rFonts w:hint="default" w:ascii="Times New Roman" w:hAnsi="Times New Roman" w:cs="Times New Roman"/>
          <w:color w:val="auto"/>
          <w:kern w:val="0"/>
          <w:sz w:val="22"/>
          <w:szCs w:val="22"/>
          <w:highlight w:val="none"/>
          <w:u w:val="single"/>
        </w:rPr>
        <w:t>承包人须按照工程和场地的实际情况修建临时施工通道和租用各类大型吊机，所有修建临时设施和租购起重运输设备的费用均由承包人承担。</w:t>
      </w:r>
    </w:p>
    <w:p w14:paraId="71EB5252">
      <w:pPr>
        <w:spacing w:line="420" w:lineRule="exact"/>
        <w:ind w:firstLine="110" w:firstLineChars="50"/>
        <w:rPr>
          <w:rFonts w:hint="default" w:ascii="Times New Roman" w:hAnsi="Times New Roman" w:cs="Times New Roman"/>
          <w:color w:val="auto"/>
          <w:kern w:val="0"/>
          <w:sz w:val="22"/>
          <w:szCs w:val="22"/>
          <w:highlight w:val="none"/>
        </w:rPr>
      </w:pPr>
    </w:p>
    <w:p w14:paraId="6E02F04B">
      <w:pPr>
        <w:spacing w:line="420" w:lineRule="exact"/>
        <w:ind w:firstLine="110" w:firstLineChars="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51.2 发包人提供的施工设备和临时设施：</w:t>
      </w:r>
      <w:r>
        <w:rPr>
          <w:rFonts w:hint="default" w:ascii="Times New Roman" w:hAnsi="Times New Roman" w:cs="Times New Roman"/>
          <w:color w:val="auto"/>
          <w:kern w:val="0"/>
          <w:sz w:val="22"/>
          <w:szCs w:val="22"/>
          <w:highlight w:val="none"/>
          <w:u w:val="single"/>
        </w:rPr>
        <w:t xml:space="preserve"> 无 </w:t>
      </w:r>
    </w:p>
    <w:p w14:paraId="1ECEFC3B">
      <w:pPr>
        <w:pStyle w:val="4"/>
        <w:numPr>
          <w:ilvl w:val="0"/>
          <w:numId w:val="0"/>
        </w:numPr>
        <w:tabs>
          <w:tab w:val="left" w:pos="360"/>
          <w:tab w:val="left" w:pos="420"/>
          <w:tab w:val="left" w:pos="576"/>
        </w:tabs>
        <w:spacing w:line="420" w:lineRule="exact"/>
        <w:rPr>
          <w:rFonts w:hint="default" w:ascii="Times New Roman" w:hAnsi="Times New Roman" w:cs="Times New Roman"/>
          <w:b/>
          <w:bCs/>
          <w:color w:val="auto"/>
          <w:sz w:val="22"/>
          <w:szCs w:val="22"/>
          <w:highlight w:val="none"/>
        </w:rPr>
      </w:pPr>
      <w:bookmarkStart w:id="400" w:name="_Toc30002"/>
      <w:bookmarkStart w:id="401" w:name="_Toc469384112"/>
      <w:bookmarkStart w:id="402" w:name="_Toc376295733"/>
      <w:r>
        <w:rPr>
          <w:rFonts w:hint="default" w:ascii="Times New Roman" w:hAnsi="Times New Roman" w:cs="Times New Roman"/>
          <w:b/>
          <w:bCs/>
          <w:color w:val="auto"/>
          <w:sz w:val="22"/>
          <w:szCs w:val="22"/>
          <w:highlight w:val="none"/>
        </w:rPr>
        <w:t>53. 隐蔽工程和中间验收</w:t>
      </w:r>
      <w:bookmarkEnd w:id="400"/>
      <w:bookmarkEnd w:id="401"/>
      <w:bookmarkEnd w:id="402"/>
    </w:p>
    <w:p w14:paraId="6C624A86">
      <w:pPr>
        <w:spacing w:line="420" w:lineRule="exact"/>
        <w:ind w:firstLine="110" w:firstLineChars="50"/>
        <w:rPr>
          <w:rFonts w:hint="default" w:ascii="Times New Roman" w:hAnsi="Times New Roman" w:cs="Times New Roman"/>
          <w:color w:val="auto"/>
          <w:kern w:val="0"/>
          <w:sz w:val="22"/>
          <w:szCs w:val="22"/>
          <w:highlight w:val="none"/>
        </w:rPr>
      </w:pPr>
    </w:p>
    <w:p w14:paraId="77F50B3D">
      <w:pPr>
        <w:spacing w:line="420" w:lineRule="exact"/>
        <w:ind w:left="120" w:leftChars="57"/>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隐蔽工程或中间验收部位未经专业监理工程师验收合格，不得隐蔽或继续施工，否则该部分工程被视为不合格，由此所产生的返工费用由承包人承担。</w:t>
      </w:r>
    </w:p>
    <w:p w14:paraId="6C3A15AA">
      <w:pPr>
        <w:spacing w:line="420" w:lineRule="exact"/>
        <w:ind w:firstLine="110" w:firstLineChars="50"/>
        <w:rPr>
          <w:rFonts w:hint="default" w:ascii="Times New Roman" w:hAnsi="Times New Roman" w:cs="Times New Roman"/>
          <w:color w:val="auto"/>
          <w:kern w:val="0"/>
          <w:sz w:val="22"/>
          <w:szCs w:val="22"/>
          <w:highlight w:val="none"/>
        </w:rPr>
      </w:pPr>
    </w:p>
    <w:p w14:paraId="6A5D8658">
      <w:pPr>
        <w:spacing w:line="420" w:lineRule="exact"/>
        <w:ind w:firstLine="110" w:firstLineChars="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53.1 中间验收的部位有：</w:t>
      </w:r>
      <w:r>
        <w:rPr>
          <w:rFonts w:hint="default" w:ascii="Times New Roman" w:hAnsi="Times New Roman" w:cs="Times New Roman"/>
          <w:color w:val="auto"/>
          <w:kern w:val="0"/>
          <w:sz w:val="22"/>
          <w:szCs w:val="22"/>
          <w:highlight w:val="none"/>
          <w:u w:val="single"/>
        </w:rPr>
        <w:t xml:space="preserve">                          /                                     </w:t>
      </w:r>
    </w:p>
    <w:p w14:paraId="222AD0B6">
      <w:pPr>
        <w:pStyle w:val="4"/>
        <w:numPr>
          <w:ilvl w:val="0"/>
          <w:numId w:val="0"/>
        </w:numPr>
        <w:tabs>
          <w:tab w:val="left" w:pos="360"/>
          <w:tab w:val="left" w:pos="420"/>
          <w:tab w:val="left" w:pos="576"/>
        </w:tabs>
        <w:spacing w:line="420" w:lineRule="exact"/>
        <w:rPr>
          <w:rFonts w:hint="default" w:ascii="Times New Roman" w:hAnsi="Times New Roman" w:cs="Times New Roman"/>
          <w:b/>
          <w:bCs/>
          <w:color w:val="auto"/>
          <w:sz w:val="22"/>
          <w:szCs w:val="22"/>
          <w:highlight w:val="none"/>
        </w:rPr>
      </w:pPr>
      <w:bookmarkStart w:id="403" w:name="_Toc2119025290"/>
      <w:bookmarkStart w:id="404" w:name="_Toc20330"/>
      <w:bookmarkStart w:id="405" w:name="_Toc469384113"/>
      <w:r>
        <w:rPr>
          <w:rFonts w:hint="default" w:ascii="Times New Roman" w:hAnsi="Times New Roman" w:cs="Times New Roman"/>
          <w:b/>
          <w:bCs/>
          <w:color w:val="auto"/>
          <w:sz w:val="22"/>
          <w:szCs w:val="22"/>
          <w:highlight w:val="none"/>
        </w:rPr>
        <w:t>55. 工程试车</w:t>
      </w:r>
      <w:bookmarkEnd w:id="403"/>
      <w:bookmarkEnd w:id="404"/>
      <w:bookmarkEnd w:id="405"/>
    </w:p>
    <w:p w14:paraId="197C7D93">
      <w:pPr>
        <w:spacing w:line="420" w:lineRule="exact"/>
        <w:ind w:firstLine="110" w:firstLineChars="50"/>
        <w:rPr>
          <w:rFonts w:hint="default" w:ascii="Times New Roman" w:hAnsi="Times New Roman" w:cs="Times New Roman"/>
          <w:color w:val="auto"/>
          <w:kern w:val="0"/>
          <w:sz w:val="22"/>
          <w:szCs w:val="22"/>
          <w:highlight w:val="none"/>
        </w:rPr>
      </w:pPr>
    </w:p>
    <w:p w14:paraId="2A1D1166">
      <w:pPr>
        <w:spacing w:line="420" w:lineRule="exact"/>
        <w:ind w:firstLine="110" w:firstLineChars="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55.1 试车内容</w:t>
      </w:r>
    </w:p>
    <w:p w14:paraId="66326751">
      <w:pPr>
        <w:spacing w:line="420" w:lineRule="exact"/>
        <w:ind w:firstLine="110" w:firstLineChars="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w:t>
      </w:r>
      <w:r>
        <w:rPr>
          <w:rFonts w:hint="default" w:ascii="Times New Roman" w:hAnsi="Times New Roman" w:cs="Times New Roman"/>
          <w:color w:val="auto"/>
          <w:kern w:val="0"/>
          <w:sz w:val="22"/>
          <w:szCs w:val="22"/>
          <w:highlight w:val="none"/>
          <w:lang w:eastAsia="zh-CN"/>
        </w:rPr>
        <w:t>□</w:t>
      </w:r>
      <w:r>
        <w:rPr>
          <w:rFonts w:hint="default" w:ascii="Times New Roman" w:hAnsi="Times New Roman" w:cs="Times New Roman"/>
          <w:color w:val="auto"/>
          <w:kern w:val="0"/>
          <w:sz w:val="22"/>
          <w:szCs w:val="22"/>
          <w:highlight w:val="none"/>
        </w:rPr>
        <w:t xml:space="preserve"> 不需要试车的，本条不适用。</w:t>
      </w:r>
    </w:p>
    <w:p w14:paraId="43C3F3B8">
      <w:pPr>
        <w:spacing w:line="420" w:lineRule="exact"/>
        <w:ind w:firstLine="110" w:firstLineChars="50"/>
        <w:rPr>
          <w:rFonts w:hint="default" w:ascii="Times New Roman" w:hAnsi="Times New Roman" w:cs="Times New Roman"/>
          <w:color w:val="auto"/>
          <w:kern w:val="0"/>
          <w:sz w:val="22"/>
          <w:szCs w:val="22"/>
          <w:highlight w:val="none"/>
          <w:u w:val="single"/>
        </w:rPr>
      </w:pPr>
      <w:r>
        <w:rPr>
          <w:rFonts w:hint="default" w:ascii="Times New Roman" w:hAnsi="Times New Roman" w:cs="Times New Roman"/>
          <w:color w:val="auto"/>
          <w:kern w:val="0"/>
          <w:sz w:val="22"/>
          <w:szCs w:val="22"/>
          <w:highlight w:val="none"/>
        </w:rPr>
        <w:t xml:space="preserve">  □ 需要试车的，试车的内容和要求：</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u w:val="single"/>
          <w:lang w:val="en-US" w:eastAsia="zh-CN"/>
        </w:rPr>
        <w:t xml:space="preserve">  </w:t>
      </w:r>
      <w:r>
        <w:rPr>
          <w:rFonts w:hint="default" w:ascii="Times New Roman" w:hAnsi="Times New Roman" w:cs="Times New Roman"/>
          <w:color w:val="auto"/>
          <w:kern w:val="0"/>
          <w:sz w:val="22"/>
          <w:szCs w:val="22"/>
          <w:highlight w:val="none"/>
          <w:u w:val="single"/>
        </w:rPr>
        <w:t xml:space="preserve">                              </w:t>
      </w:r>
    </w:p>
    <w:p w14:paraId="756ED2F7">
      <w:pPr>
        <w:pStyle w:val="4"/>
        <w:numPr>
          <w:ilvl w:val="0"/>
          <w:numId w:val="0"/>
        </w:numPr>
        <w:tabs>
          <w:tab w:val="left" w:pos="360"/>
          <w:tab w:val="left" w:pos="420"/>
          <w:tab w:val="left" w:pos="576"/>
        </w:tabs>
        <w:spacing w:line="420" w:lineRule="exact"/>
        <w:rPr>
          <w:rFonts w:hint="default" w:ascii="Times New Roman" w:hAnsi="Times New Roman" w:cs="Times New Roman"/>
          <w:b/>
          <w:bCs/>
          <w:color w:val="auto"/>
          <w:sz w:val="22"/>
          <w:szCs w:val="22"/>
          <w:highlight w:val="none"/>
        </w:rPr>
      </w:pPr>
      <w:bookmarkStart w:id="406" w:name="_Toc1137829822"/>
      <w:bookmarkStart w:id="407" w:name="_Toc4391"/>
      <w:bookmarkStart w:id="408" w:name="_Toc469384114"/>
      <w:r>
        <w:rPr>
          <w:rFonts w:hint="default" w:ascii="Times New Roman" w:hAnsi="Times New Roman" w:cs="Times New Roman"/>
          <w:b/>
          <w:bCs/>
          <w:color w:val="auto"/>
          <w:sz w:val="22"/>
          <w:szCs w:val="22"/>
          <w:highlight w:val="none"/>
        </w:rPr>
        <w:t>56．工程变更</w:t>
      </w:r>
      <w:bookmarkEnd w:id="406"/>
      <w:bookmarkEnd w:id="407"/>
      <w:bookmarkEnd w:id="408"/>
    </w:p>
    <w:p w14:paraId="7229E0AA">
      <w:pPr>
        <w:spacing w:line="420" w:lineRule="exact"/>
        <w:ind w:firstLine="110" w:firstLineChars="50"/>
        <w:rPr>
          <w:rFonts w:hint="default" w:ascii="Times New Roman" w:hAnsi="Times New Roman" w:cs="Times New Roman"/>
          <w:color w:val="auto"/>
          <w:kern w:val="0"/>
          <w:sz w:val="22"/>
          <w:szCs w:val="22"/>
          <w:highlight w:val="none"/>
        </w:rPr>
      </w:pPr>
    </w:p>
    <w:p w14:paraId="69CA2122">
      <w:pPr>
        <w:keepNext w:val="0"/>
        <w:keepLines w:val="0"/>
        <w:pageBreakBefore w:val="0"/>
        <w:widowControl w:val="0"/>
        <w:kinsoku/>
        <w:wordWrap/>
        <w:overflowPunct/>
        <w:topLinePunct w:val="0"/>
        <w:autoSpaceDE/>
        <w:autoSpaceDN/>
        <w:bidi w:val="0"/>
        <w:adjustRightInd/>
        <w:snapToGrid/>
        <w:spacing w:line="420" w:lineRule="exact"/>
        <w:ind w:firstLine="440" w:firstLineChars="200"/>
        <w:textAlignment w:val="auto"/>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56.4 承包人提出工程变更建议</w:t>
      </w:r>
    </w:p>
    <w:p w14:paraId="7AC6B521">
      <w:pPr>
        <w:spacing w:line="420" w:lineRule="exact"/>
        <w:ind w:firstLine="110" w:firstLineChars="50"/>
        <w:rPr>
          <w:rFonts w:hint="default" w:ascii="Times New Roman" w:hAnsi="Times New Roman" w:cs="Times New Roman"/>
          <w:color w:val="auto"/>
          <w:kern w:val="0"/>
          <w:sz w:val="22"/>
          <w:szCs w:val="22"/>
          <w:highlight w:val="none"/>
          <w:u w:val="single"/>
        </w:rPr>
      </w:pPr>
      <w:r>
        <w:rPr>
          <w:rFonts w:hint="default" w:ascii="Times New Roman" w:hAnsi="Times New Roman" w:cs="Times New Roman"/>
          <w:color w:val="auto"/>
          <w:kern w:val="0"/>
          <w:sz w:val="22"/>
          <w:szCs w:val="22"/>
          <w:highlight w:val="none"/>
        </w:rPr>
        <w:t xml:space="preserve">   发包人采纳承包人建议带来利益的计奖方法：</w:t>
      </w:r>
      <w:r>
        <w:rPr>
          <w:rFonts w:hint="default" w:ascii="Times New Roman" w:hAnsi="Times New Roman" w:cs="Times New Roman"/>
          <w:color w:val="auto"/>
          <w:kern w:val="0"/>
          <w:sz w:val="22"/>
          <w:szCs w:val="22"/>
          <w:highlight w:val="none"/>
          <w:u w:val="single"/>
        </w:rPr>
        <w:t xml:space="preserve">             /                                </w:t>
      </w:r>
    </w:p>
    <w:p w14:paraId="3705D962">
      <w:pPr>
        <w:keepNext w:val="0"/>
        <w:keepLines w:val="0"/>
        <w:pageBreakBefore w:val="0"/>
        <w:widowControl w:val="0"/>
        <w:kinsoku/>
        <w:wordWrap/>
        <w:overflowPunct/>
        <w:topLinePunct w:val="0"/>
        <w:autoSpaceDE/>
        <w:autoSpaceDN/>
        <w:bidi w:val="0"/>
        <w:adjustRightInd/>
        <w:snapToGrid/>
        <w:spacing w:line="420" w:lineRule="exact"/>
        <w:ind w:firstLine="440" w:firstLineChars="200"/>
        <w:textAlignment w:val="auto"/>
        <w:rPr>
          <w:rFonts w:hint="default" w:ascii="Times New Roman" w:hAnsi="Times New Roman" w:cs="Times New Roman"/>
          <w:color w:val="auto"/>
          <w:kern w:val="0"/>
          <w:sz w:val="22"/>
          <w:szCs w:val="22"/>
          <w:highlight w:val="none"/>
          <w:u w:val="single"/>
        </w:rPr>
      </w:pPr>
      <w:r>
        <w:rPr>
          <w:rFonts w:hint="default" w:ascii="Times New Roman" w:hAnsi="Times New Roman" w:eastAsia="宋体" w:cs="Times New Roman"/>
          <w:color w:val="auto"/>
          <w:kern w:val="0"/>
          <w:sz w:val="22"/>
          <w:szCs w:val="22"/>
          <w:highlight w:val="none"/>
          <w:lang w:val="en-US" w:eastAsia="zh-CN" w:bidi="ar-SA"/>
        </w:rPr>
        <w:t xml:space="preserve"> 56.6  其他要求：工程变更的相关规则及流程按照《广州市荔湾区水务工程设计变更管理细则</w:t>
      </w:r>
      <w:r>
        <w:rPr>
          <w:rFonts w:hint="default" w:ascii="Times New Roman" w:hAnsi="Times New Roman" w:cs="Times New Roman"/>
          <w:color w:val="auto"/>
          <w:kern w:val="0"/>
          <w:sz w:val="22"/>
          <w:szCs w:val="22"/>
          <w:highlight w:val="none"/>
          <w:lang w:val="en-US" w:eastAsia="zh-CN" w:bidi="ar-SA"/>
        </w:rPr>
        <w:t>（</w:t>
      </w:r>
      <w:r>
        <w:rPr>
          <w:rFonts w:hint="default" w:ascii="Times New Roman" w:hAnsi="Times New Roman" w:eastAsia="宋体" w:cs="Times New Roman"/>
          <w:color w:val="auto"/>
          <w:kern w:val="0"/>
          <w:sz w:val="22"/>
          <w:szCs w:val="22"/>
          <w:highlight w:val="none"/>
          <w:lang w:val="en-US" w:eastAsia="zh-CN" w:bidi="ar-SA"/>
        </w:rPr>
        <w:t>试行）》或其更新文件的相关规定执行</w:t>
      </w:r>
    </w:p>
    <w:p w14:paraId="58CA20DD">
      <w:pPr>
        <w:pStyle w:val="4"/>
        <w:numPr>
          <w:ilvl w:val="0"/>
          <w:numId w:val="0"/>
        </w:numPr>
        <w:tabs>
          <w:tab w:val="left" w:pos="360"/>
          <w:tab w:val="left" w:pos="420"/>
          <w:tab w:val="left" w:pos="576"/>
        </w:tabs>
        <w:spacing w:line="420" w:lineRule="exact"/>
        <w:rPr>
          <w:rFonts w:hint="default" w:ascii="Times New Roman" w:hAnsi="Times New Roman" w:cs="Times New Roman"/>
          <w:b/>
          <w:bCs/>
          <w:color w:val="auto"/>
          <w:sz w:val="22"/>
          <w:szCs w:val="22"/>
          <w:highlight w:val="none"/>
        </w:rPr>
      </w:pPr>
      <w:bookmarkStart w:id="409" w:name="_Toc3952"/>
      <w:bookmarkStart w:id="410" w:name="_Toc469384115"/>
      <w:bookmarkStart w:id="411" w:name="_Toc1188777794"/>
      <w:r>
        <w:rPr>
          <w:rFonts w:hint="default" w:ascii="Times New Roman" w:hAnsi="Times New Roman" w:cs="Times New Roman"/>
          <w:b/>
          <w:bCs/>
          <w:color w:val="auto"/>
          <w:sz w:val="22"/>
          <w:szCs w:val="22"/>
          <w:highlight w:val="none"/>
        </w:rPr>
        <w:t>★58. 竣工验收</w:t>
      </w:r>
      <w:bookmarkEnd w:id="409"/>
      <w:bookmarkEnd w:id="410"/>
      <w:bookmarkEnd w:id="411"/>
    </w:p>
    <w:p w14:paraId="586F3C8E">
      <w:pPr>
        <w:spacing w:line="420" w:lineRule="exact"/>
        <w:ind w:firstLine="110" w:firstLineChars="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w:t>
      </w:r>
      <w:r>
        <w:rPr>
          <w:rFonts w:hint="default" w:ascii="Times New Roman" w:hAnsi="Times New Roman" w:cs="Times New Roman"/>
          <w:b/>
          <w:bCs/>
          <w:color w:val="auto"/>
          <w:sz w:val="22"/>
          <w:szCs w:val="22"/>
          <w:highlight w:val="none"/>
        </w:rPr>
        <w:t>★</w:t>
      </w:r>
      <w:r>
        <w:rPr>
          <w:rFonts w:hint="default" w:ascii="Times New Roman" w:hAnsi="Times New Roman" w:cs="Times New Roman"/>
          <w:color w:val="auto"/>
          <w:kern w:val="0"/>
          <w:sz w:val="22"/>
          <w:szCs w:val="22"/>
          <w:highlight w:val="none"/>
        </w:rPr>
        <w:t xml:space="preserve"> 58.1 竣工验收标准</w:t>
      </w:r>
    </w:p>
    <w:p w14:paraId="041C5A79">
      <w:pPr>
        <w:spacing w:line="420" w:lineRule="exact"/>
        <w:ind w:firstLine="110" w:firstLineChars="50"/>
        <w:rPr>
          <w:rFonts w:hint="default" w:ascii="Times New Roman" w:hAnsi="Times New Roman" w:cs="Times New Roman"/>
          <w:color w:val="auto"/>
          <w:kern w:val="0"/>
          <w:sz w:val="22"/>
          <w:szCs w:val="22"/>
          <w:highlight w:val="none"/>
          <w:u w:val="single"/>
        </w:rPr>
      </w:pPr>
      <w:r>
        <w:rPr>
          <w:rFonts w:hint="default" w:ascii="Times New Roman" w:hAnsi="Times New Roman" w:cs="Times New Roman"/>
          <w:color w:val="auto"/>
          <w:kern w:val="0"/>
          <w:sz w:val="22"/>
          <w:szCs w:val="22"/>
          <w:highlight w:val="none"/>
        </w:rPr>
        <w:t xml:space="preserve">   合同工程竣工验收标准：</w:t>
      </w:r>
      <w:r>
        <w:rPr>
          <w:rFonts w:hint="default" w:ascii="Times New Roman" w:hAnsi="Times New Roman" w:cs="Times New Roman"/>
          <w:color w:val="auto"/>
          <w:kern w:val="0"/>
          <w:sz w:val="22"/>
          <w:szCs w:val="22"/>
          <w:highlight w:val="none"/>
          <w:u w:val="single"/>
        </w:rPr>
        <w:t>按照国家或行业、省、市的有关规定。</w:t>
      </w:r>
    </w:p>
    <w:p w14:paraId="1281BFBB">
      <w:pPr>
        <w:spacing w:line="420" w:lineRule="exact"/>
        <w:rPr>
          <w:rFonts w:hint="default" w:ascii="Times New Roman" w:hAnsi="Times New Roman" w:cs="Times New Roman"/>
          <w:color w:val="auto"/>
          <w:kern w:val="0"/>
          <w:sz w:val="22"/>
          <w:szCs w:val="22"/>
          <w:highlight w:val="none"/>
        </w:rPr>
      </w:pPr>
    </w:p>
    <w:p w14:paraId="63E6A159">
      <w:pPr>
        <w:spacing w:line="420" w:lineRule="exact"/>
        <w:ind w:firstLine="110" w:firstLineChars="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w:t>
      </w:r>
      <w:r>
        <w:rPr>
          <w:rFonts w:hint="default" w:ascii="Times New Roman" w:hAnsi="Times New Roman" w:cs="Times New Roman"/>
          <w:b/>
          <w:bCs/>
          <w:color w:val="auto"/>
          <w:sz w:val="22"/>
          <w:szCs w:val="22"/>
          <w:highlight w:val="none"/>
        </w:rPr>
        <w:t>★</w:t>
      </w:r>
      <w:r>
        <w:rPr>
          <w:rFonts w:hint="default" w:ascii="Times New Roman" w:hAnsi="Times New Roman" w:cs="Times New Roman"/>
          <w:color w:val="auto"/>
          <w:kern w:val="0"/>
          <w:sz w:val="22"/>
          <w:szCs w:val="22"/>
          <w:highlight w:val="none"/>
        </w:rPr>
        <w:t>58.8 单位工程和工程部位验收</w:t>
      </w:r>
    </w:p>
    <w:p w14:paraId="07847A9D">
      <w:pPr>
        <w:spacing w:line="420" w:lineRule="exact"/>
        <w:ind w:firstLine="110" w:firstLineChars="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 </w:t>
      </w:r>
      <w:r>
        <w:rPr>
          <w:rFonts w:hint="default" w:ascii="Times New Roman" w:hAnsi="Times New Roman" w:cs="Times New Roman"/>
          <w:color w:val="auto"/>
          <w:kern w:val="0"/>
          <w:sz w:val="22"/>
          <w:szCs w:val="22"/>
          <w:highlight w:val="none"/>
          <w:lang w:eastAsia="zh-CN"/>
        </w:rPr>
        <w:t>合</w:t>
      </w:r>
      <w:r>
        <w:rPr>
          <w:rFonts w:hint="default" w:ascii="Times New Roman" w:hAnsi="Times New Roman" w:cs="Times New Roman"/>
          <w:color w:val="auto"/>
          <w:kern w:val="0"/>
          <w:sz w:val="22"/>
          <w:szCs w:val="22"/>
          <w:highlight w:val="none"/>
        </w:rPr>
        <w:t>同工程无单位工程、无工程部位提前验收的，本款不适用。</w:t>
      </w:r>
    </w:p>
    <w:p w14:paraId="5661ED13">
      <w:pPr>
        <w:spacing w:line="420" w:lineRule="exact"/>
        <w:ind w:firstLine="110" w:firstLineChars="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 合同工程单位工程或工程部位需提前验收的，各单位工程或工程部位的名称、竣工验收时间和范围如下：</w:t>
      </w:r>
    </w:p>
    <w:p w14:paraId="0B35DCB0">
      <w:pPr>
        <w:spacing w:line="420" w:lineRule="exact"/>
        <w:ind w:firstLine="110" w:firstLineChars="50"/>
        <w:rPr>
          <w:rFonts w:hint="default" w:ascii="Times New Roman" w:hAnsi="Times New Roman" w:cs="Times New Roman"/>
          <w:color w:val="auto"/>
          <w:kern w:val="0"/>
          <w:sz w:val="22"/>
          <w:szCs w:val="22"/>
          <w:highlight w:val="none"/>
          <w:u w:val="single"/>
        </w:rPr>
      </w:pPr>
      <w:r>
        <w:rPr>
          <w:rFonts w:hint="default" w:ascii="Times New Roman" w:hAnsi="Times New Roman" w:cs="Times New Roman"/>
          <w:color w:val="auto"/>
          <w:kern w:val="0"/>
          <w:sz w:val="22"/>
          <w:szCs w:val="22"/>
          <w:highlight w:val="none"/>
        </w:rPr>
        <w:t xml:space="preserve"> （1）</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rPr>
        <w:t xml:space="preserve"> （名称）工程或部位，竣工验收时间为 </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rPr>
        <w:t>，其范围包括：</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rPr>
        <w:t xml:space="preserve"> </w:t>
      </w:r>
    </w:p>
    <w:p w14:paraId="0B72D423">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sz w:val="22"/>
          <w:szCs w:val="22"/>
          <w:highlight w:val="none"/>
        </w:rPr>
        <w:t xml:space="preserve">  </w:t>
      </w:r>
      <w:r>
        <w:rPr>
          <w:rFonts w:hint="default" w:ascii="Times New Roman" w:hAnsi="Times New Roman" w:cs="Times New Roman"/>
          <w:color w:val="auto"/>
          <w:kern w:val="0"/>
          <w:sz w:val="22"/>
          <w:szCs w:val="22"/>
          <w:highlight w:val="none"/>
        </w:rPr>
        <w:t>（2）</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rPr>
        <w:t xml:space="preserve"> （名称）工程或部位，竣工验收时间为  </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rPr>
        <w:t>，其范围包括：</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rPr>
        <w:t xml:space="preserve">                                                  </w:t>
      </w:r>
    </w:p>
    <w:p w14:paraId="28198D8F">
      <w:pPr>
        <w:spacing w:line="420" w:lineRule="exact"/>
        <w:rPr>
          <w:rFonts w:hint="default" w:ascii="Times New Roman" w:hAnsi="Times New Roman" w:cs="Times New Roman"/>
          <w:color w:val="auto"/>
          <w:kern w:val="0"/>
          <w:sz w:val="22"/>
          <w:szCs w:val="22"/>
          <w:highlight w:val="none"/>
        </w:rPr>
      </w:pPr>
    </w:p>
    <w:p w14:paraId="02066C6A">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58.9 施工期运行</w:t>
      </w:r>
    </w:p>
    <w:p w14:paraId="32C207F2">
      <w:pPr>
        <w:spacing w:line="420" w:lineRule="exact"/>
        <w:ind w:firstLine="110" w:firstLineChars="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 合同工程无单位工程、无工程部位在施工期运行的，本款不适用。</w:t>
      </w:r>
    </w:p>
    <w:p w14:paraId="169739E3">
      <w:pPr>
        <w:spacing w:line="420" w:lineRule="exact"/>
        <w:ind w:firstLine="110" w:firstLineChars="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 合同工程单位工程或工程部位需在施工期运行的，各单位工程或工程部位的名称、运行时间如下：</w:t>
      </w:r>
    </w:p>
    <w:p w14:paraId="1303DED9">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（1）</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rPr>
        <w:t xml:space="preserve"> （名称）工程或部位，运行时间为</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rPr>
        <w:t>；</w:t>
      </w:r>
    </w:p>
    <w:p w14:paraId="3E2C6D23">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（2）</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rPr>
        <w:t xml:space="preserve"> （名称）工程或部位，运行时间为</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rPr>
        <w:t>。</w:t>
      </w:r>
    </w:p>
    <w:p w14:paraId="072B01FF">
      <w:pPr>
        <w:spacing w:line="420" w:lineRule="exact"/>
        <w:rPr>
          <w:rFonts w:hint="default" w:ascii="Times New Roman" w:hAnsi="Times New Roman" w:cs="Times New Roman"/>
          <w:color w:val="auto"/>
          <w:kern w:val="0"/>
          <w:sz w:val="22"/>
          <w:szCs w:val="22"/>
          <w:highlight w:val="none"/>
        </w:rPr>
      </w:pPr>
    </w:p>
    <w:p w14:paraId="26A68482">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58.10 竣工清场</w:t>
      </w:r>
    </w:p>
    <w:p w14:paraId="7C0C42F0">
      <w:pPr>
        <w:spacing w:line="420" w:lineRule="exact"/>
        <w:ind w:firstLine="110" w:firstLineChars="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w:t>
      </w:r>
      <w:r>
        <w:rPr>
          <w:rFonts w:hint="default" w:ascii="Times New Roman" w:hAnsi="Times New Roman" w:cs="Times New Roman"/>
          <w:color w:val="auto"/>
          <w:kern w:val="0"/>
          <w:sz w:val="22"/>
          <w:szCs w:val="22"/>
          <w:highlight w:val="none"/>
          <w:lang w:val="en-US" w:eastAsia="zh-CN" w:bidi="ar"/>
        </w:rPr>
        <w:t>☑</w:t>
      </w:r>
      <w:r>
        <w:rPr>
          <w:rFonts w:hint="default" w:ascii="Times New Roman" w:hAnsi="Times New Roman" w:cs="Times New Roman"/>
          <w:color w:val="auto"/>
          <w:kern w:val="0"/>
          <w:sz w:val="22"/>
          <w:szCs w:val="22"/>
          <w:highlight w:val="none"/>
        </w:rPr>
        <w:t xml:space="preserve"> 按通用条款规定。</w:t>
      </w:r>
    </w:p>
    <w:p w14:paraId="7494629B">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 另作约定： </w:t>
      </w:r>
      <w:r>
        <w:rPr>
          <w:rFonts w:hint="default" w:ascii="Times New Roman" w:hAnsi="Times New Roman" w:cs="Times New Roman"/>
          <w:color w:val="auto"/>
          <w:kern w:val="0"/>
          <w:sz w:val="22"/>
          <w:szCs w:val="22"/>
          <w:highlight w:val="none"/>
          <w:u w:val="single"/>
        </w:rPr>
        <w:t xml:space="preserve">                                    /                                    </w:t>
      </w:r>
      <w:r>
        <w:rPr>
          <w:rFonts w:hint="default" w:ascii="Times New Roman" w:hAnsi="Times New Roman" w:cs="Times New Roman"/>
          <w:color w:val="auto"/>
          <w:kern w:val="0"/>
          <w:sz w:val="22"/>
          <w:szCs w:val="22"/>
          <w:highlight w:val="none"/>
        </w:rPr>
        <w:t xml:space="preserve">   </w:t>
      </w:r>
    </w:p>
    <w:p w14:paraId="12DFF085">
      <w:pPr>
        <w:spacing w:line="420" w:lineRule="exact"/>
        <w:rPr>
          <w:rFonts w:hint="default" w:ascii="Times New Roman" w:hAnsi="Times New Roman" w:cs="Times New Roman"/>
          <w:color w:val="auto"/>
          <w:kern w:val="0"/>
          <w:sz w:val="22"/>
          <w:szCs w:val="22"/>
          <w:highlight w:val="none"/>
        </w:rPr>
      </w:pPr>
    </w:p>
    <w:p w14:paraId="06E394EE">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58.11施工队伍的撤离</w:t>
      </w:r>
    </w:p>
    <w:p w14:paraId="5230DCC8">
      <w:pPr>
        <w:spacing w:line="420" w:lineRule="exact"/>
        <w:ind w:firstLine="110" w:firstLineChars="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w:t>
      </w:r>
      <w:r>
        <w:rPr>
          <w:rFonts w:hint="default" w:ascii="Times New Roman" w:hAnsi="Times New Roman" w:cs="Times New Roman"/>
          <w:color w:val="auto"/>
          <w:kern w:val="0"/>
          <w:sz w:val="22"/>
          <w:szCs w:val="22"/>
          <w:highlight w:val="none"/>
          <w:lang w:val="en-US" w:eastAsia="zh-CN" w:bidi="ar"/>
        </w:rPr>
        <w:t>☑</w:t>
      </w:r>
      <w:r>
        <w:rPr>
          <w:rFonts w:hint="default" w:ascii="Times New Roman" w:hAnsi="Times New Roman" w:cs="Times New Roman"/>
          <w:color w:val="auto"/>
          <w:kern w:val="0"/>
          <w:sz w:val="22"/>
          <w:szCs w:val="22"/>
          <w:highlight w:val="none"/>
        </w:rPr>
        <w:t xml:space="preserve"> 按通用条款规定，承包人的人员和施工设备全部撤离施工现场。</w:t>
      </w:r>
    </w:p>
    <w:p w14:paraId="79C49227">
      <w:pPr>
        <w:spacing w:line="420" w:lineRule="exact"/>
        <w:rPr>
          <w:rFonts w:hint="default" w:ascii="Times New Roman" w:hAnsi="Times New Roman" w:cs="Times New Roman"/>
          <w:color w:val="auto"/>
          <w:kern w:val="0"/>
          <w:sz w:val="22"/>
          <w:szCs w:val="22"/>
          <w:highlight w:val="none"/>
          <w:u w:val="single"/>
        </w:rPr>
      </w:pPr>
      <w:r>
        <w:rPr>
          <w:rFonts w:hint="default" w:ascii="Times New Roman" w:hAnsi="Times New Roman" w:cs="Times New Roman"/>
          <w:color w:val="auto"/>
          <w:kern w:val="0"/>
          <w:sz w:val="22"/>
          <w:szCs w:val="22"/>
          <w:highlight w:val="none"/>
        </w:rPr>
        <w:t xml:space="preserve">  □ 另作约定：</w:t>
      </w:r>
      <w:r>
        <w:rPr>
          <w:rFonts w:hint="default" w:ascii="Times New Roman" w:hAnsi="Times New Roman" w:cs="Times New Roman"/>
          <w:color w:val="auto"/>
          <w:kern w:val="0"/>
          <w:sz w:val="22"/>
          <w:szCs w:val="22"/>
          <w:highlight w:val="none"/>
          <w:u w:val="single"/>
        </w:rPr>
        <w:t xml:space="preserve">                                     /                                     </w:t>
      </w:r>
    </w:p>
    <w:p w14:paraId="75C85601">
      <w:pPr>
        <w:pStyle w:val="4"/>
        <w:numPr>
          <w:ilvl w:val="0"/>
          <w:numId w:val="0"/>
        </w:numPr>
        <w:tabs>
          <w:tab w:val="left" w:pos="360"/>
          <w:tab w:val="left" w:pos="420"/>
          <w:tab w:val="left" w:pos="576"/>
        </w:tabs>
        <w:spacing w:line="420" w:lineRule="exact"/>
        <w:rPr>
          <w:rFonts w:hint="default" w:ascii="Times New Roman" w:hAnsi="Times New Roman" w:cs="Times New Roman"/>
          <w:b/>
          <w:bCs/>
          <w:color w:val="auto"/>
          <w:sz w:val="22"/>
          <w:szCs w:val="22"/>
          <w:highlight w:val="none"/>
        </w:rPr>
      </w:pPr>
      <w:bookmarkStart w:id="412" w:name="_Toc469384116"/>
      <w:bookmarkStart w:id="413" w:name="_Toc27655"/>
      <w:bookmarkStart w:id="414" w:name="_Toc1959714978"/>
      <w:r>
        <w:rPr>
          <w:rFonts w:hint="default" w:ascii="Times New Roman" w:hAnsi="Times New Roman" w:cs="Times New Roman"/>
          <w:b/>
          <w:bCs/>
          <w:color w:val="auto"/>
          <w:sz w:val="22"/>
          <w:szCs w:val="22"/>
          <w:highlight w:val="none"/>
        </w:rPr>
        <w:t>59. 缺陷责任与质量保修</w:t>
      </w:r>
      <w:bookmarkEnd w:id="412"/>
      <w:bookmarkEnd w:id="413"/>
      <w:bookmarkEnd w:id="414"/>
    </w:p>
    <w:p w14:paraId="15FBFEEC">
      <w:pPr>
        <w:spacing w:line="420" w:lineRule="exact"/>
        <w:rPr>
          <w:rFonts w:hint="default" w:ascii="Times New Roman" w:hAnsi="Times New Roman" w:cs="Times New Roman"/>
          <w:color w:val="auto"/>
          <w:kern w:val="0"/>
          <w:sz w:val="22"/>
          <w:szCs w:val="22"/>
          <w:highlight w:val="none"/>
        </w:rPr>
      </w:pPr>
    </w:p>
    <w:p w14:paraId="4B66702A">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59.1 缺陷责任期计算</w:t>
      </w:r>
    </w:p>
    <w:p w14:paraId="7DEC2B46">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缺陷责任期：</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u w:val="single"/>
          <w:lang w:val="en-US" w:eastAsia="zh-CN"/>
        </w:rPr>
        <w:t xml:space="preserve">    </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u w:val="single"/>
          <w:lang w:val="en-US" w:eastAsia="zh-CN"/>
        </w:rPr>
        <w:t>2年</w:t>
      </w:r>
      <w:r>
        <w:rPr>
          <w:rFonts w:hint="default" w:ascii="Times New Roman" w:hAnsi="Times New Roman" w:cs="Times New Roman"/>
          <w:color w:val="auto"/>
          <w:kern w:val="0"/>
          <w:sz w:val="22"/>
          <w:szCs w:val="22"/>
          <w:highlight w:val="none"/>
          <w:u w:val="single"/>
        </w:rPr>
        <w:t xml:space="preserve">                 </w:t>
      </w:r>
    </w:p>
    <w:p w14:paraId="07CAEDFB">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59.8 质量保修期计算</w:t>
      </w:r>
    </w:p>
    <w:p w14:paraId="58402F43">
      <w:pPr>
        <w:spacing w:line="420" w:lineRule="exact"/>
        <w:rPr>
          <w:rFonts w:hint="default" w:ascii="Times New Roman" w:hAnsi="Times New Roman" w:cs="Times New Roman"/>
          <w:color w:val="auto"/>
          <w:kern w:val="0"/>
          <w:sz w:val="22"/>
          <w:szCs w:val="22"/>
          <w:highlight w:val="none"/>
          <w:u w:val="single"/>
        </w:rPr>
      </w:pPr>
      <w:r>
        <w:rPr>
          <w:rFonts w:hint="default" w:ascii="Times New Roman" w:hAnsi="Times New Roman" w:cs="Times New Roman"/>
          <w:color w:val="auto"/>
          <w:kern w:val="0"/>
          <w:sz w:val="22"/>
          <w:szCs w:val="22"/>
          <w:highlight w:val="none"/>
        </w:rPr>
        <w:t xml:space="preserve">   质量保修期：</w:t>
      </w:r>
      <w:r>
        <w:rPr>
          <w:rFonts w:hint="default" w:ascii="Times New Roman" w:hAnsi="Times New Roman" w:cs="Times New Roman"/>
          <w:color w:val="auto"/>
          <w:kern w:val="0"/>
          <w:sz w:val="22"/>
          <w:szCs w:val="22"/>
          <w:highlight w:val="none"/>
          <w:u w:val="single"/>
        </w:rPr>
        <w:t>按《建设工程质量管理条例》规定。</w:t>
      </w:r>
    </w:p>
    <w:p w14:paraId="482A3ECE">
      <w:pPr>
        <w:spacing w:line="420" w:lineRule="exact"/>
        <w:ind w:left="120" w:leftChars="57"/>
        <w:rPr>
          <w:rFonts w:hint="default" w:ascii="Times New Roman" w:hAnsi="Times New Roman" w:cs="Times New Roman"/>
          <w:color w:val="auto"/>
          <w:kern w:val="0"/>
          <w:sz w:val="22"/>
          <w:szCs w:val="22"/>
          <w:highlight w:val="none"/>
          <w:lang w:val="en-US" w:eastAsia="zh-CN"/>
        </w:rPr>
      </w:pPr>
      <w:r>
        <w:rPr>
          <w:rFonts w:hint="default" w:ascii="Times New Roman" w:hAnsi="Times New Roman" w:cs="Times New Roman"/>
          <w:color w:val="auto"/>
          <w:kern w:val="0"/>
          <w:sz w:val="22"/>
          <w:szCs w:val="22"/>
          <w:highlight w:val="none"/>
          <w:lang w:val="en-US" w:eastAsia="zh-CN"/>
        </w:rPr>
        <w:t xml:space="preserve"> </w:t>
      </w:r>
    </w:p>
    <w:p w14:paraId="5B86A28E">
      <w:pPr>
        <w:keepNext w:val="0"/>
        <w:keepLines w:val="0"/>
        <w:pageBreakBefore w:val="0"/>
        <w:widowControl w:val="0"/>
        <w:kinsoku/>
        <w:wordWrap/>
        <w:overflowPunct/>
        <w:topLinePunct w:val="0"/>
        <w:autoSpaceDE/>
        <w:autoSpaceDN/>
        <w:bidi w:val="0"/>
        <w:adjustRightInd/>
        <w:snapToGrid/>
        <w:spacing w:line="420" w:lineRule="exact"/>
        <w:ind w:left="120" w:leftChars="57" w:firstLine="110" w:firstLineChars="50"/>
        <w:textAlignment w:val="auto"/>
        <w:rPr>
          <w:rFonts w:hint="default" w:ascii="Times New Roman" w:hAnsi="Times New Roman" w:cs="Times New Roman"/>
          <w:color w:val="auto"/>
          <w:kern w:val="0"/>
          <w:sz w:val="22"/>
          <w:szCs w:val="22"/>
          <w:highlight w:val="none"/>
          <w:lang w:val="en-US"/>
        </w:rPr>
      </w:pPr>
      <w:r>
        <w:rPr>
          <w:rFonts w:hint="default" w:ascii="Times New Roman" w:hAnsi="Times New Roman" w:cs="Times New Roman"/>
          <w:color w:val="auto"/>
          <w:kern w:val="0"/>
          <w:sz w:val="22"/>
          <w:szCs w:val="22"/>
          <w:highlight w:val="none"/>
          <w:lang w:val="en-US" w:eastAsia="zh-CN"/>
        </w:rPr>
        <w:t>59.10 修复质量缺陷以外的费用</w:t>
      </w:r>
    </w:p>
    <w:p w14:paraId="7077294B">
      <w:pPr>
        <w:spacing w:line="420" w:lineRule="exact"/>
        <w:ind w:left="120" w:leftChars="57"/>
        <w:rPr>
          <w:rFonts w:hint="default" w:ascii="Times New Roman" w:hAnsi="Times New Roman" w:cs="Times New Roman"/>
          <w:color w:val="auto"/>
          <w:kern w:val="0"/>
          <w:sz w:val="22"/>
          <w:szCs w:val="22"/>
          <w:highlight w:val="none"/>
          <w:u w:val="single"/>
          <w:lang w:val="en-US" w:eastAsia="zh-CN"/>
        </w:rPr>
      </w:pPr>
      <w:r>
        <w:rPr>
          <w:rFonts w:hint="default" w:ascii="Times New Roman" w:hAnsi="Times New Roman" w:cs="Times New Roman"/>
          <w:color w:val="auto"/>
          <w:kern w:val="0"/>
          <w:sz w:val="22"/>
          <w:szCs w:val="22"/>
          <w:highlight w:val="none"/>
          <w:lang w:val="en-US" w:eastAsia="zh-CN"/>
        </w:rPr>
        <w:t xml:space="preserve">    保修期内在正常使用的条件下，确因施工方面的原因而发生的工程质量问题，其返修工作及修复费均由承包人负责；为了保证设施的正常使用功能，避免发生事故，承包人在接到返修通知后一周内必须进场返修；否则，发包人有权安排其他施工单位进场返修，所发生的费用由承包人负责支付，发包人有权自行在保证金自行抵扣。</w:t>
      </w:r>
    </w:p>
    <w:p w14:paraId="58D6420C">
      <w:pPr>
        <w:spacing w:line="420" w:lineRule="exact"/>
        <w:rPr>
          <w:rFonts w:hint="default" w:ascii="Times New Roman" w:hAnsi="Times New Roman" w:cs="Times New Roman"/>
          <w:color w:val="auto"/>
          <w:kern w:val="0"/>
          <w:sz w:val="22"/>
          <w:szCs w:val="22"/>
          <w:highlight w:val="none"/>
          <w:u w:val="single"/>
        </w:rPr>
      </w:pPr>
    </w:p>
    <w:p w14:paraId="664F2654">
      <w:pPr>
        <w:pStyle w:val="4"/>
        <w:numPr>
          <w:ilvl w:val="0"/>
          <w:numId w:val="0"/>
        </w:numPr>
        <w:tabs>
          <w:tab w:val="left" w:pos="360"/>
          <w:tab w:val="left" w:pos="420"/>
          <w:tab w:val="left" w:pos="576"/>
        </w:tabs>
        <w:spacing w:line="420" w:lineRule="exact"/>
        <w:rPr>
          <w:rFonts w:hint="default" w:ascii="Times New Roman" w:hAnsi="Times New Roman" w:cs="Times New Roman"/>
          <w:b/>
          <w:bCs/>
          <w:color w:val="auto"/>
          <w:sz w:val="22"/>
          <w:szCs w:val="22"/>
          <w:highlight w:val="none"/>
        </w:rPr>
      </w:pPr>
      <w:bookmarkStart w:id="415" w:name="_Toc10784"/>
      <w:bookmarkStart w:id="416" w:name="_Toc469384117"/>
      <w:bookmarkStart w:id="417" w:name="_Toc1536746095"/>
      <w:r>
        <w:rPr>
          <w:rFonts w:hint="default" w:ascii="Times New Roman" w:hAnsi="Times New Roman" w:cs="Times New Roman"/>
          <w:b/>
          <w:bCs/>
          <w:color w:val="auto"/>
          <w:sz w:val="22"/>
          <w:szCs w:val="22"/>
          <w:highlight w:val="none"/>
        </w:rPr>
        <w:t>61. 工程量</w:t>
      </w:r>
      <w:bookmarkEnd w:id="415"/>
      <w:bookmarkEnd w:id="416"/>
      <w:bookmarkEnd w:id="417"/>
    </w:p>
    <w:p w14:paraId="4BF75F13">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w:t>
      </w:r>
    </w:p>
    <w:p w14:paraId="3F744C91">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61.1 清单工程量包括的工作内容</w:t>
      </w:r>
    </w:p>
    <w:p w14:paraId="41078BA4">
      <w:pPr>
        <w:spacing w:line="420" w:lineRule="exact"/>
        <w:ind w:firstLine="110" w:firstLineChars="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 按通用条款规定。</w:t>
      </w:r>
    </w:p>
    <w:p w14:paraId="17480F19">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 另作约定：</w:t>
      </w:r>
      <w:r>
        <w:rPr>
          <w:rFonts w:hint="default" w:ascii="Times New Roman" w:hAnsi="Times New Roman" w:cs="Times New Roman"/>
          <w:color w:val="auto"/>
          <w:kern w:val="0"/>
          <w:sz w:val="22"/>
          <w:szCs w:val="22"/>
          <w:highlight w:val="none"/>
          <w:u w:val="single"/>
        </w:rPr>
        <w:t xml:space="preserve">                                                                         </w:t>
      </w:r>
    </w:p>
    <w:p w14:paraId="526D8F8D">
      <w:pPr>
        <w:pStyle w:val="4"/>
        <w:numPr>
          <w:ilvl w:val="0"/>
          <w:numId w:val="0"/>
        </w:numPr>
        <w:tabs>
          <w:tab w:val="left" w:pos="360"/>
          <w:tab w:val="left" w:pos="420"/>
          <w:tab w:val="left" w:pos="576"/>
        </w:tabs>
        <w:spacing w:line="420" w:lineRule="exact"/>
        <w:rPr>
          <w:rFonts w:hint="default" w:ascii="Times New Roman" w:hAnsi="Times New Roman" w:cs="Times New Roman"/>
          <w:b/>
          <w:bCs/>
          <w:color w:val="auto"/>
          <w:sz w:val="22"/>
          <w:szCs w:val="22"/>
          <w:highlight w:val="none"/>
        </w:rPr>
      </w:pPr>
      <w:bookmarkStart w:id="418" w:name="_Toc9643"/>
      <w:bookmarkStart w:id="419" w:name="_Toc469384118"/>
      <w:bookmarkStart w:id="420" w:name="_Toc1925135773"/>
      <w:r>
        <w:rPr>
          <w:rFonts w:hint="default" w:ascii="Times New Roman" w:hAnsi="Times New Roman" w:cs="Times New Roman"/>
          <w:b/>
          <w:bCs/>
          <w:color w:val="auto"/>
          <w:sz w:val="22"/>
          <w:szCs w:val="22"/>
          <w:highlight w:val="none"/>
        </w:rPr>
        <w:t>★63. 暂列金额</w:t>
      </w:r>
      <w:bookmarkEnd w:id="418"/>
      <w:bookmarkEnd w:id="419"/>
      <w:bookmarkEnd w:id="420"/>
    </w:p>
    <w:p w14:paraId="7A462697">
      <w:pPr>
        <w:spacing w:line="420" w:lineRule="exact"/>
        <w:rPr>
          <w:rFonts w:hint="default" w:ascii="Times New Roman" w:hAnsi="Times New Roman" w:cs="Times New Roman"/>
          <w:color w:val="auto"/>
          <w:kern w:val="0"/>
          <w:sz w:val="22"/>
          <w:szCs w:val="22"/>
          <w:highlight w:val="none"/>
        </w:rPr>
      </w:pPr>
    </w:p>
    <w:p w14:paraId="2001BF21">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63.1 合同工程的暂列金额为 </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rPr>
        <w:t>元。</w:t>
      </w:r>
    </w:p>
    <w:p w14:paraId="70989086">
      <w:pPr>
        <w:pStyle w:val="4"/>
        <w:numPr>
          <w:ilvl w:val="0"/>
          <w:numId w:val="0"/>
        </w:numPr>
        <w:tabs>
          <w:tab w:val="left" w:pos="360"/>
          <w:tab w:val="left" w:pos="420"/>
          <w:tab w:val="left" w:pos="576"/>
        </w:tabs>
        <w:spacing w:line="420" w:lineRule="exact"/>
        <w:rPr>
          <w:rFonts w:hint="default" w:ascii="Times New Roman" w:hAnsi="Times New Roman" w:cs="Times New Roman"/>
          <w:b/>
          <w:bCs/>
          <w:color w:val="auto"/>
          <w:sz w:val="22"/>
          <w:szCs w:val="22"/>
          <w:highlight w:val="none"/>
        </w:rPr>
      </w:pPr>
      <w:bookmarkStart w:id="421" w:name="_Toc469384119"/>
      <w:bookmarkStart w:id="422" w:name="_Toc1777967007"/>
      <w:bookmarkStart w:id="423" w:name="_Toc15668"/>
      <w:r>
        <w:rPr>
          <w:rFonts w:hint="default" w:ascii="Times New Roman" w:hAnsi="Times New Roman" w:cs="Times New Roman"/>
          <w:b/>
          <w:bCs/>
          <w:color w:val="auto"/>
          <w:sz w:val="22"/>
          <w:szCs w:val="22"/>
          <w:highlight w:val="none"/>
        </w:rPr>
        <w:t>★65. 暂估价</w:t>
      </w:r>
      <w:bookmarkEnd w:id="421"/>
      <w:bookmarkEnd w:id="422"/>
      <w:bookmarkEnd w:id="423"/>
    </w:p>
    <w:p w14:paraId="30DEF31E">
      <w:pPr>
        <w:spacing w:line="420" w:lineRule="exact"/>
        <w:rPr>
          <w:rFonts w:hint="default" w:ascii="Times New Roman" w:hAnsi="Times New Roman" w:cs="Times New Roman"/>
          <w:color w:val="auto"/>
          <w:kern w:val="0"/>
          <w:sz w:val="22"/>
          <w:szCs w:val="22"/>
          <w:highlight w:val="none"/>
        </w:rPr>
      </w:pPr>
    </w:p>
    <w:p w14:paraId="14A601D6">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w:t>
      </w:r>
      <w:r>
        <w:rPr>
          <w:rFonts w:hint="default" w:ascii="Times New Roman" w:hAnsi="Times New Roman" w:cs="Times New Roman"/>
          <w:b/>
          <w:bCs/>
          <w:color w:val="auto"/>
          <w:sz w:val="22"/>
          <w:szCs w:val="22"/>
          <w:highlight w:val="none"/>
        </w:rPr>
        <w:t>★</w:t>
      </w:r>
      <w:r>
        <w:rPr>
          <w:rFonts w:hint="default" w:ascii="Times New Roman" w:hAnsi="Times New Roman" w:cs="Times New Roman"/>
          <w:color w:val="auto"/>
          <w:kern w:val="0"/>
          <w:sz w:val="22"/>
          <w:szCs w:val="22"/>
          <w:highlight w:val="none"/>
        </w:rPr>
        <w:t>65.1 招标暂估价项目</w:t>
      </w:r>
    </w:p>
    <w:p w14:paraId="505949D7">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必须招标暂估价项目合同双方当事人的权利、义务</w:t>
      </w:r>
    </w:p>
    <w:p w14:paraId="27A76AC0">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 材料、工程设备：</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rPr>
        <w:t xml:space="preserve">   </w:t>
      </w:r>
    </w:p>
    <w:p w14:paraId="577402BE">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 专业工程：</w:t>
      </w:r>
      <w:r>
        <w:rPr>
          <w:rFonts w:hint="default" w:ascii="Times New Roman" w:hAnsi="Times New Roman" w:cs="Times New Roman"/>
          <w:color w:val="auto"/>
          <w:kern w:val="0"/>
          <w:sz w:val="22"/>
          <w:szCs w:val="22"/>
          <w:highlight w:val="none"/>
          <w:u w:val="single"/>
        </w:rPr>
        <w:t xml:space="preserve">                                                                           </w:t>
      </w:r>
    </w:p>
    <w:p w14:paraId="2991DBC5">
      <w:pPr>
        <w:spacing w:line="420" w:lineRule="exact"/>
        <w:rPr>
          <w:rFonts w:hint="default" w:ascii="Times New Roman" w:hAnsi="Times New Roman" w:cs="Times New Roman"/>
          <w:color w:val="auto"/>
          <w:kern w:val="0"/>
          <w:sz w:val="22"/>
          <w:szCs w:val="22"/>
          <w:highlight w:val="none"/>
        </w:rPr>
      </w:pPr>
    </w:p>
    <w:p w14:paraId="685AF36E">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65.3 非招标专业工程款的确定</w:t>
      </w:r>
    </w:p>
    <w:p w14:paraId="1A2C461F">
      <w:pPr>
        <w:spacing w:line="420" w:lineRule="exact"/>
        <w:ind w:firstLine="110" w:firstLineChars="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 按通用条款规定，由造价工程师与分包人确定。</w:t>
      </w:r>
    </w:p>
    <w:p w14:paraId="4D410CB5">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 另作约定：</w:t>
      </w:r>
      <w:r>
        <w:rPr>
          <w:rFonts w:hint="default" w:ascii="Times New Roman" w:hAnsi="Times New Roman" w:cs="Times New Roman"/>
          <w:color w:val="auto"/>
          <w:kern w:val="0"/>
          <w:sz w:val="22"/>
          <w:szCs w:val="22"/>
          <w:highlight w:val="none"/>
          <w:u w:val="single"/>
        </w:rPr>
        <w:t xml:space="preserve">                                                                           </w:t>
      </w:r>
    </w:p>
    <w:p w14:paraId="0043DADA">
      <w:pPr>
        <w:pStyle w:val="4"/>
        <w:numPr>
          <w:ilvl w:val="0"/>
          <w:numId w:val="0"/>
        </w:numPr>
        <w:tabs>
          <w:tab w:val="left" w:pos="360"/>
          <w:tab w:val="left" w:pos="420"/>
          <w:tab w:val="left" w:pos="576"/>
        </w:tabs>
        <w:spacing w:line="420" w:lineRule="exact"/>
        <w:rPr>
          <w:rFonts w:hint="default" w:ascii="Times New Roman" w:hAnsi="Times New Roman" w:cs="Times New Roman"/>
          <w:b/>
          <w:bCs/>
          <w:color w:val="auto"/>
          <w:sz w:val="22"/>
          <w:szCs w:val="22"/>
          <w:highlight w:val="none"/>
        </w:rPr>
      </w:pPr>
      <w:bookmarkStart w:id="424" w:name="_Toc5386"/>
      <w:bookmarkStart w:id="425" w:name="_Toc488403630"/>
      <w:bookmarkStart w:id="426" w:name="_Toc469384120"/>
      <w:r>
        <w:rPr>
          <w:rFonts w:hint="default" w:ascii="Times New Roman" w:hAnsi="Times New Roman" w:cs="Times New Roman"/>
          <w:b/>
          <w:bCs/>
          <w:color w:val="auto"/>
          <w:sz w:val="22"/>
          <w:szCs w:val="22"/>
          <w:highlight w:val="none"/>
        </w:rPr>
        <w:t>★66. 提前竣工奖与误期赔偿费</w:t>
      </w:r>
      <w:bookmarkEnd w:id="424"/>
      <w:bookmarkEnd w:id="425"/>
      <w:bookmarkEnd w:id="426"/>
    </w:p>
    <w:p w14:paraId="3B8063BE">
      <w:pPr>
        <w:spacing w:line="420" w:lineRule="exact"/>
        <w:rPr>
          <w:rFonts w:hint="default" w:ascii="Times New Roman" w:hAnsi="Times New Roman" w:cs="Times New Roman"/>
          <w:color w:val="auto"/>
          <w:kern w:val="0"/>
          <w:sz w:val="22"/>
          <w:szCs w:val="22"/>
          <w:highlight w:val="none"/>
        </w:rPr>
      </w:pPr>
    </w:p>
    <w:p w14:paraId="43ECDF18">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66.1 提前竣工奖</w:t>
      </w:r>
    </w:p>
    <w:p w14:paraId="65E6B430">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（1） 提前竣工奖额度</w:t>
      </w:r>
    </w:p>
    <w:p w14:paraId="1477F1DA">
      <w:pPr>
        <w:spacing w:line="420" w:lineRule="exact"/>
        <w:ind w:firstLine="110" w:firstLineChars="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 没约定提前竣工奖的，本款不适用。</w:t>
      </w:r>
    </w:p>
    <w:p w14:paraId="67DD0F2E">
      <w:pPr>
        <w:spacing w:line="420" w:lineRule="exact"/>
        <w:ind w:firstLine="110" w:firstLineChars="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 约定提前竣工奖的，每日历天应奖额度为 </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rPr>
        <w:t>元。</w:t>
      </w:r>
    </w:p>
    <w:p w14:paraId="428BE5EA">
      <w:pPr>
        <w:spacing w:line="420" w:lineRule="exact"/>
        <w:ind w:firstLine="220" w:firstLineChars="10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约定提前竣工奖的，，为 </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rPr>
        <w:t>元。</w:t>
      </w:r>
    </w:p>
    <w:p w14:paraId="7BBDF359">
      <w:pPr>
        <w:spacing w:line="420" w:lineRule="exact"/>
        <w:ind w:firstLine="110" w:firstLineChars="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（2） 提前竣工奖的最高限额</w:t>
      </w:r>
    </w:p>
    <w:p w14:paraId="76CB3878">
      <w:pPr>
        <w:spacing w:line="420" w:lineRule="exact"/>
        <w:ind w:firstLine="110" w:firstLineChars="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 按通用条款规定为合同价款的5%，即</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rPr>
        <w:t>元。</w:t>
      </w:r>
    </w:p>
    <w:p w14:paraId="4C309B28">
      <w:pPr>
        <w:spacing w:line="420" w:lineRule="exact"/>
        <w:ind w:firstLine="110" w:firstLineChars="50"/>
        <w:rPr>
          <w:rFonts w:hint="default" w:ascii="Times New Roman" w:hAnsi="Times New Roman" w:cs="Times New Roman"/>
          <w:color w:val="auto"/>
          <w:kern w:val="0"/>
          <w:sz w:val="22"/>
          <w:szCs w:val="22"/>
          <w:highlight w:val="none"/>
          <w:u w:val="single"/>
        </w:rPr>
      </w:pPr>
      <w:r>
        <w:rPr>
          <w:rFonts w:hint="default" w:ascii="Times New Roman" w:hAnsi="Times New Roman" w:cs="Times New Roman"/>
          <w:color w:val="auto"/>
          <w:kern w:val="0"/>
          <w:sz w:val="22"/>
          <w:szCs w:val="22"/>
          <w:highlight w:val="none"/>
        </w:rPr>
        <w:t xml:space="preserve"> □ 另作约定：</w:t>
      </w:r>
      <w:r>
        <w:rPr>
          <w:rFonts w:hint="default" w:ascii="Times New Roman" w:hAnsi="Times New Roman" w:cs="Times New Roman"/>
          <w:color w:val="auto"/>
          <w:kern w:val="0"/>
          <w:sz w:val="22"/>
          <w:szCs w:val="22"/>
          <w:highlight w:val="none"/>
          <w:u w:val="single"/>
        </w:rPr>
        <w:t xml:space="preserve">                                                                           </w:t>
      </w:r>
    </w:p>
    <w:p w14:paraId="1EA56C6B">
      <w:pPr>
        <w:spacing w:line="420" w:lineRule="exact"/>
        <w:rPr>
          <w:rFonts w:hint="default" w:ascii="Times New Roman" w:hAnsi="Times New Roman" w:cs="Times New Roman"/>
          <w:color w:val="auto"/>
          <w:kern w:val="0"/>
          <w:sz w:val="22"/>
          <w:szCs w:val="22"/>
          <w:highlight w:val="none"/>
        </w:rPr>
      </w:pPr>
    </w:p>
    <w:p w14:paraId="1CC6DCAD">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66.2 误期赔偿费</w:t>
      </w:r>
    </w:p>
    <w:p w14:paraId="34B7429F">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（1） 每日历天应赔偿额度为</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rPr>
        <w:t>元。</w:t>
      </w:r>
    </w:p>
    <w:p w14:paraId="023B5D40">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（2） 误期赔偿费的最高限额</w:t>
      </w:r>
    </w:p>
    <w:p w14:paraId="37D03ED7">
      <w:pPr>
        <w:spacing w:line="420" w:lineRule="exact"/>
        <w:ind w:firstLine="110" w:firstLineChars="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 按通用条款规定为合同价款的5%，即</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rPr>
        <w:t>元。</w:t>
      </w:r>
    </w:p>
    <w:p w14:paraId="6BFB4FD6">
      <w:pPr>
        <w:spacing w:line="420" w:lineRule="exact"/>
        <w:ind w:firstLine="110" w:firstLineChars="50"/>
        <w:rPr>
          <w:rFonts w:hint="default" w:ascii="Times New Roman" w:hAnsi="Times New Roman" w:cs="Times New Roman"/>
          <w:color w:val="auto"/>
          <w:kern w:val="0"/>
          <w:sz w:val="22"/>
          <w:szCs w:val="22"/>
          <w:highlight w:val="none"/>
          <w:u w:val="single"/>
        </w:rPr>
      </w:pPr>
      <w:r>
        <w:rPr>
          <w:rFonts w:hint="default" w:ascii="Times New Roman" w:hAnsi="Times New Roman" w:cs="Times New Roman"/>
          <w:color w:val="auto"/>
          <w:kern w:val="0"/>
          <w:sz w:val="22"/>
          <w:szCs w:val="22"/>
          <w:highlight w:val="none"/>
        </w:rPr>
        <w:t xml:space="preserve"> □ 另作约定：</w:t>
      </w:r>
      <w:r>
        <w:rPr>
          <w:rFonts w:hint="default" w:ascii="Times New Roman" w:hAnsi="Times New Roman" w:cs="Times New Roman"/>
          <w:color w:val="auto"/>
          <w:kern w:val="0"/>
          <w:sz w:val="22"/>
          <w:szCs w:val="22"/>
          <w:highlight w:val="none"/>
          <w:u w:val="single"/>
        </w:rPr>
        <w:t xml:space="preserve">                 </w:t>
      </w:r>
    </w:p>
    <w:p w14:paraId="66DD4A62">
      <w:pPr>
        <w:pStyle w:val="4"/>
        <w:numPr>
          <w:ilvl w:val="0"/>
          <w:numId w:val="0"/>
        </w:numPr>
        <w:tabs>
          <w:tab w:val="left" w:pos="360"/>
          <w:tab w:val="left" w:pos="420"/>
          <w:tab w:val="left" w:pos="576"/>
        </w:tabs>
        <w:spacing w:line="420" w:lineRule="exact"/>
        <w:rPr>
          <w:rFonts w:hint="default" w:ascii="Times New Roman" w:hAnsi="Times New Roman" w:cs="Times New Roman"/>
          <w:b/>
          <w:bCs/>
          <w:color w:val="auto"/>
          <w:sz w:val="22"/>
          <w:szCs w:val="22"/>
          <w:highlight w:val="none"/>
        </w:rPr>
      </w:pPr>
      <w:bookmarkStart w:id="427" w:name="_Toc469384121"/>
      <w:bookmarkStart w:id="428" w:name="_Toc15207"/>
      <w:bookmarkStart w:id="429" w:name="_Toc459750540"/>
      <w:r>
        <w:rPr>
          <w:rFonts w:hint="default" w:ascii="Times New Roman" w:hAnsi="Times New Roman" w:cs="Times New Roman"/>
          <w:b/>
          <w:bCs/>
          <w:color w:val="auto"/>
          <w:sz w:val="22"/>
          <w:szCs w:val="22"/>
          <w:highlight w:val="none"/>
        </w:rPr>
        <w:t>★67. 工程优质费、工程建设标准费用</w:t>
      </w:r>
      <w:bookmarkEnd w:id="427"/>
      <w:bookmarkEnd w:id="428"/>
      <w:bookmarkEnd w:id="429"/>
    </w:p>
    <w:p w14:paraId="7BAA6F39">
      <w:pPr>
        <w:spacing w:line="420" w:lineRule="exact"/>
        <w:rPr>
          <w:rFonts w:hint="default" w:ascii="Times New Roman" w:hAnsi="Times New Roman" w:cs="Times New Roman"/>
          <w:color w:val="auto"/>
          <w:kern w:val="0"/>
          <w:sz w:val="22"/>
          <w:szCs w:val="22"/>
          <w:highlight w:val="none"/>
        </w:rPr>
      </w:pPr>
    </w:p>
    <w:p w14:paraId="6D8A82BA">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67.1 工程优质费的计算方法</w:t>
      </w:r>
    </w:p>
    <w:p w14:paraId="6FC6B339">
      <w:pPr>
        <w:spacing w:line="420" w:lineRule="exact"/>
        <w:rPr>
          <w:rFonts w:hint="default" w:ascii="Times New Roman" w:hAnsi="Times New Roman" w:cs="Times New Roman"/>
          <w:color w:val="auto"/>
          <w:kern w:val="0"/>
          <w:sz w:val="22"/>
          <w:szCs w:val="22"/>
          <w:highlight w:val="none"/>
          <w:u w:val="single"/>
        </w:rPr>
      </w:pPr>
      <w:r>
        <w:rPr>
          <w:rFonts w:hint="default" w:ascii="Times New Roman" w:hAnsi="Times New Roman" w:cs="Times New Roman"/>
          <w:color w:val="auto"/>
          <w:kern w:val="0"/>
          <w:sz w:val="22"/>
          <w:szCs w:val="22"/>
          <w:highlight w:val="none"/>
        </w:rPr>
        <w:t xml:space="preserve">  □ 约定工程优质费的，其计算方法：</w:t>
      </w:r>
      <w:r>
        <w:rPr>
          <w:rFonts w:hint="default" w:ascii="Times New Roman" w:hAnsi="Times New Roman" w:cs="Times New Roman"/>
          <w:color w:val="auto"/>
          <w:kern w:val="0"/>
          <w:sz w:val="22"/>
          <w:szCs w:val="22"/>
          <w:highlight w:val="none"/>
          <w:u w:val="single"/>
        </w:rPr>
        <w:t xml:space="preserve">                                                       </w:t>
      </w:r>
    </w:p>
    <w:p w14:paraId="7453420D">
      <w:pPr>
        <w:spacing w:line="420" w:lineRule="exact"/>
        <w:ind w:firstLine="220" w:firstLineChars="100"/>
        <w:rPr>
          <w:rFonts w:hint="default" w:ascii="Times New Roman" w:hAnsi="Times New Roman" w:cs="Times New Roman"/>
          <w:color w:val="auto"/>
          <w:kern w:val="0"/>
          <w:sz w:val="22"/>
          <w:szCs w:val="22"/>
          <w:highlight w:val="none"/>
          <w:u w:val="single"/>
        </w:rPr>
      </w:pPr>
      <w:r>
        <w:rPr>
          <w:rFonts w:hint="default" w:ascii="Times New Roman" w:hAnsi="Times New Roman" w:cs="Times New Roman"/>
          <w:color w:val="auto"/>
          <w:kern w:val="0"/>
          <w:sz w:val="22"/>
          <w:szCs w:val="22"/>
          <w:highlight w:val="none"/>
        </w:rPr>
        <w:t>□ 按分部分项工程费为基础计算：</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u w:val="single"/>
          <w:lang w:val="en-US" w:eastAsia="zh-CN"/>
        </w:rPr>
        <w:t xml:space="preserve">     </w:t>
      </w:r>
      <w:r>
        <w:rPr>
          <w:rFonts w:hint="default" w:ascii="Times New Roman" w:hAnsi="Times New Roman" w:cs="Times New Roman"/>
          <w:color w:val="auto"/>
          <w:kern w:val="0"/>
          <w:sz w:val="22"/>
          <w:szCs w:val="22"/>
          <w:highlight w:val="none"/>
          <w:u w:val="single"/>
        </w:rPr>
        <w:t xml:space="preserve">                            </w:t>
      </w:r>
    </w:p>
    <w:p w14:paraId="00BDB0FA">
      <w:pPr>
        <w:spacing w:line="420" w:lineRule="exact"/>
        <w:rPr>
          <w:rFonts w:hint="default" w:ascii="Times New Roman" w:hAnsi="Times New Roman" w:cs="Times New Roman"/>
          <w:color w:val="auto"/>
          <w:kern w:val="0"/>
          <w:sz w:val="22"/>
          <w:szCs w:val="22"/>
          <w:highlight w:val="none"/>
        </w:rPr>
      </w:pPr>
    </w:p>
    <w:p w14:paraId="21D5A7B3">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w:t>
      </w:r>
      <w:r>
        <w:rPr>
          <w:rFonts w:hint="default" w:ascii="Times New Roman" w:hAnsi="Times New Roman" w:cs="Times New Roman"/>
          <w:b/>
          <w:bCs/>
          <w:color w:val="auto"/>
          <w:sz w:val="22"/>
          <w:szCs w:val="22"/>
          <w:highlight w:val="none"/>
        </w:rPr>
        <w:t>★</w:t>
      </w:r>
      <w:r>
        <w:rPr>
          <w:rFonts w:hint="default" w:ascii="Times New Roman" w:hAnsi="Times New Roman" w:cs="Times New Roman"/>
          <w:color w:val="auto"/>
          <w:kern w:val="0"/>
          <w:sz w:val="22"/>
          <w:szCs w:val="22"/>
          <w:highlight w:val="none"/>
        </w:rPr>
        <w:t>67.2 工程优质费的计算额度：</w:t>
      </w:r>
    </w:p>
    <w:p w14:paraId="7FB02931">
      <w:pPr>
        <w:spacing w:line="420" w:lineRule="exact"/>
        <w:ind w:firstLine="110" w:firstLineChars="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 按通用条款规定计算。</w:t>
      </w:r>
    </w:p>
    <w:p w14:paraId="14CF4E3C">
      <w:pPr>
        <w:spacing w:line="420" w:lineRule="exact"/>
        <w:ind w:left="220" w:hanging="220" w:hangingChars="10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 另作约定（工程优质费率参考广东省建设工程计价依据工程优质费、广州市住房和城乡建设局发布的工程优质费率；合同工程同时获得下列多个奖项的，只按最高奖项的额度计算。）：</w:t>
      </w:r>
    </w:p>
    <w:p w14:paraId="247F82AB">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国家级质量奖，工程优质费</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rPr>
        <w:t xml:space="preserve"> %；</w:t>
      </w:r>
    </w:p>
    <w:p w14:paraId="1F6244B2">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省级质量奖，工程优质费</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rPr>
        <w:t>%；</w:t>
      </w:r>
    </w:p>
    <w:p w14:paraId="1EF3CA37">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市级质量奖，工程优质费</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rPr>
        <w:t xml:space="preserve"> %。</w:t>
      </w:r>
    </w:p>
    <w:p w14:paraId="6446BF4B">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w:t>
      </w:r>
      <w:r>
        <w:rPr>
          <w:rFonts w:hint="default" w:ascii="Times New Roman" w:hAnsi="Times New Roman" w:cs="Times New Roman"/>
          <w:color w:val="auto"/>
          <w:kern w:val="0"/>
          <w:sz w:val="22"/>
          <w:szCs w:val="22"/>
          <w:highlight w:val="none"/>
          <w:lang w:eastAsia="zh-CN"/>
        </w:rPr>
        <w:t>其他</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u w:val="single"/>
          <w:lang w:val="en-US" w:eastAsia="zh-CN"/>
        </w:rPr>
        <w:t xml:space="preserve"> </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rPr>
        <w:t>，工程优质费</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rPr>
        <w:t xml:space="preserve"> %。</w:t>
      </w:r>
    </w:p>
    <w:p w14:paraId="660751C6">
      <w:pPr>
        <w:spacing w:line="420" w:lineRule="exact"/>
        <w:rPr>
          <w:rFonts w:hint="default" w:ascii="Times New Roman" w:hAnsi="Times New Roman" w:cs="Times New Roman"/>
          <w:color w:val="auto"/>
          <w:kern w:val="0"/>
          <w:sz w:val="22"/>
          <w:szCs w:val="22"/>
          <w:highlight w:val="none"/>
          <w:u w:val="single"/>
        </w:rPr>
      </w:pPr>
    </w:p>
    <w:p w14:paraId="7805E205">
      <w:pPr>
        <w:pStyle w:val="4"/>
        <w:numPr>
          <w:ilvl w:val="0"/>
          <w:numId w:val="0"/>
        </w:numPr>
        <w:tabs>
          <w:tab w:val="left" w:pos="360"/>
          <w:tab w:val="left" w:pos="420"/>
          <w:tab w:val="left" w:pos="576"/>
        </w:tabs>
        <w:spacing w:before="0" w:line="420" w:lineRule="exact"/>
        <w:ind w:left="537" w:leftChars="57" w:hanging="417" w:hangingChars="189"/>
        <w:rPr>
          <w:rFonts w:hint="default" w:ascii="Times New Roman" w:hAnsi="Times New Roman" w:cs="Times New Roman"/>
          <w:b/>
          <w:bCs/>
          <w:color w:val="auto"/>
          <w:sz w:val="22"/>
          <w:szCs w:val="22"/>
          <w:highlight w:val="none"/>
        </w:rPr>
      </w:pPr>
      <w:bookmarkStart w:id="430" w:name="_Toc469384122"/>
      <w:bookmarkStart w:id="431" w:name="_Toc25381"/>
      <w:bookmarkStart w:id="432" w:name="_Toc1748696217"/>
      <w:r>
        <w:rPr>
          <w:rFonts w:hint="default" w:ascii="Times New Roman" w:hAnsi="Times New Roman" w:cs="Times New Roman"/>
          <w:b/>
          <w:bCs/>
          <w:color w:val="auto"/>
          <w:sz w:val="22"/>
          <w:szCs w:val="22"/>
          <w:highlight w:val="none"/>
        </w:rPr>
        <w:t>★68. 合同价款的约定与调整</w:t>
      </w:r>
      <w:bookmarkEnd w:id="430"/>
      <w:bookmarkEnd w:id="431"/>
      <w:bookmarkEnd w:id="432"/>
    </w:p>
    <w:p w14:paraId="71EF6CB9">
      <w:pPr>
        <w:keepNext w:val="0"/>
        <w:keepLines w:val="0"/>
        <w:widowControl w:val="0"/>
        <w:suppressLineNumbers w:val="0"/>
        <w:spacing w:before="0" w:beforeAutospacing="0" w:after="0" w:afterAutospacing="0" w:line="420" w:lineRule="exact"/>
        <w:ind w:left="0" w:right="0"/>
        <w:jc w:val="left"/>
        <w:rPr>
          <w:rFonts w:hint="default" w:ascii="Times New Roman" w:hAnsi="Times New Roman" w:eastAsia="宋体" w:cs="Times New Roman"/>
          <w:color w:val="auto"/>
          <w:kern w:val="0"/>
          <w:sz w:val="22"/>
          <w:szCs w:val="22"/>
          <w:highlight w:val="none"/>
          <w:lang w:val="en-US"/>
        </w:rPr>
      </w:pPr>
      <w:bookmarkStart w:id="433" w:name="_Toc469384123"/>
      <w:bookmarkStart w:id="434" w:name="_Toc28188"/>
      <w:r>
        <w:rPr>
          <w:rFonts w:hint="default" w:ascii="Times New Roman" w:hAnsi="Times New Roman" w:eastAsia="宋体" w:cs="Times New Roman"/>
          <w:color w:val="auto"/>
          <w:kern w:val="0"/>
          <w:sz w:val="22"/>
          <w:szCs w:val="22"/>
          <w:highlight w:val="none"/>
          <w:lang w:val="en-US" w:eastAsia="zh-CN" w:bidi="ar"/>
        </w:rPr>
        <w:t xml:space="preserve"> 68.2合同价款的方式</w:t>
      </w:r>
    </w:p>
    <w:p w14:paraId="6F4134FE">
      <w:pPr>
        <w:keepNext w:val="0"/>
        <w:keepLines w:val="0"/>
        <w:widowControl w:val="0"/>
        <w:suppressLineNumbers w:val="0"/>
        <w:spacing w:before="0" w:beforeAutospacing="0" w:after="0" w:afterAutospacing="0" w:line="420" w:lineRule="exact"/>
        <w:ind w:left="0" w:right="0" w:firstLine="220" w:firstLineChars="100"/>
        <w:jc w:val="left"/>
        <w:rPr>
          <w:rFonts w:hint="default" w:ascii="Times New Roman" w:hAnsi="Times New Roman" w:eastAsia="宋体" w:cs="Times New Roman"/>
          <w:color w:val="auto"/>
          <w:kern w:val="0"/>
          <w:sz w:val="22"/>
          <w:szCs w:val="22"/>
          <w:highlight w:val="none"/>
          <w:lang w:val="en-US"/>
        </w:rPr>
      </w:pPr>
      <w:r>
        <w:rPr>
          <w:rFonts w:hint="default" w:ascii="Times New Roman" w:hAnsi="Times New Roman" w:eastAsia="宋体" w:cs="Times New Roman"/>
          <w:color w:val="auto"/>
          <w:kern w:val="0"/>
          <w:sz w:val="22"/>
          <w:szCs w:val="22"/>
          <w:highlight w:val="none"/>
          <w:lang w:val="en-US" w:eastAsia="zh-CN" w:bidi="ar"/>
        </w:rPr>
        <w:t>□总价合同。</w:t>
      </w:r>
    </w:p>
    <w:p w14:paraId="6146568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20" w:lineRule="exact"/>
        <w:ind w:left="237" w:leftChars="113" w:right="0" w:firstLine="440" w:firstLineChars="200"/>
        <w:jc w:val="left"/>
        <w:textAlignment w:val="auto"/>
        <w:rPr>
          <w:rFonts w:hint="default" w:ascii="Times New Roman" w:hAnsi="Times New Roman" w:eastAsia="宋体" w:cs="Times New Roman"/>
          <w:color w:val="auto"/>
          <w:kern w:val="0"/>
          <w:sz w:val="22"/>
          <w:szCs w:val="22"/>
          <w:highlight w:val="none"/>
          <w:lang w:val="en-US"/>
        </w:rPr>
      </w:pPr>
      <w:r>
        <w:rPr>
          <w:rFonts w:hint="default" w:ascii="Times New Roman" w:hAnsi="Times New Roman" w:eastAsia="宋体" w:cs="Times New Roman"/>
          <w:color w:val="auto"/>
          <w:kern w:val="0"/>
          <w:sz w:val="22"/>
          <w:szCs w:val="22"/>
          <w:highlight w:val="none"/>
          <w:lang w:val="en-US" w:eastAsia="zh-CN" w:bidi="ar"/>
        </w:rPr>
        <w:t>本合同项目的工程承包价是由承包人按招标文件图纸的承包内容、承包范围和工程量以及招标文件</w:t>
      </w:r>
      <w:r>
        <w:rPr>
          <w:rFonts w:hint="default" w:ascii="Times New Roman" w:hAnsi="Times New Roman" w:cs="Times New Roman"/>
          <w:color w:val="auto"/>
          <w:kern w:val="0"/>
          <w:sz w:val="22"/>
          <w:szCs w:val="22"/>
          <w:highlight w:val="none"/>
          <w:lang w:val="en-US" w:eastAsia="zh-CN" w:bidi="ar"/>
        </w:rPr>
        <w:t>的</w:t>
      </w:r>
      <w:r>
        <w:rPr>
          <w:rFonts w:hint="default" w:ascii="Times New Roman" w:hAnsi="Times New Roman" w:eastAsia="宋体" w:cs="Times New Roman"/>
          <w:color w:val="auto"/>
          <w:kern w:val="0"/>
          <w:sz w:val="22"/>
          <w:szCs w:val="22"/>
          <w:highlight w:val="none"/>
          <w:lang w:val="en-US" w:eastAsia="zh-CN" w:bidi="ar"/>
        </w:rPr>
        <w:t>规定，采用</w:t>
      </w:r>
      <w:r>
        <w:rPr>
          <w:rFonts w:hint="default" w:ascii="Times New Roman" w:hAnsi="Times New Roman" w:eastAsia="宋体" w:cs="Times New Roman"/>
          <w:color w:val="auto"/>
          <w:kern w:val="0"/>
          <w:sz w:val="22"/>
          <w:szCs w:val="22"/>
          <w:highlight w:val="none"/>
          <w:u w:val="single"/>
          <w:lang w:val="en-US" w:eastAsia="zh-CN" w:bidi="ar"/>
        </w:rPr>
        <w:t xml:space="preserve">                      </w:t>
      </w:r>
      <w:r>
        <w:rPr>
          <w:rFonts w:hint="default" w:ascii="Times New Roman" w:hAnsi="Times New Roman" w:eastAsia="宋体" w:cs="Times New Roman"/>
          <w:color w:val="auto"/>
          <w:kern w:val="0"/>
          <w:sz w:val="22"/>
          <w:szCs w:val="22"/>
          <w:highlight w:val="none"/>
          <w:lang w:val="en-US" w:eastAsia="zh-CN" w:bidi="ar"/>
        </w:rPr>
        <w:t>计价方法，根据承包人自身的条件和能力，结合工程现场实际情况，考虑风险后编制的，除发包人对原设计要求或同意变更外，承包人必须按本承包价进行按图包工、包料、包质量、包安全、包工期、包文明施工、包</w:t>
      </w:r>
      <w:r>
        <w:rPr>
          <w:rFonts w:hint="default" w:ascii="Times New Roman" w:hAnsi="Times New Roman" w:eastAsia="宋体" w:cs="Times New Roman"/>
          <w:color w:val="auto"/>
          <w:kern w:val="0"/>
          <w:sz w:val="22"/>
          <w:szCs w:val="22"/>
          <w:highlight w:val="none"/>
          <w:u w:val="single"/>
          <w:lang w:val="en-US" w:eastAsia="zh-CN" w:bidi="ar"/>
        </w:rPr>
        <w:t xml:space="preserve">            </w:t>
      </w:r>
      <w:r>
        <w:rPr>
          <w:rFonts w:hint="default" w:ascii="Times New Roman" w:hAnsi="Times New Roman" w:eastAsia="宋体" w:cs="Times New Roman"/>
          <w:color w:val="auto"/>
          <w:kern w:val="0"/>
          <w:sz w:val="22"/>
          <w:szCs w:val="22"/>
          <w:highlight w:val="none"/>
          <w:lang w:val="en-US" w:eastAsia="zh-CN" w:bidi="ar"/>
        </w:rPr>
        <w:t>等总价包干。</w:t>
      </w:r>
    </w:p>
    <w:p w14:paraId="2D89BA1B">
      <w:pPr>
        <w:keepNext w:val="0"/>
        <w:keepLines w:val="0"/>
        <w:widowControl w:val="0"/>
        <w:suppressLineNumbers w:val="0"/>
        <w:spacing w:before="0" w:beforeAutospacing="0" w:after="0" w:afterAutospacing="0" w:line="420" w:lineRule="exact"/>
        <w:ind w:left="0" w:right="0" w:firstLine="220" w:firstLineChars="100"/>
        <w:jc w:val="left"/>
        <w:rPr>
          <w:rFonts w:hint="default" w:ascii="Times New Roman" w:hAnsi="Times New Roman" w:eastAsia="宋体" w:cs="Times New Roman"/>
          <w:color w:val="auto"/>
          <w:kern w:val="0"/>
          <w:sz w:val="22"/>
          <w:szCs w:val="22"/>
          <w:highlight w:val="none"/>
          <w:u w:val="single"/>
          <w:lang w:val="en-US"/>
        </w:rPr>
      </w:pPr>
      <w:r>
        <w:rPr>
          <w:rFonts w:hint="default" w:ascii="Times New Roman" w:hAnsi="Times New Roman" w:eastAsia="宋体" w:cs="Times New Roman"/>
          <w:color w:val="auto"/>
          <w:kern w:val="0"/>
          <w:sz w:val="22"/>
          <w:szCs w:val="22"/>
          <w:highlight w:val="none"/>
          <w:lang w:val="en-US" w:eastAsia="zh-CN" w:bidi="ar"/>
        </w:rPr>
        <w:t>合同总价中包括的风险范围：</w:t>
      </w:r>
      <w:r>
        <w:rPr>
          <w:rFonts w:hint="default" w:ascii="Times New Roman" w:hAnsi="Times New Roman" w:eastAsia="宋体" w:cs="Times New Roman"/>
          <w:color w:val="auto"/>
          <w:kern w:val="0"/>
          <w:sz w:val="22"/>
          <w:szCs w:val="22"/>
          <w:highlight w:val="none"/>
          <w:u w:val="single"/>
          <w:lang w:val="en-US" w:eastAsia="zh-CN" w:bidi="ar"/>
        </w:rPr>
        <w:t xml:space="preserve">                               </w:t>
      </w:r>
      <w:r>
        <w:rPr>
          <w:rFonts w:hint="default" w:ascii="Times New Roman" w:hAnsi="Times New Roman" w:eastAsia="宋体" w:cs="Times New Roman"/>
          <w:color w:val="auto"/>
          <w:kern w:val="0"/>
          <w:sz w:val="22"/>
          <w:szCs w:val="22"/>
          <w:highlight w:val="none"/>
          <w:lang w:val="en-US" w:eastAsia="zh-CN" w:bidi="ar"/>
        </w:rPr>
        <w:t>；</w:t>
      </w:r>
    </w:p>
    <w:p w14:paraId="289BC12D">
      <w:pPr>
        <w:keepNext w:val="0"/>
        <w:keepLines w:val="0"/>
        <w:widowControl w:val="0"/>
        <w:suppressLineNumbers w:val="0"/>
        <w:spacing w:before="0" w:beforeAutospacing="0" w:after="0" w:afterAutospacing="0" w:line="420" w:lineRule="exact"/>
        <w:ind w:left="0" w:right="0" w:firstLine="220" w:firstLineChars="100"/>
        <w:jc w:val="left"/>
        <w:rPr>
          <w:rFonts w:hint="default" w:ascii="Times New Roman" w:hAnsi="Times New Roman" w:eastAsia="宋体" w:cs="Times New Roman"/>
          <w:color w:val="auto"/>
          <w:kern w:val="0"/>
          <w:sz w:val="22"/>
          <w:szCs w:val="22"/>
          <w:highlight w:val="none"/>
          <w:u w:val="single"/>
          <w:lang w:val="en-US"/>
        </w:rPr>
      </w:pPr>
      <w:r>
        <w:rPr>
          <w:rFonts w:hint="default" w:ascii="Times New Roman" w:hAnsi="Times New Roman" w:eastAsia="宋体" w:cs="Times New Roman"/>
          <w:color w:val="auto"/>
          <w:kern w:val="0"/>
          <w:sz w:val="22"/>
          <w:szCs w:val="22"/>
          <w:highlight w:val="none"/>
          <w:lang w:val="en-US" w:eastAsia="zh-CN" w:bidi="ar"/>
        </w:rPr>
        <w:t>风险费用的计算方法：</w:t>
      </w:r>
      <w:r>
        <w:rPr>
          <w:rFonts w:hint="default" w:ascii="Times New Roman" w:hAnsi="Times New Roman" w:eastAsia="宋体" w:cs="Times New Roman"/>
          <w:color w:val="auto"/>
          <w:kern w:val="0"/>
          <w:sz w:val="22"/>
          <w:szCs w:val="22"/>
          <w:highlight w:val="none"/>
          <w:u w:val="single"/>
          <w:lang w:val="en-US" w:eastAsia="zh-CN" w:bidi="ar"/>
        </w:rPr>
        <w:t xml:space="preserve">                                     </w:t>
      </w:r>
      <w:r>
        <w:rPr>
          <w:rFonts w:hint="default" w:ascii="Times New Roman" w:hAnsi="Times New Roman" w:eastAsia="宋体" w:cs="Times New Roman"/>
          <w:color w:val="auto"/>
          <w:kern w:val="0"/>
          <w:sz w:val="22"/>
          <w:szCs w:val="22"/>
          <w:highlight w:val="none"/>
          <w:lang w:val="en-US" w:eastAsia="zh-CN" w:bidi="ar"/>
        </w:rPr>
        <w:t xml:space="preserve"> ；</w:t>
      </w:r>
    </w:p>
    <w:p w14:paraId="58AE6130">
      <w:pPr>
        <w:keepNext w:val="0"/>
        <w:keepLines w:val="0"/>
        <w:widowControl w:val="0"/>
        <w:suppressLineNumbers w:val="0"/>
        <w:spacing w:before="0" w:beforeAutospacing="0" w:after="0" w:afterAutospacing="0" w:line="420" w:lineRule="exact"/>
        <w:ind w:left="0" w:right="0" w:firstLine="220" w:firstLineChars="100"/>
        <w:jc w:val="left"/>
        <w:rPr>
          <w:rFonts w:hint="default" w:ascii="Times New Roman" w:hAnsi="Times New Roman" w:eastAsia="宋体" w:cs="Times New Roman"/>
          <w:color w:val="auto"/>
          <w:sz w:val="22"/>
          <w:szCs w:val="22"/>
          <w:highlight w:val="none"/>
          <w:lang w:val="en-US"/>
        </w:rPr>
      </w:pPr>
      <w:r>
        <w:rPr>
          <w:rFonts w:hint="default" w:ascii="Times New Roman" w:hAnsi="Times New Roman" w:eastAsia="宋体" w:cs="Times New Roman"/>
          <w:color w:val="auto"/>
          <w:kern w:val="0"/>
          <w:sz w:val="22"/>
          <w:szCs w:val="22"/>
          <w:highlight w:val="none"/>
          <w:lang w:val="en-US" w:eastAsia="zh-CN" w:bidi="ar"/>
        </w:rPr>
        <w:t>风险范围以外合同价款调整方法：</w:t>
      </w:r>
      <w:r>
        <w:rPr>
          <w:rFonts w:hint="default" w:ascii="Times New Roman" w:hAnsi="Times New Roman" w:eastAsia="宋体" w:cs="Times New Roman"/>
          <w:color w:val="auto"/>
          <w:kern w:val="2"/>
          <w:sz w:val="22"/>
          <w:szCs w:val="22"/>
          <w:highlight w:val="none"/>
          <w:u w:val="single"/>
          <w:lang w:val="en-US" w:eastAsia="zh-CN" w:bidi="ar"/>
        </w:rPr>
        <w:t xml:space="preserve">                                </w:t>
      </w:r>
      <w:r>
        <w:rPr>
          <w:rFonts w:hint="default" w:ascii="Times New Roman" w:hAnsi="Times New Roman" w:eastAsia="宋体" w:cs="Times New Roman"/>
          <w:color w:val="auto"/>
          <w:kern w:val="2"/>
          <w:sz w:val="22"/>
          <w:szCs w:val="22"/>
          <w:highlight w:val="none"/>
          <w:lang w:val="en-US" w:eastAsia="zh-CN" w:bidi="ar"/>
        </w:rPr>
        <w:t>。</w:t>
      </w:r>
    </w:p>
    <w:p w14:paraId="53BA19FF">
      <w:pPr>
        <w:keepNext w:val="0"/>
        <w:keepLines w:val="0"/>
        <w:widowControl w:val="0"/>
        <w:suppressLineNumbers w:val="0"/>
        <w:spacing w:before="0" w:beforeAutospacing="0" w:after="0" w:afterAutospacing="0" w:line="420" w:lineRule="exact"/>
        <w:ind w:left="178" w:leftChars="85" w:right="0" w:firstLine="52" w:firstLineChars="24"/>
        <w:jc w:val="left"/>
        <w:rPr>
          <w:rFonts w:hint="default" w:ascii="Times New Roman" w:hAnsi="Times New Roman" w:eastAsia="宋体" w:cs="Times New Roman"/>
          <w:color w:val="auto"/>
          <w:kern w:val="0"/>
          <w:sz w:val="22"/>
          <w:szCs w:val="22"/>
          <w:highlight w:val="none"/>
          <w:u w:val="single"/>
          <w:lang w:val="en-US"/>
        </w:rPr>
      </w:pPr>
      <w:r>
        <w:rPr>
          <w:rFonts w:hint="default" w:ascii="Times New Roman" w:hAnsi="Times New Roman" w:eastAsia="宋体" w:cs="Times New Roman"/>
          <w:color w:val="auto"/>
          <w:kern w:val="0"/>
          <w:sz w:val="22"/>
          <w:szCs w:val="22"/>
          <w:highlight w:val="none"/>
          <w:lang w:val="en-US" w:eastAsia="zh-CN" w:bidi="ar"/>
        </w:rPr>
        <w:t xml:space="preserve">    本合同项目的承包范围、承包内容为总价包干，当原承包范围、承包内容出现经发包人批准的设计变更（包括超出本合同的承包范围、承包内容的设计变更项目）以及</w:t>
      </w:r>
      <w:r>
        <w:rPr>
          <w:rFonts w:hint="default" w:ascii="Times New Roman" w:hAnsi="Times New Roman" w:eastAsia="宋体" w:cs="Times New Roman"/>
          <w:color w:val="auto"/>
          <w:kern w:val="0"/>
          <w:sz w:val="22"/>
          <w:szCs w:val="22"/>
          <w:highlight w:val="none"/>
          <w:u w:val="single"/>
          <w:lang w:val="en-US" w:eastAsia="zh-CN" w:bidi="ar"/>
        </w:rPr>
        <w:t xml:space="preserve">                     </w:t>
      </w:r>
    </w:p>
    <w:p w14:paraId="38AECE69">
      <w:pPr>
        <w:keepNext w:val="0"/>
        <w:keepLines w:val="0"/>
        <w:widowControl w:val="0"/>
        <w:suppressLineNumbers w:val="0"/>
        <w:spacing w:before="0" w:beforeAutospacing="0" w:after="0" w:afterAutospacing="0" w:line="420" w:lineRule="exact"/>
        <w:ind w:left="178" w:leftChars="85" w:right="0" w:firstLine="2"/>
        <w:jc w:val="left"/>
        <w:rPr>
          <w:rFonts w:hint="default" w:ascii="Times New Roman" w:hAnsi="Times New Roman" w:eastAsia="宋体" w:cs="Times New Roman"/>
          <w:color w:val="auto"/>
          <w:kern w:val="0"/>
          <w:sz w:val="22"/>
          <w:szCs w:val="22"/>
          <w:highlight w:val="none"/>
          <w:lang w:val="en-US"/>
        </w:rPr>
      </w:pPr>
      <w:r>
        <w:rPr>
          <w:rFonts w:hint="default" w:ascii="Times New Roman" w:hAnsi="Times New Roman" w:eastAsia="宋体" w:cs="Times New Roman"/>
          <w:color w:val="auto"/>
          <w:kern w:val="0"/>
          <w:sz w:val="22"/>
          <w:szCs w:val="22"/>
          <w:highlight w:val="none"/>
          <w:u w:val="single"/>
          <w:lang w:val="en-US" w:eastAsia="zh-CN" w:bidi="ar"/>
        </w:rPr>
        <w:t xml:space="preserve">          </w:t>
      </w:r>
      <w:r>
        <w:rPr>
          <w:rFonts w:hint="default" w:ascii="Times New Roman" w:hAnsi="Times New Roman" w:eastAsia="宋体" w:cs="Times New Roman"/>
          <w:color w:val="auto"/>
          <w:kern w:val="0"/>
          <w:sz w:val="22"/>
          <w:szCs w:val="22"/>
          <w:highlight w:val="none"/>
          <w:lang w:val="en-US" w:eastAsia="zh-CN" w:bidi="ar"/>
        </w:rPr>
        <w:t>时，变更项目的工程造价采用</w:t>
      </w:r>
      <w:r>
        <w:rPr>
          <w:rFonts w:hint="default" w:ascii="Times New Roman" w:hAnsi="Times New Roman" w:eastAsia="宋体" w:cs="Times New Roman"/>
          <w:color w:val="auto"/>
          <w:kern w:val="0"/>
          <w:sz w:val="22"/>
          <w:szCs w:val="22"/>
          <w:highlight w:val="none"/>
          <w:u w:val="single"/>
          <w:lang w:val="en-US" w:eastAsia="zh-CN" w:bidi="ar"/>
        </w:rPr>
        <w:t xml:space="preserve">                       </w:t>
      </w:r>
      <w:r>
        <w:rPr>
          <w:rFonts w:hint="default" w:ascii="Times New Roman" w:hAnsi="Times New Roman" w:eastAsia="宋体" w:cs="Times New Roman"/>
          <w:color w:val="auto"/>
          <w:kern w:val="0"/>
          <w:sz w:val="22"/>
          <w:szCs w:val="22"/>
          <w:highlight w:val="none"/>
          <w:lang w:val="en-US" w:eastAsia="zh-CN" w:bidi="ar"/>
        </w:rPr>
        <w:t>计价方法进行计价，并按照国家、省、市有关规范、规定以及计价办法、工程量计算规则执行，工程量按</w:t>
      </w:r>
      <w:r>
        <w:rPr>
          <w:rFonts w:hint="default" w:ascii="Times New Roman" w:hAnsi="Times New Roman" w:eastAsia="宋体" w:cs="Times New Roman"/>
          <w:color w:val="auto"/>
          <w:kern w:val="0"/>
          <w:sz w:val="22"/>
          <w:szCs w:val="22"/>
          <w:highlight w:val="none"/>
          <w:u w:val="single"/>
          <w:lang w:val="en-US" w:eastAsia="zh-CN" w:bidi="ar"/>
        </w:rPr>
        <w:t xml:space="preserve">                                                       </w:t>
      </w:r>
      <w:r>
        <w:rPr>
          <w:rFonts w:hint="default" w:ascii="Times New Roman" w:hAnsi="Times New Roman" w:eastAsia="宋体" w:cs="Times New Roman"/>
          <w:color w:val="auto"/>
          <w:kern w:val="0"/>
          <w:sz w:val="22"/>
          <w:szCs w:val="22"/>
          <w:highlight w:val="none"/>
          <w:lang w:val="en-US" w:eastAsia="zh-CN" w:bidi="ar"/>
        </w:rPr>
        <w:t>计价方法计算，其中的人工、材料、机械台班价格按实际施工期间建设行政主管部门发布的</w:t>
      </w:r>
      <w:r>
        <w:rPr>
          <w:rFonts w:hint="default" w:ascii="Times New Roman" w:hAnsi="Times New Roman" w:eastAsia="宋体" w:cs="Times New Roman"/>
          <w:color w:val="auto"/>
          <w:kern w:val="0"/>
          <w:sz w:val="22"/>
          <w:szCs w:val="22"/>
          <w:highlight w:val="none"/>
          <w:u w:val="single"/>
          <w:lang w:val="en-US" w:eastAsia="zh-CN" w:bidi="ar"/>
        </w:rPr>
        <w:t xml:space="preserve">          </w:t>
      </w:r>
      <w:r>
        <w:rPr>
          <w:rFonts w:hint="default" w:ascii="Times New Roman" w:hAnsi="Times New Roman" w:eastAsia="宋体" w:cs="Times New Roman"/>
          <w:color w:val="auto"/>
          <w:kern w:val="0"/>
          <w:sz w:val="22"/>
          <w:szCs w:val="22"/>
          <w:highlight w:val="none"/>
          <w:lang w:val="en-US" w:eastAsia="zh-CN" w:bidi="ar"/>
        </w:rPr>
        <w:t>规定执行，建设行政主管部门没有发布的某些内容、品种由发包人和承包人约定按</w:t>
      </w:r>
      <w:r>
        <w:rPr>
          <w:rFonts w:hint="default" w:ascii="Times New Roman" w:hAnsi="Times New Roman" w:eastAsia="宋体" w:cs="Times New Roman"/>
          <w:color w:val="auto"/>
          <w:kern w:val="0"/>
          <w:sz w:val="22"/>
          <w:szCs w:val="22"/>
          <w:highlight w:val="none"/>
          <w:u w:val="single"/>
          <w:lang w:val="en-US" w:eastAsia="zh-CN" w:bidi="ar"/>
        </w:rPr>
        <w:t xml:space="preserve">                     </w:t>
      </w:r>
      <w:r>
        <w:rPr>
          <w:rFonts w:hint="default" w:ascii="Times New Roman" w:hAnsi="Times New Roman" w:eastAsia="宋体" w:cs="Times New Roman"/>
          <w:color w:val="auto"/>
          <w:kern w:val="0"/>
          <w:sz w:val="22"/>
          <w:szCs w:val="22"/>
          <w:highlight w:val="none"/>
          <w:lang w:val="en-US" w:eastAsia="zh-CN" w:bidi="ar"/>
        </w:rPr>
        <w:t>计算；或由发包人和承包人约定人工、材料、机械台班价格根据建设标准要求按</w:t>
      </w:r>
      <w:r>
        <w:rPr>
          <w:rFonts w:hint="default" w:ascii="Times New Roman" w:hAnsi="Times New Roman" w:eastAsia="宋体" w:cs="Times New Roman"/>
          <w:color w:val="auto"/>
          <w:kern w:val="0"/>
          <w:sz w:val="22"/>
          <w:szCs w:val="22"/>
          <w:highlight w:val="none"/>
          <w:u w:val="single"/>
          <w:lang w:val="en-US" w:eastAsia="zh-CN" w:bidi="ar"/>
        </w:rPr>
        <w:t xml:space="preserve">                      </w:t>
      </w:r>
      <w:r>
        <w:rPr>
          <w:rFonts w:hint="default" w:ascii="Times New Roman" w:hAnsi="Times New Roman" w:eastAsia="宋体" w:cs="Times New Roman"/>
          <w:color w:val="auto"/>
          <w:kern w:val="0"/>
          <w:sz w:val="22"/>
          <w:szCs w:val="22"/>
          <w:highlight w:val="none"/>
          <w:lang w:val="en-US" w:eastAsia="zh-CN" w:bidi="ar"/>
        </w:rPr>
        <w:t>计算。如变更项目采用定额计价的，造价的确定依据广东省计价依据、广东省相关定额、广州市补充定额，若个别项目没有定额可套用，由发包人和承包人根据实际情况签订补充合同或协议作出约定；若项目实施期间定额更新，建设行政主管部门对新旧定额的使用办法有规定的从其规定，没有规定或规定不明确的，由发包人和承包人根据实际情况签订补充合同或协议作出约定。</w:t>
      </w:r>
    </w:p>
    <w:p w14:paraId="131B2D6A">
      <w:pPr>
        <w:keepNext w:val="0"/>
        <w:keepLines w:val="0"/>
        <w:widowControl w:val="0"/>
        <w:suppressLineNumbers w:val="0"/>
        <w:spacing w:before="0" w:beforeAutospacing="0" w:after="0" w:afterAutospacing="0" w:line="420" w:lineRule="exact"/>
        <w:ind w:left="178" w:leftChars="85" w:right="0" w:firstLine="382" w:firstLineChars="174"/>
        <w:jc w:val="left"/>
        <w:rPr>
          <w:rFonts w:hint="default" w:ascii="Times New Roman" w:hAnsi="Times New Roman" w:eastAsia="宋体" w:cs="Times New Roman"/>
          <w:color w:val="auto"/>
          <w:kern w:val="0"/>
          <w:sz w:val="22"/>
          <w:szCs w:val="22"/>
          <w:highlight w:val="none"/>
          <w:lang w:val="en-US" w:eastAsia="zh-CN" w:bidi="ar"/>
        </w:rPr>
      </w:pPr>
      <w:r>
        <w:rPr>
          <w:rFonts w:hint="default" w:ascii="Times New Roman" w:hAnsi="Times New Roman" w:eastAsia="宋体" w:cs="Times New Roman"/>
          <w:color w:val="auto"/>
          <w:kern w:val="0"/>
          <w:sz w:val="22"/>
          <w:szCs w:val="22"/>
          <w:highlight w:val="none"/>
          <w:lang w:val="en-US" w:eastAsia="zh-CN" w:bidi="ar"/>
        </w:rPr>
        <w:t>措施项目费、其他项目费的调整：</w:t>
      </w:r>
    </w:p>
    <w:p w14:paraId="3C7BC8D3">
      <w:pPr>
        <w:keepNext w:val="0"/>
        <w:keepLines w:val="0"/>
        <w:widowControl w:val="0"/>
        <w:suppressLineNumbers w:val="0"/>
        <w:spacing w:before="0" w:beforeAutospacing="0" w:after="0" w:afterAutospacing="0" w:line="420" w:lineRule="exact"/>
        <w:ind w:left="178" w:leftChars="85" w:right="0" w:firstLine="382" w:firstLineChars="174"/>
        <w:jc w:val="left"/>
        <w:rPr>
          <w:rFonts w:hint="default" w:ascii="Times New Roman" w:hAnsi="Times New Roman" w:eastAsia="宋体" w:cs="Times New Roman"/>
          <w:color w:val="auto"/>
          <w:kern w:val="0"/>
          <w:sz w:val="22"/>
          <w:szCs w:val="22"/>
          <w:highlight w:val="none"/>
          <w:lang w:val="en-US" w:eastAsia="zh-CN" w:bidi="ar"/>
        </w:rPr>
      </w:pPr>
      <w:r>
        <w:rPr>
          <w:rFonts w:hint="default" w:ascii="Times New Roman" w:hAnsi="Times New Roman" w:eastAsia="宋体" w:cs="Times New Roman"/>
          <w:color w:val="auto"/>
          <w:kern w:val="0"/>
          <w:sz w:val="22"/>
          <w:szCs w:val="22"/>
          <w:highlight w:val="none"/>
          <w:lang w:val="en-US" w:eastAsia="zh-CN" w:bidi="ar"/>
        </w:rPr>
        <w:t>□按通用条款规定的调整事件内容调整；</w:t>
      </w:r>
    </w:p>
    <w:p w14:paraId="1B5F14B6">
      <w:pPr>
        <w:keepNext w:val="0"/>
        <w:keepLines w:val="0"/>
        <w:widowControl w:val="0"/>
        <w:suppressLineNumbers w:val="0"/>
        <w:spacing w:before="0" w:beforeAutospacing="0" w:after="0" w:afterAutospacing="0" w:line="420" w:lineRule="exact"/>
        <w:ind w:left="178" w:leftChars="85" w:right="0" w:firstLine="382" w:firstLineChars="174"/>
        <w:jc w:val="left"/>
        <w:rPr>
          <w:rFonts w:hint="default" w:ascii="Times New Roman" w:hAnsi="Times New Roman" w:eastAsia="宋体" w:cs="Times New Roman"/>
          <w:color w:val="auto"/>
          <w:kern w:val="0"/>
          <w:sz w:val="22"/>
          <w:szCs w:val="22"/>
          <w:highlight w:val="none"/>
          <w:lang w:val="en-US" w:eastAsia="zh-CN" w:bidi="ar"/>
        </w:rPr>
      </w:pPr>
      <w:r>
        <w:rPr>
          <w:rFonts w:hint="default" w:ascii="Times New Roman" w:hAnsi="Times New Roman" w:eastAsia="宋体" w:cs="Times New Roman"/>
          <w:color w:val="auto"/>
          <w:kern w:val="0"/>
          <w:sz w:val="22"/>
          <w:szCs w:val="22"/>
          <w:highlight w:val="none"/>
          <w:lang w:val="en-US" w:eastAsia="zh-CN" w:bidi="ar"/>
        </w:rPr>
        <w:t xml:space="preserve">□按广东省定额规定计算；  </w:t>
      </w:r>
    </w:p>
    <w:p w14:paraId="2EAB8973">
      <w:pPr>
        <w:keepNext w:val="0"/>
        <w:keepLines w:val="0"/>
        <w:widowControl w:val="0"/>
        <w:suppressLineNumbers w:val="0"/>
        <w:spacing w:before="0" w:beforeAutospacing="0" w:after="0" w:afterAutospacing="0" w:line="420" w:lineRule="exact"/>
        <w:ind w:left="178" w:leftChars="85" w:right="0" w:firstLine="382" w:firstLineChars="174"/>
        <w:jc w:val="left"/>
        <w:rPr>
          <w:rFonts w:hint="default" w:ascii="Times New Roman" w:hAnsi="Times New Roman" w:eastAsia="宋体" w:cs="Times New Roman"/>
          <w:color w:val="auto"/>
          <w:kern w:val="0"/>
          <w:sz w:val="22"/>
          <w:szCs w:val="22"/>
          <w:highlight w:val="none"/>
          <w:u w:val="single"/>
          <w:lang w:val="en-US"/>
        </w:rPr>
      </w:pPr>
      <w:r>
        <w:rPr>
          <w:rFonts w:hint="default" w:ascii="Times New Roman" w:hAnsi="Times New Roman" w:eastAsia="宋体" w:cs="Times New Roman"/>
          <w:color w:val="auto"/>
          <w:kern w:val="0"/>
          <w:sz w:val="22"/>
          <w:szCs w:val="22"/>
          <w:highlight w:val="none"/>
          <w:lang w:val="en-US" w:eastAsia="zh-CN" w:bidi="ar"/>
        </w:rPr>
        <w:t>□由发包人和承包人根据实际情况约定按</w:t>
      </w:r>
      <w:r>
        <w:rPr>
          <w:rFonts w:hint="default" w:ascii="Times New Roman" w:hAnsi="Times New Roman" w:eastAsia="宋体" w:cs="Times New Roman"/>
          <w:color w:val="auto"/>
          <w:kern w:val="0"/>
          <w:sz w:val="22"/>
          <w:szCs w:val="22"/>
          <w:highlight w:val="none"/>
          <w:u w:val="single"/>
          <w:lang w:val="en-US" w:eastAsia="zh-CN" w:bidi="ar"/>
        </w:rPr>
        <w:t xml:space="preserve">                           </w:t>
      </w:r>
      <w:r>
        <w:rPr>
          <w:rFonts w:hint="default" w:ascii="Times New Roman" w:hAnsi="Times New Roman" w:eastAsia="宋体" w:cs="Times New Roman"/>
          <w:color w:val="auto"/>
          <w:kern w:val="0"/>
          <w:sz w:val="22"/>
          <w:szCs w:val="22"/>
          <w:highlight w:val="none"/>
          <w:lang w:val="en-US" w:eastAsia="zh-CN" w:bidi="ar"/>
        </w:rPr>
        <w:t>调整。</w:t>
      </w:r>
    </w:p>
    <w:p w14:paraId="42C9840F">
      <w:pPr>
        <w:keepNext w:val="0"/>
        <w:keepLines w:val="0"/>
        <w:widowControl w:val="0"/>
        <w:suppressLineNumbers w:val="0"/>
        <w:spacing w:before="0" w:beforeAutospacing="0" w:after="0" w:afterAutospacing="0" w:line="420" w:lineRule="exact"/>
        <w:ind w:left="118" w:leftChars="56" w:right="0" w:firstLine="440" w:firstLineChars="200"/>
        <w:jc w:val="left"/>
        <w:rPr>
          <w:rFonts w:hint="default" w:ascii="Times New Roman" w:hAnsi="Times New Roman" w:eastAsia="宋体" w:cs="Times New Roman"/>
          <w:color w:val="auto"/>
          <w:kern w:val="0"/>
          <w:sz w:val="22"/>
          <w:szCs w:val="22"/>
          <w:highlight w:val="none"/>
          <w:lang w:val="en-US"/>
        </w:rPr>
      </w:pPr>
      <w:r>
        <w:rPr>
          <w:rFonts w:hint="default" w:ascii="Times New Roman" w:hAnsi="Times New Roman" w:cs="Times New Roman"/>
          <w:color w:val="auto"/>
          <w:kern w:val="0"/>
          <w:sz w:val="22"/>
          <w:szCs w:val="22"/>
          <w:highlight w:val="none"/>
          <w:lang w:val="en-US" w:eastAsia="zh-CN" w:bidi="ar"/>
        </w:rPr>
        <w:t>其他</w:t>
      </w:r>
      <w:r>
        <w:rPr>
          <w:rFonts w:hint="default" w:ascii="Times New Roman" w:hAnsi="Times New Roman" w:eastAsia="宋体" w:cs="Times New Roman"/>
          <w:color w:val="auto"/>
          <w:kern w:val="0"/>
          <w:sz w:val="22"/>
          <w:szCs w:val="22"/>
          <w:highlight w:val="none"/>
          <w:lang w:val="en-US" w:eastAsia="zh-CN" w:bidi="ar"/>
        </w:rPr>
        <w:t>调整内容：</w:t>
      </w:r>
      <w:r>
        <w:rPr>
          <w:rFonts w:hint="default" w:ascii="Times New Roman" w:hAnsi="Times New Roman" w:eastAsia="宋体" w:cs="Times New Roman"/>
          <w:color w:val="auto"/>
          <w:kern w:val="0"/>
          <w:sz w:val="22"/>
          <w:szCs w:val="22"/>
          <w:highlight w:val="none"/>
          <w:u w:val="single"/>
          <w:lang w:val="en-US" w:eastAsia="zh-CN" w:bidi="ar"/>
        </w:rPr>
        <w:t xml:space="preserve">                                                                  </w:t>
      </w:r>
      <w:r>
        <w:rPr>
          <w:rFonts w:hint="default" w:ascii="Times New Roman" w:hAnsi="Times New Roman" w:eastAsia="宋体" w:cs="Times New Roman"/>
          <w:color w:val="auto"/>
          <w:kern w:val="0"/>
          <w:sz w:val="22"/>
          <w:szCs w:val="22"/>
          <w:highlight w:val="none"/>
          <w:lang w:val="en-US" w:eastAsia="zh-CN" w:bidi="ar"/>
        </w:rPr>
        <w:t>。</w:t>
      </w:r>
    </w:p>
    <w:p w14:paraId="3E84F4A8">
      <w:pPr>
        <w:keepNext w:val="0"/>
        <w:keepLines w:val="0"/>
        <w:widowControl w:val="0"/>
        <w:suppressLineNumbers w:val="0"/>
        <w:spacing w:before="0" w:beforeAutospacing="0" w:after="0" w:afterAutospacing="0" w:line="420" w:lineRule="exact"/>
        <w:ind w:left="0" w:right="0" w:firstLine="550" w:firstLineChars="250"/>
        <w:jc w:val="left"/>
        <w:rPr>
          <w:rFonts w:hint="default" w:ascii="Times New Roman" w:hAnsi="Times New Roman" w:eastAsia="宋体" w:cs="Times New Roman"/>
          <w:color w:val="auto"/>
          <w:kern w:val="0"/>
          <w:sz w:val="22"/>
          <w:szCs w:val="22"/>
          <w:highlight w:val="none"/>
          <w:lang w:val="en-US"/>
        </w:rPr>
      </w:pPr>
      <w:r>
        <w:rPr>
          <w:rFonts w:hint="default" w:ascii="Times New Roman" w:hAnsi="Times New Roman" w:eastAsia="宋体" w:cs="Times New Roman"/>
          <w:color w:val="auto"/>
          <w:kern w:val="0"/>
          <w:sz w:val="22"/>
          <w:szCs w:val="22"/>
          <w:highlight w:val="none"/>
          <w:lang w:val="en-US" w:eastAsia="zh-CN" w:bidi="ar"/>
        </w:rPr>
        <w:t>本合同项目的结算造价确定方式：</w:t>
      </w:r>
      <w:r>
        <w:rPr>
          <w:rFonts w:hint="default" w:ascii="Times New Roman" w:hAnsi="Times New Roman" w:eastAsia="宋体" w:cs="Times New Roman"/>
          <w:color w:val="auto"/>
          <w:kern w:val="0"/>
          <w:sz w:val="22"/>
          <w:szCs w:val="22"/>
          <w:highlight w:val="none"/>
          <w:u w:val="single"/>
          <w:lang w:val="en-US" w:eastAsia="zh-CN" w:bidi="ar"/>
        </w:rPr>
        <w:t xml:space="preserve">                                                  </w:t>
      </w:r>
      <w:r>
        <w:rPr>
          <w:rFonts w:hint="default" w:ascii="Times New Roman" w:hAnsi="Times New Roman" w:eastAsia="宋体" w:cs="Times New Roman"/>
          <w:color w:val="auto"/>
          <w:kern w:val="0"/>
          <w:sz w:val="22"/>
          <w:szCs w:val="22"/>
          <w:highlight w:val="none"/>
          <w:lang w:val="en-US" w:eastAsia="zh-CN" w:bidi="ar"/>
        </w:rPr>
        <w:t>。</w:t>
      </w:r>
    </w:p>
    <w:p w14:paraId="5CA0A9B4">
      <w:pPr>
        <w:keepNext w:val="0"/>
        <w:keepLines w:val="0"/>
        <w:widowControl w:val="0"/>
        <w:suppressLineNumbers w:val="0"/>
        <w:spacing w:before="0" w:beforeAutospacing="0" w:after="0" w:afterAutospacing="0" w:line="420" w:lineRule="exact"/>
        <w:ind w:left="0" w:right="0"/>
        <w:jc w:val="left"/>
        <w:rPr>
          <w:rFonts w:hint="default" w:ascii="Times New Roman" w:hAnsi="Times New Roman" w:eastAsia="宋体" w:cs="Times New Roman"/>
          <w:color w:val="auto"/>
          <w:kern w:val="0"/>
          <w:sz w:val="22"/>
          <w:szCs w:val="22"/>
          <w:highlight w:val="none"/>
          <w:lang w:val="en-US"/>
        </w:rPr>
      </w:pPr>
    </w:p>
    <w:p w14:paraId="4CC43B84">
      <w:pPr>
        <w:keepNext w:val="0"/>
        <w:keepLines w:val="0"/>
        <w:widowControl w:val="0"/>
        <w:suppressLineNumbers w:val="0"/>
        <w:spacing w:before="0" w:beforeAutospacing="0" w:after="0" w:afterAutospacing="0" w:line="420" w:lineRule="exact"/>
        <w:ind w:left="0" w:right="0" w:firstLine="330" w:firstLineChars="150"/>
        <w:jc w:val="left"/>
        <w:rPr>
          <w:rFonts w:hint="default" w:ascii="Times New Roman" w:hAnsi="Times New Roman" w:eastAsia="宋体" w:cs="Times New Roman"/>
          <w:color w:val="auto"/>
          <w:kern w:val="0"/>
          <w:sz w:val="22"/>
          <w:szCs w:val="22"/>
          <w:highlight w:val="none"/>
          <w:lang w:val="en-US"/>
        </w:rPr>
      </w:pPr>
      <w:r>
        <w:rPr>
          <w:rFonts w:hint="default" w:ascii="Times New Roman" w:hAnsi="Times New Roman" w:eastAsia="宋体" w:cs="Times New Roman"/>
          <w:color w:val="auto"/>
          <w:kern w:val="0"/>
          <w:sz w:val="22"/>
          <w:szCs w:val="22"/>
          <w:highlight w:val="none"/>
          <w:lang w:val="en-US" w:eastAsia="zh-CN" w:bidi="ar"/>
        </w:rPr>
        <w:t>□单价合同</w:t>
      </w:r>
    </w:p>
    <w:p w14:paraId="13BA9A51">
      <w:pPr>
        <w:keepNext w:val="0"/>
        <w:keepLines w:val="0"/>
        <w:widowControl w:val="0"/>
        <w:suppressLineNumbers w:val="0"/>
        <w:spacing w:before="0" w:beforeAutospacing="0" w:after="0" w:afterAutospacing="0" w:line="420" w:lineRule="exact"/>
        <w:ind w:left="237" w:leftChars="113" w:right="0" w:firstLine="550" w:firstLineChars="250"/>
        <w:jc w:val="left"/>
        <w:rPr>
          <w:rFonts w:hint="default" w:ascii="Times New Roman" w:hAnsi="Times New Roman" w:eastAsia="宋体" w:cs="Times New Roman"/>
          <w:color w:val="auto"/>
          <w:kern w:val="0"/>
          <w:sz w:val="22"/>
          <w:szCs w:val="22"/>
          <w:highlight w:val="none"/>
          <w:lang w:val="en-US"/>
        </w:rPr>
      </w:pPr>
      <w:r>
        <w:rPr>
          <w:rFonts w:hint="default" w:ascii="Times New Roman" w:hAnsi="Times New Roman" w:eastAsia="宋体" w:cs="Times New Roman"/>
          <w:color w:val="auto"/>
          <w:kern w:val="0"/>
          <w:sz w:val="22"/>
          <w:szCs w:val="22"/>
          <w:highlight w:val="none"/>
          <w:lang w:val="en-US" w:eastAsia="zh-CN" w:bidi="ar"/>
        </w:rPr>
        <w:t>本合同项目的工程承包价是由承包人以招标文件以及招标文件的图纸为依据，采用工程量清单计价方法，根据国家标准</w:t>
      </w:r>
      <w:r>
        <w:rPr>
          <w:rFonts w:hint="default" w:ascii="Times New Roman" w:hAnsi="Times New Roman" w:eastAsia="宋体" w:cs="Times New Roman"/>
          <w:color w:val="auto"/>
          <w:kern w:val="0"/>
          <w:sz w:val="22"/>
          <w:szCs w:val="22"/>
          <w:highlight w:val="none"/>
          <w:u w:val="single"/>
          <w:lang w:val="en-US" w:eastAsia="zh-CN" w:bidi="ar"/>
        </w:rPr>
        <w:t xml:space="preserve">                   </w:t>
      </w:r>
      <w:r>
        <w:rPr>
          <w:rFonts w:hint="default" w:ascii="Times New Roman" w:hAnsi="Times New Roman" w:eastAsia="宋体" w:cs="Times New Roman"/>
          <w:color w:val="auto"/>
          <w:kern w:val="0"/>
          <w:sz w:val="22"/>
          <w:szCs w:val="22"/>
          <w:highlight w:val="none"/>
          <w:lang w:val="en-US" w:eastAsia="zh-CN" w:bidi="ar"/>
        </w:rPr>
        <w:t>以及</w:t>
      </w:r>
      <w:r>
        <w:rPr>
          <w:rFonts w:hint="default" w:ascii="Times New Roman" w:hAnsi="Times New Roman" w:eastAsia="宋体" w:cs="Times New Roman"/>
          <w:color w:val="auto"/>
          <w:kern w:val="0"/>
          <w:sz w:val="22"/>
          <w:szCs w:val="22"/>
          <w:highlight w:val="none"/>
          <w:u w:val="single"/>
          <w:lang w:val="en-US" w:eastAsia="zh-CN" w:bidi="ar"/>
        </w:rPr>
        <w:t xml:space="preserve">            </w:t>
      </w:r>
      <w:r>
        <w:rPr>
          <w:rFonts w:hint="default" w:ascii="Times New Roman" w:hAnsi="Times New Roman" w:eastAsia="宋体" w:cs="Times New Roman"/>
          <w:color w:val="auto"/>
          <w:kern w:val="0"/>
          <w:sz w:val="22"/>
          <w:szCs w:val="22"/>
          <w:highlight w:val="none"/>
          <w:lang w:val="en-US" w:eastAsia="zh-CN" w:bidi="ar"/>
        </w:rPr>
        <w:t>计价办法，按照招标文件中工程量清单所开列的工作内容和估计工程量填报相应的综合单价后并累计合价，再加上措施项目费、其他项目费、规费和税金以及</w:t>
      </w:r>
      <w:r>
        <w:rPr>
          <w:rFonts w:hint="default" w:ascii="Times New Roman" w:hAnsi="Times New Roman" w:eastAsia="宋体" w:cs="Times New Roman"/>
          <w:color w:val="auto"/>
          <w:kern w:val="0"/>
          <w:sz w:val="22"/>
          <w:szCs w:val="22"/>
          <w:highlight w:val="none"/>
          <w:u w:val="single"/>
          <w:lang w:val="en-US" w:eastAsia="zh-CN" w:bidi="ar"/>
        </w:rPr>
        <w:t xml:space="preserve">        </w:t>
      </w:r>
      <w:r>
        <w:rPr>
          <w:rFonts w:hint="default" w:ascii="Times New Roman" w:hAnsi="Times New Roman" w:eastAsia="宋体" w:cs="Times New Roman"/>
          <w:color w:val="auto"/>
          <w:kern w:val="0"/>
          <w:sz w:val="22"/>
          <w:szCs w:val="22"/>
          <w:highlight w:val="none"/>
          <w:lang w:val="en-US" w:eastAsia="zh-CN" w:bidi="ar"/>
        </w:rPr>
        <w:t>等计算的合同价。结算时发包人依据中华人民共和国国家标准</w:t>
      </w:r>
      <w:r>
        <w:rPr>
          <w:rFonts w:hint="default" w:ascii="Times New Roman" w:hAnsi="Times New Roman" w:eastAsia="宋体" w:cs="Times New Roman"/>
          <w:color w:val="auto"/>
          <w:kern w:val="0"/>
          <w:sz w:val="22"/>
          <w:szCs w:val="22"/>
          <w:highlight w:val="none"/>
          <w:u w:val="single"/>
          <w:lang w:val="en-US" w:eastAsia="zh-CN" w:bidi="ar"/>
        </w:rPr>
        <w:t xml:space="preserve">                   </w:t>
      </w:r>
      <w:r>
        <w:rPr>
          <w:rFonts w:hint="default" w:ascii="Times New Roman" w:hAnsi="Times New Roman" w:eastAsia="宋体" w:cs="Times New Roman"/>
          <w:color w:val="auto"/>
          <w:kern w:val="0"/>
          <w:sz w:val="22"/>
          <w:szCs w:val="22"/>
          <w:highlight w:val="none"/>
          <w:lang w:val="en-US" w:eastAsia="zh-CN" w:bidi="ar"/>
        </w:rPr>
        <w:t>和</w:t>
      </w:r>
      <w:r>
        <w:rPr>
          <w:rFonts w:hint="default" w:ascii="Times New Roman" w:hAnsi="Times New Roman" w:eastAsia="宋体" w:cs="Times New Roman"/>
          <w:color w:val="auto"/>
          <w:kern w:val="0"/>
          <w:sz w:val="22"/>
          <w:szCs w:val="22"/>
          <w:highlight w:val="none"/>
          <w:u w:val="single"/>
          <w:lang w:val="en-US" w:eastAsia="zh-CN" w:bidi="ar"/>
        </w:rPr>
        <w:t xml:space="preserve">           </w:t>
      </w:r>
      <w:r>
        <w:rPr>
          <w:rFonts w:hint="default" w:ascii="Times New Roman" w:hAnsi="Times New Roman" w:eastAsia="宋体" w:cs="Times New Roman"/>
          <w:color w:val="auto"/>
          <w:kern w:val="0"/>
          <w:sz w:val="22"/>
          <w:szCs w:val="22"/>
          <w:highlight w:val="none"/>
          <w:lang w:val="en-US" w:eastAsia="zh-CN" w:bidi="ar"/>
        </w:rPr>
        <w:t>计价办法，以及图纸、</w:t>
      </w:r>
      <w:r>
        <w:rPr>
          <w:rFonts w:hint="default" w:ascii="Times New Roman" w:hAnsi="Times New Roman" w:eastAsia="宋体" w:cs="Times New Roman"/>
          <w:color w:val="auto"/>
          <w:kern w:val="0"/>
          <w:sz w:val="22"/>
          <w:szCs w:val="22"/>
          <w:highlight w:val="none"/>
          <w:u w:val="single"/>
          <w:lang w:val="en-US" w:eastAsia="zh-CN" w:bidi="ar"/>
        </w:rPr>
        <w:t xml:space="preserve">           </w:t>
      </w:r>
      <w:r>
        <w:rPr>
          <w:rFonts w:hint="default" w:ascii="Times New Roman" w:hAnsi="Times New Roman" w:eastAsia="宋体" w:cs="Times New Roman"/>
          <w:color w:val="auto"/>
          <w:kern w:val="0"/>
          <w:sz w:val="22"/>
          <w:szCs w:val="22"/>
          <w:highlight w:val="none"/>
          <w:lang w:val="en-US" w:eastAsia="zh-CN" w:bidi="ar"/>
        </w:rPr>
        <w:t>等规定计量确认的实际工程量乘以中标的综合单价，再加上措施项目费、其他项目费、规费、税金以及</w:t>
      </w:r>
      <w:r>
        <w:rPr>
          <w:rFonts w:hint="default" w:ascii="Times New Roman" w:hAnsi="Times New Roman" w:eastAsia="宋体" w:cs="Times New Roman"/>
          <w:color w:val="auto"/>
          <w:kern w:val="0"/>
          <w:sz w:val="22"/>
          <w:szCs w:val="22"/>
          <w:highlight w:val="none"/>
          <w:u w:val="single"/>
          <w:lang w:val="en-US" w:eastAsia="zh-CN" w:bidi="ar"/>
        </w:rPr>
        <w:t xml:space="preserve">        </w:t>
      </w:r>
      <w:r>
        <w:rPr>
          <w:rFonts w:hint="default" w:ascii="Times New Roman" w:hAnsi="Times New Roman" w:eastAsia="宋体" w:cs="Times New Roman"/>
          <w:color w:val="auto"/>
          <w:kern w:val="0"/>
          <w:sz w:val="22"/>
          <w:szCs w:val="22"/>
          <w:highlight w:val="none"/>
          <w:lang w:val="en-US" w:eastAsia="zh-CN" w:bidi="ar"/>
        </w:rPr>
        <w:t>等计算的结算造价。</w:t>
      </w:r>
    </w:p>
    <w:p w14:paraId="5AA82734">
      <w:pPr>
        <w:keepNext w:val="0"/>
        <w:keepLines w:val="0"/>
        <w:widowControl w:val="0"/>
        <w:suppressLineNumbers w:val="0"/>
        <w:spacing w:before="0" w:beforeAutospacing="0" w:after="0" w:afterAutospacing="0" w:line="420" w:lineRule="exact"/>
        <w:ind w:left="0" w:right="0" w:firstLine="778" w:firstLineChars="354"/>
        <w:jc w:val="left"/>
        <w:rPr>
          <w:rFonts w:hint="default" w:ascii="Times New Roman" w:hAnsi="Times New Roman" w:eastAsia="宋体" w:cs="Times New Roman"/>
          <w:color w:val="auto"/>
          <w:sz w:val="22"/>
          <w:szCs w:val="22"/>
          <w:highlight w:val="none"/>
          <w:u w:val="single"/>
          <w:lang w:val="en-US"/>
        </w:rPr>
      </w:pPr>
      <w:r>
        <w:rPr>
          <w:rFonts w:hint="default" w:ascii="Times New Roman" w:hAnsi="Times New Roman" w:eastAsia="宋体" w:cs="Times New Roman"/>
          <w:color w:val="auto"/>
          <w:kern w:val="0"/>
          <w:sz w:val="22"/>
          <w:szCs w:val="22"/>
          <w:highlight w:val="none"/>
          <w:lang w:val="en-US" w:eastAsia="zh-CN" w:bidi="ar"/>
        </w:rPr>
        <w:t>综合单价包含的风险范围：</w:t>
      </w:r>
      <w:r>
        <w:rPr>
          <w:rFonts w:hint="default" w:ascii="Times New Roman" w:hAnsi="Times New Roman" w:eastAsia="宋体" w:cs="Times New Roman"/>
          <w:color w:val="auto"/>
          <w:kern w:val="0"/>
          <w:sz w:val="22"/>
          <w:szCs w:val="22"/>
          <w:highlight w:val="none"/>
          <w:u w:val="single"/>
          <w:lang w:val="en-US" w:eastAsia="zh-CN" w:bidi="ar"/>
        </w:rPr>
        <w:t xml:space="preserve">                                                   </w:t>
      </w:r>
      <w:r>
        <w:rPr>
          <w:rFonts w:hint="default" w:ascii="Times New Roman" w:hAnsi="Times New Roman" w:eastAsia="宋体" w:cs="Times New Roman"/>
          <w:color w:val="auto"/>
          <w:kern w:val="0"/>
          <w:sz w:val="22"/>
          <w:szCs w:val="22"/>
          <w:highlight w:val="none"/>
          <w:lang w:val="en-US" w:eastAsia="zh-CN" w:bidi="ar"/>
        </w:rPr>
        <w:t>。</w:t>
      </w:r>
    </w:p>
    <w:p w14:paraId="576FCFE8">
      <w:pPr>
        <w:keepNext w:val="0"/>
        <w:keepLines w:val="0"/>
        <w:widowControl w:val="0"/>
        <w:suppressLineNumbers w:val="0"/>
        <w:spacing w:before="0" w:beforeAutospacing="0" w:after="0" w:afterAutospacing="0" w:line="420" w:lineRule="exact"/>
        <w:ind w:left="0" w:right="0" w:firstLine="778" w:firstLineChars="354"/>
        <w:jc w:val="left"/>
        <w:rPr>
          <w:rFonts w:hint="default" w:ascii="Times New Roman" w:hAnsi="Times New Roman" w:eastAsia="宋体" w:cs="Times New Roman"/>
          <w:color w:val="auto"/>
          <w:sz w:val="22"/>
          <w:szCs w:val="22"/>
          <w:highlight w:val="none"/>
          <w:u w:val="single"/>
          <w:lang w:val="en-US"/>
        </w:rPr>
      </w:pPr>
      <w:r>
        <w:rPr>
          <w:rFonts w:hint="default" w:ascii="Times New Roman" w:hAnsi="Times New Roman" w:eastAsia="宋体" w:cs="Times New Roman"/>
          <w:color w:val="auto"/>
          <w:kern w:val="0"/>
          <w:sz w:val="22"/>
          <w:szCs w:val="22"/>
          <w:highlight w:val="none"/>
          <w:lang w:val="en-US" w:eastAsia="zh-CN" w:bidi="ar"/>
        </w:rPr>
        <w:t>风险费用的计算方法：</w:t>
      </w:r>
      <w:r>
        <w:rPr>
          <w:rFonts w:hint="default" w:ascii="Times New Roman" w:hAnsi="Times New Roman" w:eastAsia="宋体" w:cs="Times New Roman"/>
          <w:color w:val="auto"/>
          <w:kern w:val="0"/>
          <w:sz w:val="22"/>
          <w:szCs w:val="22"/>
          <w:highlight w:val="none"/>
          <w:u w:val="single"/>
          <w:lang w:val="en-US" w:eastAsia="zh-CN" w:bidi="ar"/>
        </w:rPr>
        <w:t xml:space="preserve">                                                       </w:t>
      </w:r>
      <w:r>
        <w:rPr>
          <w:rFonts w:hint="default" w:ascii="Times New Roman" w:hAnsi="Times New Roman" w:eastAsia="宋体" w:cs="Times New Roman"/>
          <w:color w:val="auto"/>
          <w:kern w:val="0"/>
          <w:sz w:val="22"/>
          <w:szCs w:val="22"/>
          <w:highlight w:val="none"/>
          <w:lang w:val="en-US" w:eastAsia="zh-CN" w:bidi="ar"/>
        </w:rPr>
        <w:t>。</w:t>
      </w:r>
    </w:p>
    <w:p w14:paraId="7632A41B">
      <w:pPr>
        <w:keepNext w:val="0"/>
        <w:keepLines w:val="0"/>
        <w:widowControl w:val="0"/>
        <w:suppressLineNumbers w:val="0"/>
        <w:spacing w:before="0" w:beforeAutospacing="0" w:after="0" w:afterAutospacing="0" w:line="420" w:lineRule="exact"/>
        <w:ind w:left="0" w:right="0" w:firstLine="778" w:firstLineChars="354"/>
        <w:jc w:val="left"/>
        <w:rPr>
          <w:rFonts w:hint="default" w:ascii="Times New Roman" w:hAnsi="Times New Roman" w:eastAsia="宋体" w:cs="Times New Roman"/>
          <w:color w:val="auto"/>
          <w:sz w:val="22"/>
          <w:szCs w:val="22"/>
          <w:highlight w:val="none"/>
          <w:lang w:val="en-US"/>
        </w:rPr>
      </w:pPr>
      <w:r>
        <w:rPr>
          <w:rFonts w:hint="default" w:ascii="Times New Roman" w:hAnsi="Times New Roman" w:eastAsia="宋体" w:cs="Times New Roman"/>
          <w:color w:val="auto"/>
          <w:kern w:val="0"/>
          <w:sz w:val="22"/>
          <w:szCs w:val="22"/>
          <w:highlight w:val="none"/>
          <w:lang w:val="en-US" w:eastAsia="zh-CN" w:bidi="ar"/>
        </w:rPr>
        <w:t>风险范围以外合同价格的调整方法：</w:t>
      </w:r>
      <w:r>
        <w:rPr>
          <w:rFonts w:hint="default" w:ascii="Times New Roman" w:hAnsi="Times New Roman" w:eastAsia="宋体" w:cs="Times New Roman"/>
          <w:color w:val="auto"/>
          <w:kern w:val="2"/>
          <w:sz w:val="22"/>
          <w:szCs w:val="22"/>
          <w:highlight w:val="none"/>
          <w:u w:val="single"/>
          <w:lang w:val="en-US" w:eastAsia="zh-CN" w:bidi="ar"/>
        </w:rPr>
        <w:t xml:space="preserve">                                  </w:t>
      </w:r>
      <w:r>
        <w:rPr>
          <w:rFonts w:hint="default" w:ascii="Times New Roman" w:hAnsi="Times New Roman" w:eastAsia="宋体" w:cs="Times New Roman"/>
          <w:color w:val="auto"/>
          <w:kern w:val="2"/>
          <w:sz w:val="22"/>
          <w:szCs w:val="22"/>
          <w:highlight w:val="none"/>
          <w:lang w:val="en-US" w:eastAsia="zh-CN" w:bidi="ar"/>
        </w:rPr>
        <w:t xml:space="preserve">。 </w:t>
      </w:r>
    </w:p>
    <w:p w14:paraId="0E43AF1F">
      <w:pPr>
        <w:keepNext w:val="0"/>
        <w:keepLines w:val="0"/>
        <w:widowControl w:val="0"/>
        <w:suppressLineNumbers w:val="0"/>
        <w:spacing w:before="0" w:beforeAutospacing="0" w:after="0" w:afterAutospacing="0" w:line="420" w:lineRule="exact"/>
        <w:ind w:left="237" w:leftChars="113" w:right="0" w:firstLine="440" w:firstLineChars="200"/>
        <w:jc w:val="left"/>
        <w:rPr>
          <w:rFonts w:hint="default" w:ascii="Times New Roman" w:hAnsi="Times New Roman" w:eastAsia="宋体" w:cs="Times New Roman"/>
          <w:color w:val="auto"/>
          <w:kern w:val="0"/>
          <w:sz w:val="22"/>
          <w:szCs w:val="22"/>
          <w:highlight w:val="none"/>
          <w:lang w:val="en-US"/>
        </w:rPr>
      </w:pPr>
      <w:r>
        <w:rPr>
          <w:rFonts w:hint="default" w:ascii="Times New Roman" w:hAnsi="Times New Roman" w:eastAsia="宋体" w:cs="Times New Roman"/>
          <w:color w:val="auto"/>
          <w:kern w:val="0"/>
          <w:sz w:val="22"/>
          <w:szCs w:val="22"/>
          <w:highlight w:val="none"/>
          <w:lang w:val="en-US" w:eastAsia="zh-CN" w:bidi="ar"/>
        </w:rPr>
        <w:t>在项目实施期间，招标文件工程量清单漏项的项目、设计变更的项目，经发包人审批确认后，按下列办法进行工程量及综合单价的计算：工程量依据国家标准</w:t>
      </w:r>
      <w:r>
        <w:rPr>
          <w:rFonts w:hint="default" w:ascii="Times New Roman" w:hAnsi="Times New Roman" w:eastAsia="宋体" w:cs="Times New Roman"/>
          <w:color w:val="auto"/>
          <w:kern w:val="0"/>
          <w:sz w:val="22"/>
          <w:szCs w:val="22"/>
          <w:highlight w:val="none"/>
          <w:u w:val="single"/>
          <w:lang w:val="en-US" w:eastAsia="zh-CN" w:bidi="ar"/>
        </w:rPr>
        <w:t xml:space="preserve">                   </w:t>
      </w:r>
      <w:r>
        <w:rPr>
          <w:rFonts w:hint="default" w:ascii="Times New Roman" w:hAnsi="Times New Roman" w:eastAsia="宋体" w:cs="Times New Roman"/>
          <w:color w:val="auto"/>
          <w:kern w:val="0"/>
          <w:sz w:val="22"/>
          <w:szCs w:val="22"/>
          <w:highlight w:val="none"/>
          <w:lang w:val="en-US" w:eastAsia="zh-CN" w:bidi="ar"/>
        </w:rPr>
        <w:t>以及</w:t>
      </w:r>
      <w:r>
        <w:rPr>
          <w:rFonts w:hint="default" w:ascii="Times New Roman" w:hAnsi="Times New Roman" w:eastAsia="宋体" w:cs="Times New Roman"/>
          <w:color w:val="auto"/>
          <w:kern w:val="0"/>
          <w:sz w:val="22"/>
          <w:szCs w:val="22"/>
          <w:highlight w:val="none"/>
          <w:u w:val="single"/>
          <w:lang w:val="en-US" w:eastAsia="zh-CN" w:bidi="ar"/>
        </w:rPr>
        <w:t xml:space="preserve">            </w:t>
      </w:r>
      <w:r>
        <w:rPr>
          <w:rFonts w:hint="default" w:ascii="Times New Roman" w:hAnsi="Times New Roman" w:eastAsia="宋体" w:cs="Times New Roman"/>
          <w:color w:val="auto"/>
          <w:kern w:val="0"/>
          <w:sz w:val="22"/>
          <w:szCs w:val="22"/>
          <w:highlight w:val="none"/>
          <w:lang w:val="en-US" w:eastAsia="zh-CN" w:bidi="ar"/>
        </w:rPr>
        <w:t>计价办法，以及图纸、</w:t>
      </w:r>
      <w:r>
        <w:rPr>
          <w:rFonts w:hint="default" w:ascii="Times New Roman" w:hAnsi="Times New Roman" w:eastAsia="宋体" w:cs="Times New Roman"/>
          <w:color w:val="auto"/>
          <w:kern w:val="0"/>
          <w:sz w:val="22"/>
          <w:szCs w:val="22"/>
          <w:highlight w:val="none"/>
          <w:u w:val="single"/>
          <w:lang w:val="en-US" w:eastAsia="zh-CN" w:bidi="ar"/>
        </w:rPr>
        <w:t xml:space="preserve">           </w:t>
      </w:r>
      <w:r>
        <w:rPr>
          <w:rFonts w:hint="default" w:ascii="Times New Roman" w:hAnsi="Times New Roman" w:eastAsia="宋体" w:cs="Times New Roman"/>
          <w:color w:val="auto"/>
          <w:kern w:val="0"/>
          <w:sz w:val="22"/>
          <w:szCs w:val="22"/>
          <w:highlight w:val="none"/>
          <w:lang w:val="en-US" w:eastAsia="zh-CN" w:bidi="ar"/>
        </w:rPr>
        <w:t>等规定计量确认的实际工程量为准；综合单价计算方法为：</w:t>
      </w:r>
    </w:p>
    <w:p w14:paraId="18E78F4D">
      <w:pPr>
        <w:keepNext w:val="0"/>
        <w:keepLines w:val="0"/>
        <w:widowControl w:val="0"/>
        <w:suppressLineNumbers w:val="0"/>
        <w:spacing w:before="0" w:beforeAutospacing="0" w:after="0" w:afterAutospacing="0" w:line="420" w:lineRule="exact"/>
        <w:ind w:left="237" w:leftChars="113" w:right="0" w:firstLine="440" w:firstLineChars="200"/>
        <w:jc w:val="left"/>
        <w:rPr>
          <w:rFonts w:hint="default" w:ascii="Times New Roman" w:hAnsi="Times New Roman" w:eastAsia="宋体" w:cs="Times New Roman"/>
          <w:color w:val="auto"/>
          <w:kern w:val="0"/>
          <w:sz w:val="22"/>
          <w:szCs w:val="22"/>
          <w:highlight w:val="none"/>
          <w:lang w:val="en-US"/>
        </w:rPr>
      </w:pPr>
      <w:r>
        <w:rPr>
          <w:rFonts w:hint="default" w:ascii="Times New Roman" w:hAnsi="Times New Roman" w:eastAsia="宋体" w:cs="Times New Roman"/>
          <w:color w:val="auto"/>
          <w:kern w:val="0"/>
          <w:sz w:val="22"/>
          <w:szCs w:val="22"/>
          <w:highlight w:val="none"/>
          <w:lang w:val="en-US" w:eastAsia="zh-CN" w:bidi="ar"/>
        </w:rPr>
        <w:t>1、中标的工程量清单中已有相同项目的综合单价，则沿用该综合单价。</w:t>
      </w:r>
    </w:p>
    <w:p w14:paraId="1013336D">
      <w:pPr>
        <w:keepNext w:val="0"/>
        <w:keepLines w:val="0"/>
        <w:widowControl w:val="0"/>
        <w:suppressLineNumbers w:val="0"/>
        <w:spacing w:before="0" w:beforeAutospacing="0" w:after="0" w:afterAutospacing="0" w:line="420" w:lineRule="exact"/>
        <w:ind w:left="237" w:leftChars="113" w:right="0" w:firstLine="440" w:firstLineChars="200"/>
        <w:jc w:val="left"/>
        <w:rPr>
          <w:rFonts w:hint="default" w:ascii="Times New Roman" w:hAnsi="Times New Roman" w:eastAsia="宋体" w:cs="Times New Roman"/>
          <w:color w:val="auto"/>
          <w:kern w:val="0"/>
          <w:sz w:val="22"/>
          <w:szCs w:val="22"/>
          <w:highlight w:val="none"/>
          <w:lang w:val="en-US"/>
        </w:rPr>
      </w:pPr>
      <w:r>
        <w:rPr>
          <w:rFonts w:hint="default" w:ascii="Times New Roman" w:hAnsi="Times New Roman" w:eastAsia="宋体" w:cs="Times New Roman"/>
          <w:color w:val="auto"/>
          <w:kern w:val="0"/>
          <w:sz w:val="22"/>
          <w:szCs w:val="22"/>
          <w:highlight w:val="none"/>
          <w:lang w:val="en-US" w:eastAsia="zh-CN" w:bidi="ar"/>
        </w:rPr>
        <w:t>2、中标的工程量清单中的项目与清单漏项的项目、设计变更的项目，两者只存在项目中材料费最高的材料的材质、型号、规格不同时，则新的综合单价只换算原清单项目综合单价中材料费最高的材料单价，</w:t>
      </w:r>
      <w:r>
        <w:rPr>
          <w:rFonts w:hint="default" w:ascii="Times New Roman" w:hAnsi="Times New Roman" w:cs="Times New Roman"/>
          <w:color w:val="auto"/>
          <w:kern w:val="0"/>
          <w:sz w:val="22"/>
          <w:szCs w:val="22"/>
          <w:highlight w:val="none"/>
          <w:lang w:val="en-US" w:eastAsia="zh-CN" w:bidi="ar"/>
        </w:rPr>
        <w:t>其他</w:t>
      </w:r>
      <w:r>
        <w:rPr>
          <w:rFonts w:hint="default" w:ascii="Times New Roman" w:hAnsi="Times New Roman" w:eastAsia="宋体" w:cs="Times New Roman"/>
          <w:color w:val="auto"/>
          <w:kern w:val="0"/>
          <w:sz w:val="22"/>
          <w:szCs w:val="22"/>
          <w:highlight w:val="none"/>
          <w:lang w:val="en-US" w:eastAsia="zh-CN" w:bidi="ar"/>
        </w:rPr>
        <w:t>不变。</w:t>
      </w:r>
    </w:p>
    <w:p w14:paraId="2AACD173">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420" w:lineRule="exact"/>
        <w:ind w:left="237" w:leftChars="113" w:right="0" w:firstLine="440" w:firstLineChars="200"/>
        <w:jc w:val="left"/>
        <w:textAlignment w:val="auto"/>
        <w:rPr>
          <w:rFonts w:hint="default" w:ascii="Times New Roman" w:hAnsi="Times New Roman" w:eastAsia="宋体" w:cs="Times New Roman"/>
          <w:color w:val="auto"/>
          <w:kern w:val="0"/>
          <w:sz w:val="22"/>
          <w:szCs w:val="22"/>
          <w:highlight w:val="none"/>
          <w:lang w:val="en-US"/>
        </w:rPr>
      </w:pPr>
      <w:r>
        <w:rPr>
          <w:rFonts w:hint="default" w:ascii="Times New Roman" w:hAnsi="Times New Roman" w:eastAsia="宋体" w:cs="Times New Roman"/>
          <w:color w:val="auto"/>
          <w:kern w:val="0"/>
          <w:sz w:val="22"/>
          <w:szCs w:val="22"/>
          <w:highlight w:val="none"/>
          <w:lang w:val="en-US" w:eastAsia="zh-CN" w:bidi="ar"/>
        </w:rPr>
        <w:t>3、中标的工程量清单中没有相同项目的，则作为新增项目，采用定额计价办法，依据广东省计价依据、广东省相关定额和广州市补充定额，以及所有定额对应的计价办法进行计价，工程量按</w:t>
      </w:r>
      <w:r>
        <w:rPr>
          <w:rFonts w:hint="default" w:ascii="Times New Roman" w:hAnsi="Times New Roman" w:eastAsia="宋体" w:cs="Times New Roman"/>
          <w:color w:val="auto"/>
          <w:kern w:val="0"/>
          <w:sz w:val="22"/>
          <w:szCs w:val="22"/>
          <w:highlight w:val="none"/>
          <w:u w:val="single"/>
          <w:lang w:val="en-US" w:eastAsia="zh-CN" w:bidi="ar"/>
        </w:rPr>
        <w:t xml:space="preserve">                         </w:t>
      </w:r>
      <w:r>
        <w:rPr>
          <w:rFonts w:hint="default" w:ascii="Times New Roman" w:hAnsi="Times New Roman" w:eastAsia="宋体" w:cs="Times New Roman"/>
          <w:color w:val="auto"/>
          <w:kern w:val="0"/>
          <w:sz w:val="22"/>
          <w:szCs w:val="22"/>
          <w:highlight w:val="none"/>
          <w:lang w:val="en-US" w:eastAsia="zh-CN" w:bidi="ar"/>
        </w:rPr>
        <w:t>计价方法计算，其中的人工、材料、机械台班价格按实际施工期间建设行政主管部门发布的</w:t>
      </w:r>
      <w:r>
        <w:rPr>
          <w:rFonts w:hint="default" w:ascii="Times New Roman" w:hAnsi="Times New Roman" w:eastAsia="宋体" w:cs="Times New Roman"/>
          <w:color w:val="auto"/>
          <w:kern w:val="0"/>
          <w:sz w:val="22"/>
          <w:szCs w:val="22"/>
          <w:highlight w:val="none"/>
          <w:u w:val="single"/>
          <w:lang w:val="en-US" w:eastAsia="zh-CN" w:bidi="ar"/>
        </w:rPr>
        <w:t xml:space="preserve">          </w:t>
      </w:r>
      <w:r>
        <w:rPr>
          <w:rFonts w:hint="default" w:ascii="Times New Roman" w:hAnsi="Times New Roman" w:eastAsia="宋体" w:cs="Times New Roman"/>
          <w:color w:val="auto"/>
          <w:kern w:val="0"/>
          <w:sz w:val="22"/>
          <w:szCs w:val="22"/>
          <w:highlight w:val="none"/>
          <w:lang w:val="en-US" w:eastAsia="zh-CN" w:bidi="ar"/>
        </w:rPr>
        <w:t>规定执行，建设行政主管部门没有发布的某些内容、品种由发包人和承包人约定按</w:t>
      </w:r>
      <w:r>
        <w:rPr>
          <w:rFonts w:hint="default" w:ascii="Times New Roman" w:hAnsi="Times New Roman" w:eastAsia="宋体" w:cs="Times New Roman"/>
          <w:color w:val="auto"/>
          <w:kern w:val="0"/>
          <w:sz w:val="22"/>
          <w:szCs w:val="22"/>
          <w:highlight w:val="none"/>
          <w:u w:val="single"/>
          <w:lang w:val="en-US" w:eastAsia="zh-CN" w:bidi="ar"/>
        </w:rPr>
        <w:t xml:space="preserve">                     </w:t>
      </w:r>
      <w:r>
        <w:rPr>
          <w:rFonts w:hint="default" w:ascii="Times New Roman" w:hAnsi="Times New Roman" w:eastAsia="宋体" w:cs="Times New Roman"/>
          <w:color w:val="auto"/>
          <w:kern w:val="0"/>
          <w:sz w:val="22"/>
          <w:szCs w:val="22"/>
          <w:highlight w:val="none"/>
          <w:lang w:val="en-US" w:eastAsia="zh-CN" w:bidi="ar"/>
        </w:rPr>
        <w:t>计算；或由发包人和承包人约定人工、材料、机械台班价格根据建设标准要求按</w:t>
      </w:r>
      <w:r>
        <w:rPr>
          <w:rFonts w:hint="default" w:ascii="Times New Roman" w:hAnsi="Times New Roman" w:eastAsia="宋体" w:cs="Times New Roman"/>
          <w:color w:val="auto"/>
          <w:kern w:val="0"/>
          <w:sz w:val="22"/>
          <w:szCs w:val="22"/>
          <w:highlight w:val="none"/>
          <w:u w:val="single"/>
          <w:lang w:val="en-US" w:eastAsia="zh-CN" w:bidi="ar"/>
        </w:rPr>
        <w:t xml:space="preserve">                      </w:t>
      </w:r>
      <w:r>
        <w:rPr>
          <w:rFonts w:hint="default" w:ascii="Times New Roman" w:hAnsi="Times New Roman" w:eastAsia="宋体" w:cs="Times New Roman"/>
          <w:color w:val="auto"/>
          <w:kern w:val="0"/>
          <w:sz w:val="22"/>
          <w:szCs w:val="22"/>
          <w:highlight w:val="none"/>
          <w:lang w:val="en-US" w:eastAsia="zh-CN" w:bidi="ar"/>
        </w:rPr>
        <w:t>计算。若个别项目没有定额可套用，由发包人和承包人根据实际情况签订补充合同或协议作出约定；若项目实施期间定额更新，建设行政主管部门对新旧定额的使用办法有规定的从其规定，没有规定或规定不明确的，由发包人和承包人根据实际情况签订补充合同或协议作出约定。</w:t>
      </w:r>
    </w:p>
    <w:p w14:paraId="0EAFCC51">
      <w:pPr>
        <w:keepNext w:val="0"/>
        <w:keepLines w:val="0"/>
        <w:widowControl w:val="0"/>
        <w:suppressLineNumbers w:val="0"/>
        <w:spacing w:before="0" w:beforeAutospacing="0" w:after="0" w:afterAutospacing="0" w:line="420" w:lineRule="exact"/>
        <w:ind w:left="237" w:leftChars="113" w:right="0" w:firstLine="330" w:firstLineChars="150"/>
        <w:jc w:val="left"/>
        <w:rPr>
          <w:rFonts w:hint="default" w:ascii="Times New Roman" w:hAnsi="Times New Roman" w:eastAsia="宋体" w:cs="Times New Roman"/>
          <w:color w:val="auto"/>
          <w:kern w:val="0"/>
          <w:sz w:val="22"/>
          <w:szCs w:val="22"/>
          <w:highlight w:val="none"/>
          <w:u w:val="single"/>
          <w:lang w:val="en-US"/>
        </w:rPr>
      </w:pPr>
      <w:r>
        <w:rPr>
          <w:rFonts w:hint="default" w:ascii="Times New Roman" w:hAnsi="Times New Roman" w:eastAsia="宋体" w:cs="Times New Roman"/>
          <w:color w:val="auto"/>
          <w:kern w:val="0"/>
          <w:sz w:val="22"/>
          <w:szCs w:val="22"/>
          <w:highlight w:val="none"/>
          <w:lang w:val="en-US" w:eastAsia="zh-CN" w:bidi="ar"/>
        </w:rPr>
        <w:t>中标的投标报价相对于招标文件工程量清单有漏项或未填报综合单价项目，此项目的费用</w:t>
      </w:r>
      <w:r>
        <w:rPr>
          <w:rFonts w:hint="default" w:ascii="Times New Roman" w:hAnsi="Times New Roman" w:eastAsia="宋体" w:cs="Times New Roman"/>
          <w:color w:val="auto"/>
          <w:kern w:val="0"/>
          <w:sz w:val="22"/>
          <w:szCs w:val="22"/>
          <w:highlight w:val="none"/>
          <w:u w:val="single"/>
          <w:lang w:val="en-US" w:eastAsia="zh-CN" w:bidi="ar"/>
        </w:rPr>
        <w:t xml:space="preserve">    </w:t>
      </w:r>
    </w:p>
    <w:p w14:paraId="202AF09B">
      <w:pPr>
        <w:keepNext w:val="0"/>
        <w:keepLines w:val="0"/>
        <w:widowControl w:val="0"/>
        <w:suppressLineNumbers w:val="0"/>
        <w:spacing w:before="0" w:beforeAutospacing="0" w:after="0" w:afterAutospacing="0" w:line="420" w:lineRule="exact"/>
        <w:ind w:left="233" w:leftChars="86" w:right="0" w:hanging="52" w:hangingChars="24"/>
        <w:jc w:val="left"/>
        <w:rPr>
          <w:rFonts w:hint="default" w:ascii="Times New Roman" w:hAnsi="Times New Roman" w:eastAsia="宋体" w:cs="Times New Roman"/>
          <w:color w:val="auto"/>
          <w:kern w:val="0"/>
          <w:sz w:val="22"/>
          <w:szCs w:val="22"/>
          <w:highlight w:val="none"/>
          <w:lang w:val="en-US"/>
        </w:rPr>
      </w:pPr>
      <w:r>
        <w:rPr>
          <w:rFonts w:hint="default" w:ascii="Times New Roman" w:hAnsi="Times New Roman" w:eastAsia="宋体" w:cs="Times New Roman"/>
          <w:color w:val="auto"/>
          <w:kern w:val="0"/>
          <w:sz w:val="22"/>
          <w:szCs w:val="22"/>
          <w:highlight w:val="none"/>
          <w:u w:val="single"/>
          <w:lang w:val="en-US" w:eastAsia="zh-CN" w:bidi="ar"/>
        </w:rPr>
        <w:t xml:space="preserve">                 </w:t>
      </w:r>
      <w:r>
        <w:rPr>
          <w:rFonts w:hint="default" w:ascii="Times New Roman" w:hAnsi="Times New Roman" w:eastAsia="宋体" w:cs="Times New Roman"/>
          <w:color w:val="auto"/>
          <w:kern w:val="0"/>
          <w:sz w:val="22"/>
          <w:szCs w:val="22"/>
          <w:highlight w:val="none"/>
          <w:lang w:val="en-US" w:eastAsia="zh-CN" w:bidi="ar"/>
        </w:rPr>
        <w:t>。</w:t>
      </w:r>
    </w:p>
    <w:p w14:paraId="524598C7">
      <w:pPr>
        <w:keepNext w:val="0"/>
        <w:keepLines w:val="0"/>
        <w:widowControl w:val="0"/>
        <w:suppressLineNumbers w:val="0"/>
        <w:spacing w:before="0" w:beforeAutospacing="0" w:after="0" w:afterAutospacing="0" w:line="420" w:lineRule="exact"/>
        <w:ind w:left="237" w:leftChars="113" w:right="0" w:firstLine="330" w:firstLineChars="150"/>
        <w:jc w:val="left"/>
        <w:rPr>
          <w:rFonts w:hint="default" w:ascii="Times New Roman" w:hAnsi="Times New Roman" w:eastAsia="宋体" w:cs="Times New Roman"/>
          <w:color w:val="auto"/>
          <w:kern w:val="0"/>
          <w:sz w:val="22"/>
          <w:szCs w:val="22"/>
          <w:highlight w:val="none"/>
          <w:u w:val="single"/>
          <w:lang w:val="en-US"/>
        </w:rPr>
      </w:pPr>
      <w:r>
        <w:rPr>
          <w:rFonts w:hint="default" w:ascii="Times New Roman" w:hAnsi="Times New Roman" w:eastAsia="宋体" w:cs="Times New Roman"/>
          <w:color w:val="auto"/>
          <w:kern w:val="0"/>
          <w:sz w:val="22"/>
          <w:szCs w:val="22"/>
          <w:highlight w:val="none"/>
          <w:lang w:val="en-US" w:eastAsia="zh-CN" w:bidi="ar"/>
        </w:rPr>
        <w:t>招标文件工程量清单中的项目在实际施工中没有做的项目，此项目的费用</w:t>
      </w:r>
      <w:r>
        <w:rPr>
          <w:rFonts w:hint="default" w:ascii="Times New Roman" w:hAnsi="Times New Roman" w:eastAsia="宋体" w:cs="Times New Roman"/>
          <w:color w:val="auto"/>
          <w:kern w:val="0"/>
          <w:sz w:val="22"/>
          <w:szCs w:val="22"/>
          <w:highlight w:val="none"/>
          <w:u w:val="single"/>
          <w:lang w:val="en-US" w:eastAsia="zh-CN" w:bidi="ar"/>
        </w:rPr>
        <w:t xml:space="preserve">                </w:t>
      </w:r>
      <w:r>
        <w:rPr>
          <w:rFonts w:hint="default" w:ascii="Times New Roman" w:hAnsi="Times New Roman" w:eastAsia="宋体" w:cs="Times New Roman"/>
          <w:color w:val="auto"/>
          <w:kern w:val="0"/>
          <w:sz w:val="22"/>
          <w:szCs w:val="22"/>
          <w:highlight w:val="none"/>
          <w:lang w:val="en-US" w:eastAsia="zh-CN" w:bidi="ar"/>
        </w:rPr>
        <w:t>。</w:t>
      </w:r>
    </w:p>
    <w:p w14:paraId="7F277BCE">
      <w:pPr>
        <w:keepNext w:val="0"/>
        <w:keepLines w:val="0"/>
        <w:widowControl w:val="0"/>
        <w:suppressLineNumbers w:val="0"/>
        <w:spacing w:before="0" w:beforeAutospacing="0" w:after="0" w:afterAutospacing="0" w:line="420" w:lineRule="exact"/>
        <w:ind w:left="237" w:leftChars="113" w:right="0" w:firstLine="330" w:firstLineChars="150"/>
        <w:jc w:val="left"/>
        <w:rPr>
          <w:rFonts w:hint="default" w:ascii="Times New Roman" w:hAnsi="Times New Roman" w:eastAsia="宋体" w:cs="Times New Roman"/>
          <w:color w:val="auto"/>
          <w:kern w:val="0"/>
          <w:sz w:val="22"/>
          <w:szCs w:val="22"/>
          <w:highlight w:val="none"/>
          <w:lang w:val="en-US" w:eastAsia="zh-CN" w:bidi="ar"/>
        </w:rPr>
      </w:pPr>
      <w:r>
        <w:rPr>
          <w:rFonts w:hint="default" w:ascii="Times New Roman" w:hAnsi="Times New Roman" w:eastAsia="宋体" w:cs="Times New Roman"/>
          <w:color w:val="auto"/>
          <w:kern w:val="0"/>
          <w:sz w:val="22"/>
          <w:szCs w:val="22"/>
          <w:highlight w:val="none"/>
          <w:lang w:val="en-US" w:eastAsia="zh-CN" w:bidi="ar"/>
        </w:rPr>
        <w:t>措施项目费、其他项目费的调整：</w:t>
      </w:r>
    </w:p>
    <w:p w14:paraId="5A6870E4">
      <w:pPr>
        <w:keepNext w:val="0"/>
        <w:keepLines w:val="0"/>
        <w:widowControl w:val="0"/>
        <w:suppressLineNumbers w:val="0"/>
        <w:spacing w:before="0" w:beforeAutospacing="0" w:after="0" w:afterAutospacing="0" w:line="420" w:lineRule="exact"/>
        <w:ind w:left="237" w:leftChars="113" w:right="0" w:firstLine="330" w:firstLineChars="150"/>
        <w:jc w:val="left"/>
        <w:rPr>
          <w:rFonts w:hint="default" w:ascii="Times New Roman" w:hAnsi="Times New Roman" w:eastAsia="宋体" w:cs="Times New Roman"/>
          <w:color w:val="auto"/>
          <w:kern w:val="0"/>
          <w:sz w:val="22"/>
          <w:szCs w:val="22"/>
          <w:highlight w:val="none"/>
          <w:lang w:val="en-US" w:eastAsia="zh-CN" w:bidi="ar"/>
        </w:rPr>
      </w:pPr>
      <w:r>
        <w:rPr>
          <w:rFonts w:hint="default" w:ascii="Times New Roman" w:hAnsi="Times New Roman" w:eastAsia="宋体" w:cs="Times New Roman"/>
          <w:color w:val="auto"/>
          <w:kern w:val="0"/>
          <w:sz w:val="22"/>
          <w:szCs w:val="22"/>
          <w:highlight w:val="none"/>
          <w:lang w:val="en-US" w:eastAsia="zh-CN" w:bidi="ar"/>
        </w:rPr>
        <w:t>□按通用条款规定的调整事件内容调整；</w:t>
      </w:r>
    </w:p>
    <w:p w14:paraId="5C507A84">
      <w:pPr>
        <w:keepNext w:val="0"/>
        <w:keepLines w:val="0"/>
        <w:widowControl w:val="0"/>
        <w:suppressLineNumbers w:val="0"/>
        <w:spacing w:before="0" w:beforeAutospacing="0" w:after="0" w:afterAutospacing="0" w:line="420" w:lineRule="exact"/>
        <w:ind w:left="237" w:leftChars="113" w:right="0" w:firstLine="330" w:firstLineChars="150"/>
        <w:jc w:val="left"/>
        <w:rPr>
          <w:rFonts w:hint="default" w:ascii="Times New Roman" w:hAnsi="Times New Roman" w:eastAsia="宋体" w:cs="Times New Roman"/>
          <w:color w:val="auto"/>
          <w:kern w:val="0"/>
          <w:sz w:val="22"/>
          <w:szCs w:val="22"/>
          <w:highlight w:val="none"/>
          <w:lang w:val="en-US" w:eastAsia="zh-CN" w:bidi="ar"/>
        </w:rPr>
      </w:pPr>
      <w:r>
        <w:rPr>
          <w:rFonts w:hint="default" w:ascii="Times New Roman" w:hAnsi="Times New Roman" w:eastAsia="宋体" w:cs="Times New Roman"/>
          <w:color w:val="auto"/>
          <w:kern w:val="0"/>
          <w:sz w:val="22"/>
          <w:szCs w:val="22"/>
          <w:highlight w:val="none"/>
          <w:lang w:val="en-US" w:eastAsia="zh-CN" w:bidi="ar"/>
        </w:rPr>
        <w:t>□按广东省定额规定计算；</w:t>
      </w:r>
    </w:p>
    <w:p w14:paraId="7B3B89D4">
      <w:pPr>
        <w:keepNext w:val="0"/>
        <w:keepLines w:val="0"/>
        <w:widowControl w:val="0"/>
        <w:suppressLineNumbers w:val="0"/>
        <w:spacing w:before="0" w:beforeAutospacing="0" w:after="0" w:afterAutospacing="0" w:line="420" w:lineRule="exact"/>
        <w:ind w:left="237" w:leftChars="113" w:right="0" w:firstLine="330" w:firstLineChars="150"/>
        <w:jc w:val="left"/>
        <w:rPr>
          <w:rFonts w:hint="default" w:ascii="Times New Roman" w:hAnsi="Times New Roman" w:eastAsia="宋体" w:cs="Times New Roman"/>
          <w:color w:val="auto"/>
          <w:kern w:val="0"/>
          <w:sz w:val="22"/>
          <w:szCs w:val="22"/>
          <w:highlight w:val="none"/>
          <w:u w:val="single"/>
          <w:lang w:val="en-US"/>
        </w:rPr>
      </w:pPr>
      <w:r>
        <w:rPr>
          <w:rFonts w:hint="default" w:ascii="Times New Roman" w:hAnsi="Times New Roman" w:eastAsia="宋体" w:cs="Times New Roman"/>
          <w:color w:val="auto"/>
          <w:kern w:val="0"/>
          <w:sz w:val="22"/>
          <w:szCs w:val="22"/>
          <w:highlight w:val="none"/>
          <w:lang w:val="en-US" w:eastAsia="zh-CN" w:bidi="ar"/>
        </w:rPr>
        <w:sym w:font="Wingdings 2" w:char="00A3"/>
      </w:r>
      <w:r>
        <w:rPr>
          <w:rFonts w:hint="default" w:ascii="Times New Roman" w:hAnsi="Times New Roman" w:eastAsia="宋体" w:cs="Times New Roman"/>
          <w:color w:val="auto"/>
          <w:kern w:val="0"/>
          <w:sz w:val="22"/>
          <w:szCs w:val="22"/>
          <w:highlight w:val="none"/>
          <w:lang w:val="en-US" w:eastAsia="zh-CN" w:bidi="ar"/>
        </w:rPr>
        <w:t>由发包人和承包人根据实际情况约定按</w:t>
      </w:r>
      <w:r>
        <w:rPr>
          <w:rFonts w:hint="default" w:ascii="Times New Roman" w:hAnsi="Times New Roman" w:eastAsia="宋体" w:cs="Times New Roman"/>
          <w:color w:val="auto"/>
          <w:kern w:val="0"/>
          <w:sz w:val="22"/>
          <w:szCs w:val="22"/>
          <w:highlight w:val="none"/>
          <w:u w:val="single"/>
          <w:lang w:val="en-US" w:eastAsia="zh-CN" w:bidi="ar"/>
        </w:rPr>
        <w:t xml:space="preserve">                           </w:t>
      </w:r>
      <w:r>
        <w:rPr>
          <w:rFonts w:hint="default" w:ascii="Times New Roman" w:hAnsi="Times New Roman" w:eastAsia="宋体" w:cs="Times New Roman"/>
          <w:color w:val="auto"/>
          <w:kern w:val="0"/>
          <w:sz w:val="22"/>
          <w:szCs w:val="22"/>
          <w:highlight w:val="none"/>
          <w:lang w:val="en-US" w:eastAsia="zh-CN" w:bidi="ar"/>
        </w:rPr>
        <w:t>调整。</w:t>
      </w:r>
    </w:p>
    <w:p w14:paraId="21150A3A">
      <w:pPr>
        <w:keepNext w:val="0"/>
        <w:keepLines w:val="0"/>
        <w:widowControl w:val="0"/>
        <w:suppressLineNumbers w:val="0"/>
        <w:spacing w:before="0" w:beforeAutospacing="0" w:after="0" w:afterAutospacing="0" w:line="420" w:lineRule="exact"/>
        <w:ind w:left="0" w:right="0" w:firstLine="550" w:firstLineChars="250"/>
        <w:jc w:val="left"/>
        <w:rPr>
          <w:rFonts w:hint="default" w:ascii="Times New Roman" w:hAnsi="Times New Roman" w:eastAsia="宋体" w:cs="Times New Roman"/>
          <w:color w:val="auto"/>
          <w:kern w:val="0"/>
          <w:sz w:val="22"/>
          <w:szCs w:val="22"/>
          <w:highlight w:val="none"/>
          <w:lang w:val="en-US"/>
        </w:rPr>
      </w:pPr>
      <w:r>
        <w:rPr>
          <w:rFonts w:hint="default" w:ascii="Times New Roman" w:hAnsi="Times New Roman" w:cs="Times New Roman"/>
          <w:color w:val="auto"/>
          <w:kern w:val="0"/>
          <w:sz w:val="22"/>
          <w:szCs w:val="22"/>
          <w:highlight w:val="none"/>
          <w:lang w:val="en-US" w:eastAsia="zh-CN" w:bidi="ar"/>
        </w:rPr>
        <w:t>其他</w:t>
      </w:r>
      <w:r>
        <w:rPr>
          <w:rFonts w:hint="default" w:ascii="Times New Roman" w:hAnsi="Times New Roman" w:eastAsia="宋体" w:cs="Times New Roman"/>
          <w:color w:val="auto"/>
          <w:kern w:val="0"/>
          <w:sz w:val="22"/>
          <w:szCs w:val="22"/>
          <w:highlight w:val="none"/>
          <w:lang w:val="en-US" w:eastAsia="zh-CN" w:bidi="ar"/>
        </w:rPr>
        <w:t>调整内容：</w:t>
      </w:r>
      <w:r>
        <w:rPr>
          <w:rFonts w:hint="default" w:ascii="Times New Roman" w:hAnsi="Times New Roman" w:eastAsia="宋体" w:cs="Times New Roman"/>
          <w:color w:val="auto"/>
          <w:kern w:val="0"/>
          <w:sz w:val="22"/>
          <w:szCs w:val="22"/>
          <w:highlight w:val="none"/>
          <w:u w:val="single"/>
          <w:lang w:val="en-US" w:eastAsia="zh-CN" w:bidi="ar"/>
        </w:rPr>
        <w:t xml:space="preserve">                                                                 </w:t>
      </w:r>
      <w:r>
        <w:rPr>
          <w:rFonts w:hint="default" w:ascii="Times New Roman" w:hAnsi="Times New Roman" w:eastAsia="宋体" w:cs="Times New Roman"/>
          <w:color w:val="auto"/>
          <w:kern w:val="0"/>
          <w:sz w:val="22"/>
          <w:szCs w:val="22"/>
          <w:highlight w:val="none"/>
          <w:lang w:val="en-US" w:eastAsia="zh-CN" w:bidi="ar"/>
        </w:rPr>
        <w:t>。</w:t>
      </w:r>
    </w:p>
    <w:p w14:paraId="2EF29D6F">
      <w:pPr>
        <w:keepNext w:val="0"/>
        <w:keepLines w:val="0"/>
        <w:widowControl w:val="0"/>
        <w:suppressLineNumbers w:val="0"/>
        <w:spacing w:before="0" w:beforeAutospacing="0" w:after="0" w:afterAutospacing="0" w:line="420" w:lineRule="exact"/>
        <w:ind w:left="0" w:right="0" w:firstLine="550" w:firstLineChars="250"/>
        <w:jc w:val="left"/>
        <w:rPr>
          <w:rFonts w:hint="default" w:ascii="Times New Roman" w:hAnsi="Times New Roman" w:eastAsia="宋体" w:cs="Times New Roman"/>
          <w:color w:val="auto"/>
          <w:kern w:val="0"/>
          <w:sz w:val="22"/>
          <w:szCs w:val="22"/>
          <w:highlight w:val="none"/>
          <w:lang w:val="en-US" w:eastAsia="zh-CN" w:bidi="ar"/>
        </w:rPr>
      </w:pPr>
      <w:r>
        <w:rPr>
          <w:rFonts w:hint="default" w:ascii="Times New Roman" w:hAnsi="Times New Roman" w:eastAsia="宋体" w:cs="Times New Roman"/>
          <w:color w:val="auto"/>
          <w:kern w:val="0"/>
          <w:sz w:val="22"/>
          <w:szCs w:val="22"/>
          <w:highlight w:val="none"/>
          <w:lang w:val="en-US" w:eastAsia="zh-CN" w:bidi="ar"/>
        </w:rPr>
        <w:t>本合同项目的结算造价确定方式：</w:t>
      </w:r>
      <w:r>
        <w:rPr>
          <w:rFonts w:hint="default" w:ascii="Times New Roman" w:hAnsi="Times New Roman" w:eastAsia="宋体" w:cs="Times New Roman"/>
          <w:color w:val="auto"/>
          <w:kern w:val="0"/>
          <w:sz w:val="22"/>
          <w:szCs w:val="22"/>
          <w:highlight w:val="none"/>
          <w:u w:val="single"/>
          <w:lang w:val="en-US" w:eastAsia="zh-CN" w:bidi="ar"/>
        </w:rPr>
        <w:t xml:space="preserve">                                                  </w:t>
      </w:r>
      <w:r>
        <w:rPr>
          <w:rFonts w:hint="default" w:ascii="Times New Roman" w:hAnsi="Times New Roman" w:eastAsia="宋体" w:cs="Times New Roman"/>
          <w:color w:val="auto"/>
          <w:kern w:val="0"/>
          <w:sz w:val="22"/>
          <w:szCs w:val="22"/>
          <w:highlight w:val="none"/>
          <w:lang w:val="en-US" w:eastAsia="zh-CN" w:bidi="ar"/>
        </w:rPr>
        <w:t>。</w:t>
      </w:r>
    </w:p>
    <w:p w14:paraId="52CC4827">
      <w:pPr>
        <w:pStyle w:val="11"/>
        <w:rPr>
          <w:rFonts w:hint="default" w:ascii="Times New Roman" w:hAnsi="Times New Roman" w:cs="Times New Roman"/>
          <w:color w:val="auto"/>
          <w:highlight w:val="none"/>
          <w:lang w:val="en-US"/>
        </w:rPr>
      </w:pPr>
    </w:p>
    <w:p w14:paraId="1EDBF9AA">
      <w:pPr>
        <w:keepNext w:val="0"/>
        <w:keepLines w:val="0"/>
        <w:widowControl w:val="0"/>
        <w:suppressLineNumbers w:val="0"/>
        <w:spacing w:before="0" w:beforeAutospacing="0" w:after="0" w:afterAutospacing="0" w:line="420" w:lineRule="exact"/>
        <w:ind w:left="0" w:right="0" w:firstLine="220" w:firstLineChars="100"/>
        <w:jc w:val="left"/>
        <w:rPr>
          <w:rFonts w:hint="default" w:ascii="Times New Roman" w:hAnsi="Times New Roman" w:eastAsia="宋体" w:cs="Times New Roman"/>
          <w:color w:val="auto"/>
          <w:kern w:val="0"/>
          <w:sz w:val="22"/>
          <w:szCs w:val="22"/>
          <w:highlight w:val="none"/>
          <w:lang w:val="en-US"/>
        </w:rPr>
      </w:pPr>
      <w:r>
        <w:rPr>
          <w:rFonts w:hint="default" w:ascii="Times New Roman" w:hAnsi="Times New Roman" w:eastAsia="宋体" w:cs="Times New Roman"/>
          <w:color w:val="auto"/>
          <w:kern w:val="0"/>
          <w:sz w:val="22"/>
          <w:szCs w:val="22"/>
          <w:highlight w:val="none"/>
          <w:lang w:val="en-US" w:eastAsia="zh-CN" w:bidi="ar"/>
        </w:rPr>
        <w:sym w:font="Wingdings 2" w:char="00A3"/>
      </w:r>
      <w:r>
        <w:rPr>
          <w:rFonts w:hint="default" w:ascii="Times New Roman" w:hAnsi="Times New Roman" w:eastAsia="宋体" w:cs="Times New Roman"/>
          <w:color w:val="auto"/>
          <w:kern w:val="0"/>
          <w:sz w:val="22"/>
          <w:szCs w:val="22"/>
          <w:highlight w:val="none"/>
          <w:lang w:val="en-US" w:eastAsia="zh-CN" w:bidi="ar"/>
        </w:rPr>
        <w:t xml:space="preserve"> 按实结算合同。</w:t>
      </w:r>
    </w:p>
    <w:p w14:paraId="7DDB6DBE">
      <w:pPr>
        <w:pStyle w:val="25"/>
        <w:keepNext w:val="0"/>
        <w:keepLines w:val="0"/>
        <w:widowControl w:val="0"/>
        <w:suppressLineNumbers w:val="0"/>
        <w:adjustRightInd w:val="0"/>
        <w:snapToGrid w:val="0"/>
        <w:spacing w:before="0" w:beforeAutospacing="0" w:after="0" w:afterAutospacing="0" w:line="420" w:lineRule="exact"/>
        <w:ind w:left="178" w:leftChars="85" w:right="0" w:firstLine="437" w:firstLineChars="199"/>
        <w:jc w:val="left"/>
        <w:rPr>
          <w:rFonts w:hint="default" w:ascii="Times New Roman" w:hAnsi="Times New Roman" w:cs="Times New Roman"/>
          <w:color w:val="auto"/>
          <w:kern w:val="0"/>
          <w:sz w:val="22"/>
          <w:szCs w:val="22"/>
          <w:highlight w:val="none"/>
          <w:lang w:val="en-US"/>
        </w:rPr>
      </w:pPr>
      <w:r>
        <w:rPr>
          <w:rFonts w:hint="default" w:ascii="Times New Roman" w:hAnsi="Times New Roman" w:eastAsia="宋体" w:cs="Times New Roman"/>
          <w:color w:val="auto"/>
          <w:kern w:val="0"/>
          <w:sz w:val="22"/>
          <w:szCs w:val="22"/>
          <w:highlight w:val="none"/>
          <w:lang w:val="en-US" w:eastAsia="zh-CN" w:bidi="ar"/>
        </w:rPr>
        <w:t>本合同项目的工程承包价（暂定合同价）由承包人按发包人提供的图纸、勘察资料、工期、质量要求、保养期要求、</w:t>
      </w:r>
      <w:r>
        <w:rPr>
          <w:rFonts w:hint="default" w:ascii="Times New Roman" w:hAnsi="Times New Roman" w:eastAsia="宋体" w:cs="Times New Roman"/>
          <w:color w:val="auto"/>
          <w:kern w:val="0"/>
          <w:sz w:val="22"/>
          <w:szCs w:val="22"/>
          <w:highlight w:val="none"/>
          <w:u w:val="single"/>
          <w:lang w:val="en-US" w:eastAsia="zh-CN" w:bidi="ar"/>
        </w:rPr>
        <w:t xml:space="preserve">    </w:t>
      </w:r>
      <w:r>
        <w:rPr>
          <w:rFonts w:hint="default" w:ascii="Times New Roman" w:hAnsi="Times New Roman" w:cs="Times New Roman"/>
          <w:color w:val="auto"/>
          <w:kern w:val="0"/>
          <w:sz w:val="22"/>
          <w:szCs w:val="22"/>
          <w:highlight w:val="none"/>
          <w:u w:val="single"/>
          <w:lang w:val="en-US" w:eastAsia="zh-CN" w:bidi="ar"/>
        </w:rPr>
        <w:t>/</w:t>
      </w:r>
      <w:r>
        <w:rPr>
          <w:rFonts w:hint="default" w:ascii="Times New Roman" w:hAnsi="Times New Roman" w:eastAsia="宋体" w:cs="Times New Roman"/>
          <w:color w:val="auto"/>
          <w:kern w:val="0"/>
          <w:sz w:val="22"/>
          <w:szCs w:val="22"/>
          <w:highlight w:val="none"/>
          <w:u w:val="single"/>
          <w:lang w:val="en-US" w:eastAsia="zh-CN" w:bidi="ar"/>
        </w:rPr>
        <w:t xml:space="preserve">     </w:t>
      </w:r>
      <w:r>
        <w:rPr>
          <w:rFonts w:hint="default" w:ascii="Times New Roman" w:hAnsi="Times New Roman" w:eastAsia="宋体" w:cs="Times New Roman"/>
          <w:color w:val="auto"/>
          <w:kern w:val="0"/>
          <w:sz w:val="22"/>
          <w:szCs w:val="22"/>
          <w:highlight w:val="none"/>
          <w:lang w:val="en-US" w:eastAsia="zh-CN" w:bidi="ar"/>
        </w:rPr>
        <w:t>等，结合施工现场实际情况制定的施工方案、施工组织设计，依据有关规范、规定，采用</w:t>
      </w:r>
      <w:r>
        <w:rPr>
          <w:rFonts w:hint="default" w:ascii="Times New Roman" w:hAnsi="Times New Roman" w:eastAsia="宋体" w:cs="Times New Roman"/>
          <w:color w:val="auto"/>
          <w:kern w:val="0"/>
          <w:sz w:val="22"/>
          <w:szCs w:val="22"/>
          <w:highlight w:val="none"/>
          <w:u w:val="single"/>
          <w:lang w:val="en-US" w:eastAsia="zh-CN" w:bidi="ar"/>
        </w:rPr>
        <w:t xml:space="preserve">    清单计价法   </w:t>
      </w:r>
      <w:r>
        <w:rPr>
          <w:rFonts w:hint="default" w:ascii="Times New Roman" w:hAnsi="Times New Roman" w:eastAsia="宋体" w:cs="Times New Roman"/>
          <w:color w:val="auto"/>
          <w:kern w:val="0"/>
          <w:sz w:val="22"/>
          <w:szCs w:val="22"/>
          <w:highlight w:val="none"/>
          <w:lang w:val="en-US" w:eastAsia="zh-CN" w:bidi="ar"/>
        </w:rPr>
        <w:t>计价方法编制的预算价，经监理单位、建设管理单位、发包人、</w:t>
      </w:r>
      <w:r>
        <w:rPr>
          <w:rFonts w:hint="default" w:ascii="Times New Roman" w:hAnsi="Times New Roman" w:eastAsia="宋体" w:cs="Times New Roman"/>
          <w:color w:val="auto"/>
          <w:kern w:val="0"/>
          <w:sz w:val="22"/>
          <w:szCs w:val="22"/>
          <w:highlight w:val="none"/>
          <w:u w:val="single"/>
          <w:lang w:val="en-US" w:eastAsia="zh-CN" w:bidi="ar"/>
        </w:rPr>
        <w:t xml:space="preserve"> </w:t>
      </w:r>
      <w:r>
        <w:rPr>
          <w:rFonts w:hint="default" w:ascii="Times New Roman" w:hAnsi="Times New Roman" w:cs="Times New Roman"/>
          <w:color w:val="auto"/>
          <w:kern w:val="0"/>
          <w:sz w:val="22"/>
          <w:szCs w:val="22"/>
          <w:highlight w:val="none"/>
          <w:u w:val="single"/>
          <w:lang w:val="en-US" w:eastAsia="zh-CN" w:bidi="ar"/>
        </w:rPr>
        <w:t>最终经第三方造价咨询单位</w:t>
      </w:r>
      <w:r>
        <w:rPr>
          <w:rFonts w:hint="default" w:ascii="Times New Roman" w:hAnsi="Times New Roman" w:eastAsia="宋体" w:cs="Times New Roman"/>
          <w:color w:val="auto"/>
          <w:kern w:val="0"/>
          <w:sz w:val="22"/>
          <w:szCs w:val="22"/>
          <w:highlight w:val="none"/>
          <w:u w:val="single"/>
          <w:lang w:val="en-US" w:eastAsia="zh-CN" w:bidi="ar"/>
        </w:rPr>
        <w:t xml:space="preserve">         </w:t>
      </w:r>
      <w:r>
        <w:rPr>
          <w:rFonts w:hint="default" w:ascii="Times New Roman" w:hAnsi="Times New Roman" w:eastAsia="宋体" w:cs="Times New Roman"/>
          <w:color w:val="auto"/>
          <w:kern w:val="0"/>
          <w:sz w:val="22"/>
          <w:szCs w:val="22"/>
          <w:highlight w:val="none"/>
          <w:lang w:val="en-US" w:eastAsia="zh-CN" w:bidi="ar"/>
        </w:rPr>
        <w:t>审核后，按审核价</w:t>
      </w:r>
      <w:r>
        <w:rPr>
          <w:rFonts w:hint="default" w:ascii="Times New Roman" w:hAnsi="Times New Roman" w:eastAsia="宋体" w:cs="Times New Roman"/>
          <w:color w:val="auto"/>
          <w:kern w:val="0"/>
          <w:sz w:val="22"/>
          <w:szCs w:val="22"/>
          <w:highlight w:val="none"/>
          <w:u w:val="single"/>
          <w:lang w:val="en-US" w:eastAsia="zh-CN" w:bidi="ar"/>
        </w:rPr>
        <w:t xml:space="preserve"> </w:t>
      </w:r>
      <w:r>
        <w:rPr>
          <w:rFonts w:hint="default" w:ascii="Times New Roman" w:hAnsi="Times New Roman" w:cs="Times New Roman"/>
          <w:color w:val="auto"/>
          <w:kern w:val="0"/>
          <w:sz w:val="22"/>
          <w:szCs w:val="22"/>
          <w:highlight w:val="none"/>
          <w:u w:val="single"/>
          <w:lang w:val="en-US" w:eastAsia="zh-CN" w:bidi="ar"/>
        </w:rPr>
        <w:t>结果</w:t>
      </w:r>
      <w:r>
        <w:rPr>
          <w:rFonts w:hint="default" w:ascii="Times New Roman" w:hAnsi="Times New Roman" w:eastAsia="宋体" w:cs="Times New Roman"/>
          <w:color w:val="auto"/>
          <w:kern w:val="0"/>
          <w:sz w:val="22"/>
          <w:szCs w:val="22"/>
          <w:highlight w:val="none"/>
          <w:u w:val="single"/>
          <w:lang w:val="en-US" w:eastAsia="zh-CN" w:bidi="ar"/>
        </w:rPr>
        <w:t xml:space="preserve">  </w:t>
      </w:r>
      <w:r>
        <w:rPr>
          <w:rFonts w:hint="default" w:ascii="Times New Roman" w:hAnsi="Times New Roman" w:eastAsia="宋体" w:cs="Times New Roman"/>
          <w:color w:val="auto"/>
          <w:kern w:val="0"/>
          <w:sz w:val="22"/>
          <w:szCs w:val="22"/>
          <w:highlight w:val="none"/>
          <w:lang w:val="en-US" w:eastAsia="zh-CN" w:bidi="ar"/>
        </w:rPr>
        <w:t>形成的承包价（暂定合同价）。</w:t>
      </w:r>
    </w:p>
    <w:p w14:paraId="6E2A109B">
      <w:pPr>
        <w:pStyle w:val="25"/>
        <w:keepNext w:val="0"/>
        <w:keepLines w:val="0"/>
        <w:widowControl w:val="0"/>
        <w:suppressLineNumbers w:val="0"/>
        <w:adjustRightInd w:val="0"/>
        <w:snapToGrid w:val="0"/>
        <w:spacing w:before="0" w:beforeAutospacing="0" w:after="0" w:afterAutospacing="0" w:line="420" w:lineRule="exact"/>
        <w:ind w:left="178" w:leftChars="85" w:right="0" w:firstLine="437" w:firstLineChars="199"/>
        <w:jc w:val="left"/>
        <w:rPr>
          <w:rFonts w:hint="default" w:ascii="Times New Roman" w:hAnsi="Times New Roman" w:cs="Times New Roman"/>
          <w:color w:val="auto"/>
          <w:kern w:val="0"/>
          <w:sz w:val="22"/>
          <w:szCs w:val="22"/>
          <w:highlight w:val="none"/>
          <w:lang w:val="en-US"/>
        </w:rPr>
      </w:pPr>
      <w:r>
        <w:rPr>
          <w:rFonts w:hint="default" w:ascii="Times New Roman" w:hAnsi="Times New Roman" w:eastAsia="宋体" w:cs="Times New Roman"/>
          <w:color w:val="auto"/>
          <w:kern w:val="0"/>
          <w:sz w:val="22"/>
          <w:szCs w:val="22"/>
          <w:highlight w:val="none"/>
          <w:lang w:val="en-US" w:eastAsia="zh-CN" w:bidi="ar"/>
        </w:rPr>
        <w:t>本合同项目结算时，项目的结算造价采用</w:t>
      </w:r>
      <w:r>
        <w:rPr>
          <w:rFonts w:hint="default" w:ascii="Times New Roman" w:hAnsi="Times New Roman" w:eastAsia="宋体" w:cs="Times New Roman"/>
          <w:color w:val="auto"/>
          <w:kern w:val="0"/>
          <w:sz w:val="22"/>
          <w:szCs w:val="22"/>
          <w:highlight w:val="none"/>
          <w:u w:val="single"/>
          <w:lang w:val="en-US" w:eastAsia="zh-CN" w:bidi="ar"/>
        </w:rPr>
        <w:t xml:space="preserve"> 清单计价法   </w:t>
      </w:r>
      <w:r>
        <w:rPr>
          <w:rFonts w:hint="default" w:ascii="Times New Roman" w:hAnsi="Times New Roman" w:eastAsia="宋体" w:cs="Times New Roman"/>
          <w:color w:val="auto"/>
          <w:kern w:val="0"/>
          <w:sz w:val="22"/>
          <w:szCs w:val="22"/>
          <w:highlight w:val="none"/>
          <w:lang w:val="en-US" w:eastAsia="zh-CN" w:bidi="ar"/>
        </w:rPr>
        <w:t>计价方法进行计价。并按照国家、省、市有关规范、规定以及计价办法、工程量计算规则执行，工程量按</w:t>
      </w:r>
      <w:r>
        <w:rPr>
          <w:rFonts w:hint="default" w:ascii="Times New Roman" w:hAnsi="Times New Roman" w:eastAsia="宋体" w:cs="Times New Roman"/>
          <w:color w:val="auto"/>
          <w:kern w:val="0"/>
          <w:sz w:val="22"/>
          <w:szCs w:val="22"/>
          <w:highlight w:val="none"/>
          <w:u w:val="single"/>
          <w:lang w:val="en-US" w:eastAsia="zh-CN" w:bidi="ar"/>
        </w:rPr>
        <w:t xml:space="preserve">  </w:t>
      </w:r>
      <w:r>
        <w:rPr>
          <w:rFonts w:hint="default" w:ascii="Times New Roman" w:hAnsi="Times New Roman" w:cs="Times New Roman"/>
          <w:color w:val="auto"/>
          <w:kern w:val="0"/>
          <w:sz w:val="22"/>
          <w:szCs w:val="22"/>
          <w:highlight w:val="none"/>
          <w:u w:val="single"/>
          <w:lang w:val="en-US" w:eastAsia="zh-CN" w:bidi="ar"/>
        </w:rPr>
        <w:t>全面审核法</w:t>
      </w:r>
      <w:r>
        <w:rPr>
          <w:rFonts w:hint="default" w:ascii="Times New Roman" w:hAnsi="Times New Roman" w:eastAsia="宋体" w:cs="Times New Roman"/>
          <w:color w:val="auto"/>
          <w:kern w:val="0"/>
          <w:sz w:val="22"/>
          <w:szCs w:val="22"/>
          <w:highlight w:val="none"/>
          <w:u w:val="single"/>
          <w:lang w:val="en-US" w:eastAsia="zh-CN" w:bidi="ar"/>
        </w:rPr>
        <w:t xml:space="preserve">      </w:t>
      </w:r>
      <w:r>
        <w:rPr>
          <w:rFonts w:hint="default" w:ascii="Times New Roman" w:hAnsi="Times New Roman" w:eastAsia="宋体" w:cs="Times New Roman"/>
          <w:color w:val="auto"/>
          <w:kern w:val="0"/>
          <w:sz w:val="22"/>
          <w:szCs w:val="22"/>
          <w:highlight w:val="none"/>
          <w:lang w:val="en-US" w:eastAsia="zh-CN" w:bidi="ar"/>
        </w:rPr>
        <w:t>计价方法计算，其中的人工、材料、机械台班价格按实际施工期间建设行政主管部门发布的</w:t>
      </w:r>
      <w:r>
        <w:rPr>
          <w:rFonts w:hint="default" w:ascii="Times New Roman" w:hAnsi="Times New Roman" w:eastAsia="宋体" w:cs="Times New Roman"/>
          <w:color w:val="auto"/>
          <w:kern w:val="0"/>
          <w:sz w:val="22"/>
          <w:szCs w:val="22"/>
          <w:highlight w:val="none"/>
          <w:u w:val="single"/>
          <w:lang w:val="en-US" w:eastAsia="zh-CN" w:bidi="ar"/>
        </w:rPr>
        <w:t xml:space="preserve">  当地信息价    </w:t>
      </w:r>
      <w:r>
        <w:rPr>
          <w:rFonts w:hint="default" w:ascii="Times New Roman" w:hAnsi="Times New Roman" w:eastAsia="宋体" w:cs="Times New Roman"/>
          <w:color w:val="auto"/>
          <w:kern w:val="0"/>
          <w:sz w:val="22"/>
          <w:szCs w:val="22"/>
          <w:highlight w:val="none"/>
          <w:lang w:val="en-US" w:eastAsia="zh-CN" w:bidi="ar"/>
        </w:rPr>
        <w:t>规定执行，建设行政主管部门没有发布的某些内容、品种由发包人和承包人约定按</w:t>
      </w:r>
      <w:r>
        <w:rPr>
          <w:rFonts w:hint="default" w:ascii="Times New Roman" w:hAnsi="Times New Roman" w:eastAsia="宋体" w:cs="Times New Roman"/>
          <w:color w:val="auto"/>
          <w:kern w:val="0"/>
          <w:sz w:val="22"/>
          <w:szCs w:val="22"/>
          <w:highlight w:val="none"/>
          <w:u w:val="single"/>
          <w:lang w:val="en-US" w:eastAsia="zh-CN" w:bidi="ar"/>
        </w:rPr>
        <w:t xml:space="preserve">  双方协商后报财政部门审核    </w:t>
      </w:r>
      <w:r>
        <w:rPr>
          <w:rFonts w:hint="default" w:ascii="Times New Roman" w:hAnsi="Times New Roman" w:eastAsia="宋体" w:cs="Times New Roman"/>
          <w:color w:val="auto"/>
          <w:kern w:val="0"/>
          <w:sz w:val="22"/>
          <w:szCs w:val="22"/>
          <w:highlight w:val="none"/>
          <w:lang w:val="en-US" w:eastAsia="zh-CN" w:bidi="ar"/>
        </w:rPr>
        <w:t>计算；或由发包人和承包人约定人工、材料、机械台班价格根据建设标准要求按</w:t>
      </w:r>
      <w:r>
        <w:rPr>
          <w:rFonts w:hint="default" w:ascii="Times New Roman" w:hAnsi="Times New Roman" w:eastAsia="宋体" w:cs="Times New Roman"/>
          <w:color w:val="auto"/>
          <w:kern w:val="0"/>
          <w:sz w:val="22"/>
          <w:szCs w:val="22"/>
          <w:highlight w:val="none"/>
          <w:u w:val="single"/>
          <w:lang w:val="en-US" w:eastAsia="zh-CN" w:bidi="ar"/>
        </w:rPr>
        <w:t xml:space="preserve">  《建设工程工程量清单计价规范》（GB50500—2018）、计价办法、工程量计算规则、图纸等规定计量确认的实际工程量为准  </w:t>
      </w:r>
      <w:r>
        <w:rPr>
          <w:rFonts w:hint="default" w:ascii="Times New Roman" w:hAnsi="Times New Roman" w:eastAsia="宋体" w:cs="Times New Roman"/>
          <w:color w:val="auto"/>
          <w:kern w:val="0"/>
          <w:sz w:val="22"/>
          <w:szCs w:val="22"/>
          <w:highlight w:val="none"/>
          <w:lang w:val="en-US" w:eastAsia="zh-CN" w:bidi="ar"/>
        </w:rPr>
        <w:t>计算。如采用定额计价的，造价的确定依据广东省计价依据、广东省相关定额、广州市补充定额，若个别项目没有定额可套用，由发包人和承包人根据实际情况签订补充合同或协议作出约定；若项目实施期间定额更新，建设行政主管部门对新旧定额的使用办法有规定的从其规定，没有规定或规定不明确的，由发包人和承包人根据实际情况签订补充合同或协议作出约定。</w:t>
      </w:r>
    </w:p>
    <w:p w14:paraId="2A33F3E4">
      <w:pPr>
        <w:pStyle w:val="25"/>
        <w:keepNext w:val="0"/>
        <w:keepLines w:val="0"/>
        <w:widowControl w:val="0"/>
        <w:suppressLineNumbers w:val="0"/>
        <w:adjustRightInd w:val="0"/>
        <w:snapToGrid w:val="0"/>
        <w:spacing w:before="0" w:beforeAutospacing="0" w:after="0" w:afterAutospacing="0" w:line="420" w:lineRule="exact"/>
        <w:ind w:left="178" w:leftChars="85" w:right="0" w:firstLine="437" w:firstLineChars="199"/>
        <w:jc w:val="left"/>
        <w:rPr>
          <w:rFonts w:hint="default" w:ascii="Times New Roman" w:hAnsi="Times New Roman" w:cs="Times New Roman"/>
          <w:color w:val="auto"/>
          <w:kern w:val="0"/>
          <w:sz w:val="22"/>
          <w:szCs w:val="22"/>
          <w:highlight w:val="none"/>
          <w:lang w:val="en-US"/>
        </w:rPr>
      </w:pPr>
      <w:r>
        <w:rPr>
          <w:rFonts w:hint="default" w:ascii="Times New Roman" w:hAnsi="Times New Roman" w:cs="Times New Roman"/>
          <w:color w:val="auto"/>
          <w:kern w:val="0"/>
          <w:sz w:val="22"/>
          <w:szCs w:val="22"/>
          <w:highlight w:val="none"/>
          <w:lang w:val="en-US" w:eastAsia="zh-CN" w:bidi="ar"/>
        </w:rPr>
        <w:t>其他</w:t>
      </w:r>
      <w:r>
        <w:rPr>
          <w:rFonts w:hint="default" w:ascii="Times New Roman" w:hAnsi="Times New Roman" w:eastAsia="宋体" w:cs="Times New Roman"/>
          <w:color w:val="auto"/>
          <w:kern w:val="0"/>
          <w:sz w:val="22"/>
          <w:szCs w:val="22"/>
          <w:highlight w:val="none"/>
          <w:lang w:val="en-US" w:eastAsia="zh-CN" w:bidi="ar"/>
        </w:rPr>
        <w:t>调整</w:t>
      </w:r>
      <w:r>
        <w:rPr>
          <w:rFonts w:hint="default" w:ascii="Times New Roman" w:hAnsi="Times New Roman" w:cs="Times New Roman"/>
          <w:color w:val="auto"/>
          <w:kern w:val="0"/>
          <w:sz w:val="22"/>
          <w:szCs w:val="22"/>
          <w:highlight w:val="none"/>
          <w:lang w:val="en-US" w:eastAsia="zh-CN" w:bidi="ar"/>
        </w:rPr>
        <w:t>内容</w:t>
      </w:r>
      <w:r>
        <w:rPr>
          <w:rFonts w:hint="default" w:ascii="Times New Roman" w:hAnsi="Times New Roman" w:eastAsia="宋体" w:cs="Times New Roman"/>
          <w:color w:val="auto"/>
          <w:kern w:val="0"/>
          <w:sz w:val="22"/>
          <w:szCs w:val="22"/>
          <w:highlight w:val="none"/>
          <w:lang w:val="en-US" w:eastAsia="zh-CN" w:bidi="ar"/>
        </w:rPr>
        <w:t>：</w:t>
      </w:r>
      <w:r>
        <w:rPr>
          <w:rFonts w:hint="default" w:ascii="Times New Roman" w:hAnsi="Times New Roman" w:eastAsia="宋体" w:cs="Times New Roman"/>
          <w:color w:val="auto"/>
          <w:kern w:val="0"/>
          <w:sz w:val="22"/>
          <w:szCs w:val="22"/>
          <w:highlight w:val="none"/>
          <w:u w:val="single"/>
          <w:lang w:val="en-US" w:eastAsia="zh-CN" w:bidi="ar"/>
        </w:rPr>
        <w:t xml:space="preserve">                                                           </w:t>
      </w:r>
      <w:r>
        <w:rPr>
          <w:rFonts w:hint="default" w:ascii="Times New Roman" w:hAnsi="Times New Roman" w:eastAsia="宋体" w:cs="Times New Roman"/>
          <w:color w:val="auto"/>
          <w:kern w:val="0"/>
          <w:sz w:val="22"/>
          <w:szCs w:val="22"/>
          <w:highlight w:val="none"/>
          <w:lang w:val="en-US" w:eastAsia="zh-CN" w:bidi="ar"/>
        </w:rPr>
        <w:t>。</w:t>
      </w:r>
    </w:p>
    <w:p w14:paraId="3FDCDF14">
      <w:pPr>
        <w:pStyle w:val="25"/>
        <w:keepNext w:val="0"/>
        <w:keepLines w:val="0"/>
        <w:widowControl w:val="0"/>
        <w:suppressLineNumbers w:val="0"/>
        <w:adjustRightInd w:val="0"/>
        <w:snapToGrid w:val="0"/>
        <w:spacing w:before="0" w:beforeAutospacing="0" w:after="0" w:afterAutospacing="0" w:line="420" w:lineRule="exact"/>
        <w:ind w:left="178" w:leftChars="85" w:right="0" w:firstLine="437" w:firstLineChars="199"/>
        <w:jc w:val="left"/>
        <w:rPr>
          <w:rFonts w:hint="default" w:ascii="Times New Roman" w:hAnsi="Times New Roman" w:cs="Times New Roman"/>
          <w:color w:val="auto"/>
          <w:kern w:val="0"/>
          <w:sz w:val="22"/>
          <w:szCs w:val="22"/>
          <w:highlight w:val="none"/>
          <w:lang w:val="en-US"/>
        </w:rPr>
      </w:pPr>
      <w:r>
        <w:rPr>
          <w:rFonts w:hint="default" w:ascii="Times New Roman" w:hAnsi="Times New Roman" w:eastAsia="宋体" w:cs="Times New Roman"/>
          <w:color w:val="auto"/>
          <w:kern w:val="0"/>
          <w:sz w:val="22"/>
          <w:szCs w:val="22"/>
          <w:highlight w:val="none"/>
          <w:lang w:val="en-US" w:eastAsia="zh-CN" w:bidi="ar"/>
        </w:rPr>
        <w:t>本合同项目的结算造价确定方式：</w:t>
      </w:r>
      <w:r>
        <w:rPr>
          <w:rFonts w:hint="default" w:ascii="Times New Roman" w:hAnsi="Times New Roman" w:eastAsia="宋体" w:cs="Times New Roman"/>
          <w:color w:val="auto"/>
          <w:kern w:val="0"/>
          <w:sz w:val="22"/>
          <w:szCs w:val="22"/>
          <w:highlight w:val="none"/>
          <w:u w:val="single"/>
          <w:lang w:val="en-US" w:eastAsia="zh-CN" w:bidi="ar"/>
        </w:rPr>
        <w:t xml:space="preserve">   </w:t>
      </w:r>
      <w:r>
        <w:rPr>
          <w:rFonts w:hint="default" w:ascii="Times New Roman" w:hAnsi="Times New Roman" w:cs="Times New Roman"/>
          <w:color w:val="auto"/>
          <w:kern w:val="0"/>
          <w:sz w:val="22"/>
          <w:szCs w:val="22"/>
          <w:highlight w:val="none"/>
          <w:u w:val="single"/>
          <w:lang w:val="en-US" w:eastAsia="zh-CN" w:bidi="ar"/>
        </w:rPr>
        <w:t>经□</w:t>
      </w:r>
      <w:r>
        <w:rPr>
          <w:rFonts w:hint="default" w:ascii="Times New Roman" w:hAnsi="Times New Roman" w:eastAsia="宋体" w:cs="Times New Roman"/>
          <w:color w:val="auto"/>
          <w:kern w:val="0"/>
          <w:sz w:val="22"/>
          <w:szCs w:val="22"/>
          <w:highlight w:val="none"/>
          <w:u w:val="single"/>
          <w:lang w:val="en-US" w:eastAsia="zh-CN" w:bidi="ar"/>
        </w:rPr>
        <w:t xml:space="preserve"> </w:t>
      </w:r>
      <w:r>
        <w:rPr>
          <w:rFonts w:hint="default" w:ascii="Times New Roman" w:hAnsi="Times New Roman" w:cs="Times New Roman"/>
          <w:color w:val="auto"/>
          <w:kern w:val="0"/>
          <w:sz w:val="22"/>
          <w:szCs w:val="22"/>
          <w:highlight w:val="none"/>
          <w:u w:val="single"/>
          <w:lang w:val="en-US" w:eastAsia="zh-CN" w:bidi="ar"/>
        </w:rPr>
        <w:t>市财政局 □</w:t>
      </w:r>
      <w:r>
        <w:rPr>
          <w:rFonts w:hint="default" w:ascii="Times New Roman" w:hAnsi="Times New Roman" w:eastAsia="宋体" w:cs="Times New Roman"/>
          <w:color w:val="auto"/>
          <w:kern w:val="0"/>
          <w:sz w:val="22"/>
          <w:szCs w:val="22"/>
          <w:highlight w:val="none"/>
          <w:u w:val="single"/>
          <w:lang w:val="en-US" w:eastAsia="zh-CN" w:bidi="ar"/>
        </w:rPr>
        <w:t xml:space="preserve"> </w:t>
      </w:r>
      <w:r>
        <w:rPr>
          <w:rFonts w:hint="default" w:ascii="Times New Roman" w:hAnsi="Times New Roman" w:cs="Times New Roman"/>
          <w:color w:val="auto"/>
          <w:kern w:val="0"/>
          <w:sz w:val="22"/>
          <w:szCs w:val="22"/>
          <w:highlight w:val="none"/>
          <w:u w:val="single"/>
          <w:lang w:val="en-US" w:eastAsia="zh-CN" w:bidi="ar"/>
        </w:rPr>
        <w:t>区财政局 财政评审为准</w:t>
      </w:r>
      <w:r>
        <w:rPr>
          <w:rFonts w:hint="default" w:ascii="Times New Roman" w:hAnsi="Times New Roman" w:eastAsia="宋体" w:cs="Times New Roman"/>
          <w:color w:val="auto"/>
          <w:kern w:val="0"/>
          <w:sz w:val="22"/>
          <w:szCs w:val="22"/>
          <w:highlight w:val="none"/>
          <w:u w:val="single"/>
          <w:lang w:val="en-US" w:eastAsia="zh-CN" w:bidi="ar"/>
        </w:rPr>
        <w:t xml:space="preserve">            </w:t>
      </w:r>
      <w:r>
        <w:rPr>
          <w:rFonts w:hint="default" w:ascii="Times New Roman" w:hAnsi="Times New Roman" w:eastAsia="宋体" w:cs="Times New Roman"/>
          <w:color w:val="auto"/>
          <w:kern w:val="0"/>
          <w:sz w:val="22"/>
          <w:szCs w:val="22"/>
          <w:highlight w:val="none"/>
          <w:lang w:val="en-US" w:eastAsia="zh-CN" w:bidi="ar"/>
        </w:rPr>
        <w:t>。</w:t>
      </w:r>
    </w:p>
    <w:p w14:paraId="5B2A4453">
      <w:pPr>
        <w:pStyle w:val="25"/>
        <w:keepNext w:val="0"/>
        <w:keepLines w:val="0"/>
        <w:widowControl w:val="0"/>
        <w:suppressLineNumbers w:val="0"/>
        <w:adjustRightInd w:val="0"/>
        <w:snapToGrid w:val="0"/>
        <w:spacing w:before="0" w:beforeAutospacing="0" w:after="0" w:afterAutospacing="0" w:line="420" w:lineRule="exact"/>
        <w:ind w:left="178" w:leftChars="85" w:right="0" w:firstLine="437" w:firstLineChars="199"/>
        <w:jc w:val="left"/>
        <w:rPr>
          <w:rFonts w:hint="default" w:ascii="Times New Roman" w:hAnsi="Times New Roman" w:cs="Times New Roman"/>
          <w:color w:val="auto"/>
          <w:kern w:val="0"/>
          <w:sz w:val="22"/>
          <w:szCs w:val="22"/>
          <w:highlight w:val="none"/>
          <w:lang w:val="en-US"/>
        </w:rPr>
      </w:pPr>
    </w:p>
    <w:p w14:paraId="60F47974">
      <w:pPr>
        <w:keepNext w:val="0"/>
        <w:keepLines w:val="0"/>
        <w:widowControl w:val="0"/>
        <w:numPr>
          <w:ilvl w:val="0"/>
          <w:numId w:val="34"/>
        </w:numPr>
        <w:suppressLineNumbers w:val="0"/>
        <w:spacing w:before="0" w:beforeAutospacing="0" w:after="0" w:afterAutospacing="0" w:line="420" w:lineRule="exact"/>
        <w:ind w:left="780" w:leftChars="0" w:right="0" w:hanging="360" w:firstLineChars="0"/>
        <w:jc w:val="left"/>
        <w:rPr>
          <w:rFonts w:hint="default" w:ascii="Times New Roman" w:hAnsi="Times New Roman" w:eastAsia="宋体" w:cs="Times New Roman"/>
          <w:color w:val="auto"/>
          <w:kern w:val="0"/>
          <w:sz w:val="22"/>
          <w:szCs w:val="22"/>
          <w:highlight w:val="none"/>
          <w:u w:val="single"/>
          <w:lang w:val="en-US"/>
        </w:rPr>
      </w:pPr>
      <w:r>
        <w:rPr>
          <w:rFonts w:hint="default" w:ascii="Times New Roman" w:hAnsi="Times New Roman" w:cs="Times New Roman"/>
          <w:color w:val="auto"/>
          <w:kern w:val="2"/>
          <w:sz w:val="22"/>
          <w:szCs w:val="22"/>
          <w:highlight w:val="none"/>
          <w:lang w:val="en-US" w:eastAsia="zh-CN" w:bidi="ar"/>
        </w:rPr>
        <w:t>其他</w:t>
      </w:r>
      <w:r>
        <w:rPr>
          <w:rFonts w:hint="default" w:ascii="Times New Roman" w:hAnsi="Times New Roman" w:eastAsia="宋体" w:cs="Times New Roman"/>
          <w:color w:val="auto"/>
          <w:kern w:val="2"/>
          <w:sz w:val="22"/>
          <w:szCs w:val="22"/>
          <w:highlight w:val="none"/>
          <w:lang w:val="en-US" w:eastAsia="zh-CN" w:bidi="ar"/>
        </w:rPr>
        <w:t>价格形式</w:t>
      </w:r>
      <w:r>
        <w:rPr>
          <w:rFonts w:hint="default" w:ascii="Times New Roman" w:hAnsi="Times New Roman" w:eastAsia="宋体" w:cs="Times New Roman"/>
          <w:color w:val="auto"/>
          <w:kern w:val="0"/>
          <w:sz w:val="22"/>
          <w:szCs w:val="22"/>
          <w:highlight w:val="none"/>
          <w:lang w:val="en-US" w:eastAsia="zh-CN" w:bidi="ar"/>
        </w:rPr>
        <w:t>：</w:t>
      </w:r>
      <w:r>
        <w:rPr>
          <w:rFonts w:hint="default" w:ascii="Times New Roman" w:hAnsi="Times New Roman" w:eastAsia="宋体" w:cs="Times New Roman"/>
          <w:color w:val="auto"/>
          <w:kern w:val="0"/>
          <w:sz w:val="22"/>
          <w:szCs w:val="22"/>
          <w:highlight w:val="none"/>
          <w:u w:val="single"/>
          <w:lang w:val="en-US" w:eastAsia="zh-CN" w:bidi="ar"/>
        </w:rPr>
        <w:t xml:space="preserve">                                                              </w:t>
      </w:r>
    </w:p>
    <w:p w14:paraId="16617E03">
      <w:pPr>
        <w:pStyle w:val="4"/>
        <w:numPr>
          <w:ilvl w:val="0"/>
          <w:numId w:val="0"/>
        </w:numPr>
        <w:tabs>
          <w:tab w:val="left" w:pos="360"/>
          <w:tab w:val="left" w:pos="420"/>
          <w:tab w:val="left" w:pos="576"/>
        </w:tabs>
        <w:spacing w:line="420" w:lineRule="exact"/>
        <w:rPr>
          <w:rFonts w:hint="default" w:ascii="Times New Roman" w:hAnsi="Times New Roman" w:cs="Times New Roman"/>
          <w:b/>
          <w:bCs/>
          <w:color w:val="auto"/>
          <w:sz w:val="22"/>
          <w:szCs w:val="22"/>
          <w:highlight w:val="none"/>
        </w:rPr>
      </w:pPr>
      <w:bookmarkStart w:id="435" w:name="_Toc1551650019"/>
      <w:r>
        <w:rPr>
          <w:rFonts w:hint="default" w:ascii="Times New Roman" w:hAnsi="Times New Roman" w:cs="Times New Roman"/>
          <w:b/>
          <w:bCs/>
          <w:color w:val="auto"/>
          <w:sz w:val="22"/>
          <w:szCs w:val="22"/>
          <w:highlight w:val="none"/>
        </w:rPr>
        <w:t>72. 工程变更事件</w:t>
      </w:r>
      <w:bookmarkEnd w:id="433"/>
      <w:bookmarkEnd w:id="434"/>
      <w:bookmarkEnd w:id="435"/>
    </w:p>
    <w:p w14:paraId="76208FC0">
      <w:pPr>
        <w:spacing w:line="420" w:lineRule="exact"/>
        <w:rPr>
          <w:rFonts w:hint="default" w:ascii="Times New Roman" w:hAnsi="Times New Roman" w:cs="Times New Roman"/>
          <w:b/>
          <w:bCs/>
          <w:color w:val="auto"/>
          <w:kern w:val="0"/>
          <w:sz w:val="22"/>
          <w:szCs w:val="22"/>
          <w:highlight w:val="none"/>
        </w:rPr>
      </w:pPr>
    </w:p>
    <w:p w14:paraId="0E6F1080">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72.4 调整承包人报价偏差的方法</w:t>
      </w:r>
    </w:p>
    <w:p w14:paraId="431D382F">
      <w:pPr>
        <w:spacing w:line="420" w:lineRule="exact"/>
        <w:ind w:firstLine="110" w:firstLineChars="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w:t>
      </w:r>
      <w:r>
        <w:rPr>
          <w:rFonts w:hint="default" w:ascii="Times New Roman" w:hAnsi="Times New Roman" w:cs="Times New Roman"/>
          <w:color w:val="auto"/>
          <w:kern w:val="0"/>
          <w:sz w:val="22"/>
          <w:szCs w:val="22"/>
          <w:highlight w:val="none"/>
          <w:lang w:eastAsia="zh-CN"/>
        </w:rPr>
        <w:t>□</w:t>
      </w:r>
      <w:r>
        <w:rPr>
          <w:rFonts w:hint="default" w:ascii="Times New Roman" w:hAnsi="Times New Roman" w:cs="Times New Roman"/>
          <w:color w:val="auto"/>
          <w:kern w:val="0"/>
          <w:sz w:val="22"/>
          <w:szCs w:val="22"/>
          <w:highlight w:val="none"/>
        </w:rPr>
        <w:t xml:space="preserve"> 按通用条款的规定调整。</w:t>
      </w:r>
    </w:p>
    <w:p w14:paraId="56FE1891">
      <w:pPr>
        <w:spacing w:line="420" w:lineRule="exact"/>
        <w:ind w:firstLine="110" w:firstLineChars="50"/>
        <w:rPr>
          <w:rFonts w:hint="default" w:ascii="Times New Roman" w:hAnsi="Times New Roman" w:cs="Times New Roman"/>
          <w:color w:val="auto"/>
          <w:kern w:val="0"/>
          <w:sz w:val="22"/>
          <w:szCs w:val="22"/>
          <w:highlight w:val="none"/>
          <w:u w:val="single"/>
        </w:rPr>
      </w:pPr>
      <w:r>
        <w:rPr>
          <w:rFonts w:hint="default" w:ascii="Times New Roman" w:hAnsi="Times New Roman" w:cs="Times New Roman"/>
          <w:color w:val="auto"/>
          <w:kern w:val="0"/>
          <w:sz w:val="22"/>
          <w:szCs w:val="22"/>
          <w:highlight w:val="none"/>
        </w:rPr>
        <w:t xml:space="preserve"> □ 按照下列方法调整：</w:t>
      </w:r>
      <w:r>
        <w:rPr>
          <w:rFonts w:hint="default" w:ascii="Times New Roman" w:hAnsi="Times New Roman" w:cs="Times New Roman"/>
          <w:color w:val="auto"/>
          <w:kern w:val="0"/>
          <w:sz w:val="22"/>
          <w:szCs w:val="22"/>
          <w:highlight w:val="none"/>
          <w:u w:val="single"/>
        </w:rPr>
        <w:t xml:space="preserve">                                                                          </w:t>
      </w:r>
      <w:bookmarkStart w:id="436" w:name="_Toc469384124"/>
      <w:bookmarkStart w:id="437" w:name="_Toc3731"/>
    </w:p>
    <w:p w14:paraId="61D63512">
      <w:pPr>
        <w:pStyle w:val="4"/>
        <w:numPr>
          <w:ilvl w:val="0"/>
          <w:numId w:val="0"/>
        </w:numPr>
        <w:tabs>
          <w:tab w:val="left" w:pos="360"/>
          <w:tab w:val="left" w:pos="420"/>
          <w:tab w:val="left" w:pos="576"/>
        </w:tabs>
        <w:spacing w:line="420" w:lineRule="exact"/>
        <w:rPr>
          <w:rFonts w:hint="default" w:ascii="Times New Roman" w:hAnsi="Times New Roman" w:cs="Times New Roman"/>
          <w:b/>
          <w:bCs/>
          <w:color w:val="auto"/>
          <w:sz w:val="22"/>
          <w:szCs w:val="22"/>
          <w:highlight w:val="none"/>
        </w:rPr>
      </w:pPr>
      <w:bookmarkStart w:id="438" w:name="_Toc434290840"/>
      <w:r>
        <w:rPr>
          <w:rFonts w:hint="default" w:ascii="Times New Roman" w:hAnsi="Times New Roman" w:cs="Times New Roman"/>
          <w:b/>
          <w:bCs/>
          <w:color w:val="auto"/>
          <w:sz w:val="22"/>
          <w:szCs w:val="22"/>
          <w:highlight w:val="none"/>
        </w:rPr>
        <w:t>73. 工程量偏差事件</w:t>
      </w:r>
      <w:bookmarkEnd w:id="436"/>
      <w:bookmarkEnd w:id="437"/>
      <w:bookmarkEnd w:id="438"/>
    </w:p>
    <w:p w14:paraId="62060F0A">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w:t>
      </w:r>
    </w:p>
    <w:p w14:paraId="63E980AD">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73.2 调整分部分项工程费的方法</w:t>
      </w:r>
    </w:p>
    <w:p w14:paraId="5C71EA51">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调整结算分部分项工程费：</w:t>
      </w:r>
    </w:p>
    <w:p w14:paraId="62D9A995">
      <w:pPr>
        <w:spacing w:line="420" w:lineRule="exact"/>
        <w:ind w:firstLine="110" w:firstLineChars="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 按通用条款的规定调整。</w:t>
      </w:r>
    </w:p>
    <w:p w14:paraId="15395AE8">
      <w:pPr>
        <w:spacing w:line="420" w:lineRule="exact"/>
        <w:ind w:firstLine="110" w:firstLineChars="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w:t>
      </w:r>
      <w:r>
        <w:rPr>
          <w:rFonts w:hint="default" w:ascii="Times New Roman" w:hAnsi="Times New Roman" w:cs="Times New Roman"/>
          <w:color w:val="auto"/>
          <w:kern w:val="0"/>
          <w:sz w:val="22"/>
          <w:szCs w:val="22"/>
          <w:highlight w:val="none"/>
          <w:lang w:eastAsia="zh-CN"/>
        </w:rPr>
        <w:t>☑</w:t>
      </w:r>
      <w:r>
        <w:rPr>
          <w:rFonts w:hint="default" w:ascii="Times New Roman" w:hAnsi="Times New Roman" w:cs="Times New Roman"/>
          <w:color w:val="auto"/>
          <w:kern w:val="0"/>
          <w:sz w:val="22"/>
          <w:szCs w:val="22"/>
          <w:highlight w:val="none"/>
        </w:rPr>
        <w:t xml:space="preserve"> 按照下列方法调整：</w:t>
      </w:r>
      <w:r>
        <w:rPr>
          <w:rFonts w:hint="default" w:ascii="Times New Roman" w:hAnsi="Times New Roman" w:cs="Times New Roman"/>
          <w:color w:val="auto"/>
          <w:kern w:val="0"/>
          <w:sz w:val="22"/>
          <w:szCs w:val="22"/>
          <w:highlight w:val="none"/>
          <w:u w:val="single"/>
        </w:rPr>
        <w:t xml:space="preserve">           分部分项工程按补充合同确定的综合单价包干           </w:t>
      </w:r>
    </w:p>
    <w:p w14:paraId="3E91759B">
      <w:pPr>
        <w:spacing w:line="420" w:lineRule="exact"/>
        <w:ind w:firstLine="110" w:firstLineChars="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73.3 调整施工临时工程费的方法</w:t>
      </w:r>
    </w:p>
    <w:p w14:paraId="7474B471">
      <w:pPr>
        <w:pStyle w:val="7"/>
        <w:ind w:firstLine="0"/>
        <w:rPr>
          <w:rFonts w:hint="default" w:ascii="Times New Roman" w:hAnsi="Times New Roman" w:cs="Times New Roman"/>
          <w:color w:val="auto"/>
          <w:highlight w:val="none"/>
        </w:rPr>
      </w:pPr>
      <w:r>
        <w:rPr>
          <w:rFonts w:hint="default" w:ascii="Times New Roman" w:hAnsi="Times New Roman" w:cs="Times New Roman"/>
          <w:color w:val="auto"/>
          <w:highlight w:val="none"/>
        </w:rPr>
        <w:t>调整结算施工临时工程费：</w:t>
      </w:r>
    </w:p>
    <w:p w14:paraId="7D006507">
      <w:pPr>
        <w:spacing w:line="420" w:lineRule="exact"/>
        <w:ind w:firstLine="110" w:firstLineChars="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 按通用条款的规定调整。</w:t>
      </w:r>
    </w:p>
    <w:p w14:paraId="0C32DE02">
      <w:pPr>
        <w:spacing w:line="420" w:lineRule="exact"/>
        <w:ind w:firstLine="110" w:firstLineChars="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w:t>
      </w:r>
      <w:r>
        <w:rPr>
          <w:rFonts w:hint="default" w:ascii="Times New Roman" w:hAnsi="Times New Roman" w:cs="Times New Roman"/>
          <w:color w:val="auto"/>
          <w:kern w:val="0"/>
          <w:sz w:val="22"/>
          <w:szCs w:val="22"/>
          <w:highlight w:val="none"/>
          <w:lang w:eastAsia="zh-CN"/>
        </w:rPr>
        <w:t>☑</w:t>
      </w:r>
      <w:r>
        <w:rPr>
          <w:rFonts w:hint="default" w:ascii="Times New Roman" w:hAnsi="Times New Roman" w:cs="Times New Roman"/>
          <w:color w:val="auto"/>
          <w:kern w:val="0"/>
          <w:sz w:val="22"/>
          <w:szCs w:val="22"/>
          <w:highlight w:val="none"/>
        </w:rPr>
        <w:t xml:space="preserve"> 按照下列方法调整：</w:t>
      </w:r>
      <w:r>
        <w:rPr>
          <w:rFonts w:hint="default" w:ascii="Times New Roman" w:hAnsi="Times New Roman" w:eastAsia="宋体" w:cs="Times New Roman"/>
          <w:color w:val="auto"/>
          <w:kern w:val="2"/>
          <w:sz w:val="22"/>
          <w:szCs w:val="22"/>
          <w:highlight w:val="none"/>
          <w:u w:val="single"/>
          <w:lang w:val="en-US" w:eastAsia="zh-CN" w:bidi="ar"/>
        </w:rPr>
        <w:t xml:space="preserve">       </w:t>
      </w:r>
      <w:r>
        <w:rPr>
          <w:rFonts w:hint="default" w:ascii="Times New Roman" w:hAnsi="Times New Roman" w:cs="Times New Roman"/>
          <w:color w:val="auto"/>
          <w:kern w:val="0"/>
          <w:sz w:val="22"/>
          <w:szCs w:val="22"/>
          <w:highlight w:val="none"/>
          <w:u w:val="single"/>
        </w:rPr>
        <w:t>按补充合同确定的相应的施工临时工程费，分为按实际工程量计算的单价施工临时工程综合单价包干和按系数计算的总价施工临时工程总价包干</w:t>
      </w:r>
      <w:r>
        <w:rPr>
          <w:rFonts w:hint="default" w:ascii="Times New Roman" w:hAnsi="Times New Roman" w:cs="Times New Roman"/>
          <w:color w:val="auto"/>
          <w:kern w:val="0"/>
          <w:sz w:val="22"/>
          <w:szCs w:val="22"/>
          <w:highlight w:val="none"/>
          <w:u w:val="single"/>
          <w:lang w:eastAsia="zh-CN"/>
        </w:rPr>
        <w:t>。</w:t>
      </w:r>
      <w:r>
        <w:rPr>
          <w:rFonts w:hint="default" w:ascii="Times New Roman" w:hAnsi="Times New Roman" w:eastAsia="宋体" w:cs="Times New Roman"/>
          <w:color w:val="auto"/>
          <w:kern w:val="2"/>
          <w:sz w:val="22"/>
          <w:szCs w:val="22"/>
          <w:highlight w:val="none"/>
          <w:u w:val="single"/>
          <w:lang w:val="en-US" w:eastAsia="zh-CN" w:bidi="ar"/>
        </w:rPr>
        <w:t xml:space="preserve">     </w:t>
      </w:r>
    </w:p>
    <w:p w14:paraId="45972BCD">
      <w:pPr>
        <w:pStyle w:val="4"/>
        <w:numPr>
          <w:ilvl w:val="0"/>
          <w:numId w:val="0"/>
        </w:numPr>
        <w:tabs>
          <w:tab w:val="left" w:pos="360"/>
          <w:tab w:val="left" w:pos="420"/>
          <w:tab w:val="left" w:pos="576"/>
        </w:tabs>
        <w:spacing w:line="420" w:lineRule="exact"/>
        <w:rPr>
          <w:rFonts w:hint="default" w:ascii="Times New Roman" w:hAnsi="Times New Roman" w:cs="Times New Roman"/>
          <w:b/>
          <w:bCs/>
          <w:color w:val="auto"/>
          <w:sz w:val="22"/>
          <w:szCs w:val="22"/>
          <w:highlight w:val="none"/>
        </w:rPr>
      </w:pPr>
      <w:bookmarkStart w:id="439" w:name="_Toc165618902"/>
      <w:bookmarkStart w:id="440" w:name="_Toc20810"/>
      <w:bookmarkStart w:id="441" w:name="_Toc469384125"/>
      <w:r>
        <w:rPr>
          <w:rFonts w:hint="default" w:ascii="Times New Roman" w:hAnsi="Times New Roman" w:cs="Times New Roman"/>
          <w:b/>
          <w:bCs/>
          <w:color w:val="auto"/>
          <w:sz w:val="22"/>
          <w:szCs w:val="22"/>
          <w:highlight w:val="none"/>
        </w:rPr>
        <w:t>75. 现场签证事件</w:t>
      </w:r>
      <w:bookmarkEnd w:id="439"/>
      <w:bookmarkEnd w:id="440"/>
      <w:bookmarkEnd w:id="441"/>
    </w:p>
    <w:p w14:paraId="573E68A9">
      <w:pPr>
        <w:spacing w:line="420" w:lineRule="exact"/>
        <w:rPr>
          <w:rFonts w:hint="default" w:ascii="Times New Roman" w:hAnsi="Times New Roman" w:cs="Times New Roman"/>
          <w:color w:val="auto"/>
          <w:kern w:val="0"/>
          <w:sz w:val="22"/>
          <w:szCs w:val="22"/>
          <w:highlight w:val="none"/>
        </w:rPr>
      </w:pPr>
    </w:p>
    <w:p w14:paraId="1DB7736C">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75.3 现场签证报告的确认</w:t>
      </w:r>
    </w:p>
    <w:p w14:paraId="4CC73193">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提交现场签证报告的时间：</w:t>
      </w:r>
    </w:p>
    <w:p w14:paraId="7B89A244">
      <w:pPr>
        <w:spacing w:line="420" w:lineRule="exact"/>
        <w:ind w:firstLine="110" w:firstLineChars="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w:t>
      </w:r>
      <w:r>
        <w:rPr>
          <w:rFonts w:hint="default" w:ascii="Times New Roman" w:hAnsi="Times New Roman" w:cs="Times New Roman"/>
          <w:color w:val="auto"/>
          <w:kern w:val="0"/>
          <w:sz w:val="22"/>
          <w:szCs w:val="22"/>
          <w:highlight w:val="none"/>
          <w:lang w:eastAsia="zh-CN"/>
        </w:rPr>
        <w:t>☑</w:t>
      </w:r>
      <w:r>
        <w:rPr>
          <w:rFonts w:hint="default" w:ascii="Times New Roman" w:hAnsi="Times New Roman" w:cs="Times New Roman"/>
          <w:color w:val="auto"/>
          <w:kern w:val="0"/>
          <w:sz w:val="22"/>
          <w:szCs w:val="22"/>
          <w:highlight w:val="none"/>
        </w:rPr>
        <w:t xml:space="preserve"> 按通用条款的规定的时间提交。</w:t>
      </w:r>
    </w:p>
    <w:p w14:paraId="7027FFF1">
      <w:pPr>
        <w:spacing w:line="420" w:lineRule="exact"/>
        <w:ind w:firstLine="110" w:firstLineChars="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 另作约定：</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rPr>
        <w:t xml:space="preserve">            </w:t>
      </w:r>
    </w:p>
    <w:p w14:paraId="64EF5D85">
      <w:pPr>
        <w:pStyle w:val="4"/>
        <w:numPr>
          <w:ilvl w:val="0"/>
          <w:numId w:val="0"/>
        </w:numPr>
        <w:tabs>
          <w:tab w:val="left" w:pos="360"/>
          <w:tab w:val="left" w:pos="420"/>
          <w:tab w:val="left" w:pos="576"/>
        </w:tabs>
        <w:spacing w:line="420" w:lineRule="exact"/>
        <w:rPr>
          <w:rFonts w:hint="default" w:ascii="Times New Roman" w:hAnsi="Times New Roman" w:cs="Times New Roman"/>
          <w:b/>
          <w:bCs/>
          <w:color w:val="auto"/>
          <w:sz w:val="22"/>
          <w:szCs w:val="22"/>
          <w:highlight w:val="none"/>
        </w:rPr>
      </w:pPr>
      <w:bookmarkStart w:id="442" w:name="_Toc9283"/>
      <w:bookmarkStart w:id="443" w:name="_Toc812377533"/>
      <w:bookmarkStart w:id="444" w:name="_Toc469384126"/>
      <w:r>
        <w:rPr>
          <w:rFonts w:hint="default" w:ascii="Times New Roman" w:hAnsi="Times New Roman" w:cs="Times New Roman"/>
          <w:b/>
          <w:bCs/>
          <w:color w:val="auto"/>
          <w:sz w:val="22"/>
          <w:szCs w:val="22"/>
          <w:highlight w:val="none"/>
        </w:rPr>
        <w:t>★76. 物价涨落事件</w:t>
      </w:r>
      <w:bookmarkEnd w:id="442"/>
      <w:bookmarkEnd w:id="443"/>
      <w:bookmarkEnd w:id="444"/>
    </w:p>
    <w:p w14:paraId="731F04B1">
      <w:pPr>
        <w:spacing w:line="420" w:lineRule="exact"/>
        <w:ind w:firstLine="110" w:firstLineChars="50"/>
        <w:rPr>
          <w:rFonts w:hint="default" w:ascii="Times New Roman" w:hAnsi="Times New Roman" w:cs="Times New Roman"/>
          <w:color w:val="auto"/>
          <w:kern w:val="0"/>
          <w:sz w:val="22"/>
          <w:szCs w:val="22"/>
          <w:highlight w:val="none"/>
        </w:rPr>
      </w:pPr>
    </w:p>
    <w:p w14:paraId="7648CD49">
      <w:pPr>
        <w:spacing w:line="420" w:lineRule="exact"/>
        <w:ind w:firstLine="440" w:firstLineChars="200"/>
        <w:jc w:val="left"/>
        <w:rPr>
          <w:rFonts w:hint="default" w:ascii="Times New Roman" w:hAnsi="Times New Roman" w:cs="Times New Roman"/>
          <w:color w:val="auto"/>
          <w:sz w:val="22"/>
          <w:szCs w:val="22"/>
          <w:highlight w:val="none"/>
        </w:rPr>
      </w:pPr>
      <w:r>
        <w:rPr>
          <w:rFonts w:hint="default" w:ascii="Times New Roman" w:hAnsi="Times New Roman" w:cs="Times New Roman"/>
          <w:color w:val="auto"/>
          <w:kern w:val="0"/>
          <w:sz w:val="22"/>
          <w:szCs w:val="22"/>
          <w:highlight w:val="none"/>
        </w:rPr>
        <w:t>市场价格波动是否调整合同价格的约定：</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u w:val="single"/>
          <w:lang w:val="en-US" w:eastAsia="zh-CN"/>
        </w:rPr>
        <w:t xml:space="preserve"> </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sz w:val="22"/>
          <w:szCs w:val="22"/>
          <w:highlight w:val="none"/>
        </w:rPr>
        <w:t>。</w:t>
      </w:r>
    </w:p>
    <w:p w14:paraId="59F3C823">
      <w:pPr>
        <w:spacing w:line="420" w:lineRule="exact"/>
        <w:ind w:firstLine="440" w:firstLineChars="200"/>
        <w:jc w:val="lef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因市场价格波动调整合同价格，采用以下第</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kern w:val="0"/>
          <w:sz w:val="22"/>
          <w:szCs w:val="22"/>
          <w:highlight w:val="none"/>
        </w:rPr>
        <w:t>种方式对合同价格进行调整：</w:t>
      </w:r>
    </w:p>
    <w:p w14:paraId="4C90408F">
      <w:pPr>
        <w:spacing w:line="420" w:lineRule="exact"/>
        <w:ind w:firstLine="440" w:firstLineChars="200"/>
        <w:jc w:val="left"/>
        <w:rPr>
          <w:rFonts w:hint="default" w:ascii="Times New Roman" w:hAnsi="Times New Roman" w:cs="Times New Roman"/>
          <w:color w:val="auto"/>
          <w:sz w:val="22"/>
          <w:szCs w:val="22"/>
          <w:highlight w:val="none"/>
        </w:rPr>
      </w:pPr>
      <w:r>
        <w:rPr>
          <w:rFonts w:hint="default" w:ascii="Times New Roman" w:hAnsi="Times New Roman" w:cs="Times New Roman"/>
          <w:color w:val="auto"/>
          <w:kern w:val="0"/>
          <w:sz w:val="22"/>
          <w:szCs w:val="22"/>
          <w:highlight w:val="none"/>
        </w:rPr>
        <w:t>第1种方式：采用造价信息进行价格调整。</w:t>
      </w:r>
    </w:p>
    <w:p w14:paraId="3227F87D">
      <w:pPr>
        <w:spacing w:line="420" w:lineRule="exact"/>
        <w:ind w:firstLine="440" w:firstLineChars="200"/>
        <w:jc w:val="left"/>
        <w:rPr>
          <w:rFonts w:hint="default" w:ascii="Times New Roman" w:hAnsi="Times New Roman" w:cs="Times New Roman"/>
          <w:color w:val="auto"/>
          <w:sz w:val="22"/>
          <w:szCs w:val="22"/>
          <w:highlight w:val="none"/>
        </w:rPr>
      </w:pPr>
      <w:r>
        <w:rPr>
          <w:rFonts w:hint="default" w:ascii="Times New Roman" w:hAnsi="Times New Roman" w:cs="Times New Roman"/>
          <w:color w:val="auto"/>
          <w:kern w:val="0"/>
          <w:sz w:val="22"/>
          <w:szCs w:val="22"/>
          <w:highlight w:val="none"/>
        </w:rPr>
        <w:t>（1）关于基准价格的约定：</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u w:val="single"/>
          <w:lang w:val="en-US" w:eastAsia="zh-CN"/>
        </w:rPr>
        <w:t xml:space="preserve">                         </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rPr>
        <w:t>。</w:t>
      </w:r>
    </w:p>
    <w:p w14:paraId="78E14453">
      <w:pPr>
        <w:spacing w:line="420" w:lineRule="exact"/>
        <w:ind w:firstLine="440" w:firstLineChars="200"/>
        <w:jc w:val="lef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①承包人在已标价工程量清单或预算书中载明的材料单价低于基准价格的：专用合同条款合同履行期间材料单价涨幅以基准价格为基础超过</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kern w:val="0"/>
          <w:sz w:val="22"/>
          <w:szCs w:val="22"/>
          <w:highlight w:val="none"/>
        </w:rPr>
        <w:t>%时，或材料单价跌幅以已标价工程量清单或预算书中载明材料单价为基础超过</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kern w:val="0"/>
          <w:sz w:val="22"/>
          <w:szCs w:val="22"/>
          <w:highlight w:val="none"/>
        </w:rPr>
        <w:t>%时，其超过部分据实调整。</w:t>
      </w:r>
    </w:p>
    <w:p w14:paraId="501B5464">
      <w:pPr>
        <w:spacing w:line="420" w:lineRule="exact"/>
        <w:ind w:firstLine="440" w:firstLineChars="200"/>
        <w:jc w:val="left"/>
        <w:rPr>
          <w:rFonts w:hint="default" w:ascii="Times New Roman" w:hAnsi="Times New Roman" w:cs="Times New Roman"/>
          <w:color w:val="auto"/>
          <w:sz w:val="22"/>
          <w:szCs w:val="22"/>
          <w:highlight w:val="none"/>
        </w:rPr>
      </w:pPr>
      <w:r>
        <w:rPr>
          <w:rFonts w:hint="default" w:ascii="Times New Roman" w:hAnsi="Times New Roman" w:cs="Times New Roman"/>
          <w:color w:val="auto"/>
          <w:kern w:val="0"/>
          <w:sz w:val="22"/>
          <w:szCs w:val="22"/>
          <w:highlight w:val="none"/>
        </w:rPr>
        <w:t xml:space="preserve"> 调整价格的材料品种：</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u w:val="single"/>
          <w:lang w:val="en-US" w:eastAsia="zh-CN"/>
        </w:rPr>
        <w:t xml:space="preserve">                                                      </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rPr>
        <w:t>。</w:t>
      </w:r>
    </w:p>
    <w:p w14:paraId="00DE53D2">
      <w:pPr>
        <w:spacing w:line="420" w:lineRule="exact"/>
        <w:ind w:firstLine="440" w:firstLineChars="200"/>
        <w:jc w:val="lef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②承包人在已标价工程量清单或预算书中载明的材料单价高于基准价格的：专用合同条款合同履行期间材料单价跌幅以基准价格为基础超过</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kern w:val="0"/>
          <w:sz w:val="22"/>
          <w:szCs w:val="22"/>
          <w:highlight w:val="none"/>
        </w:rPr>
        <w:t>%时，材料单价涨幅以已标价工程量清单或预算书中载明材料单价为基础超过</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kern w:val="0"/>
          <w:sz w:val="22"/>
          <w:szCs w:val="22"/>
          <w:highlight w:val="none"/>
        </w:rPr>
        <w:t>%时，其超过部分据实调整。</w:t>
      </w:r>
    </w:p>
    <w:p w14:paraId="6AFEF410">
      <w:pPr>
        <w:spacing w:line="420" w:lineRule="exact"/>
        <w:ind w:firstLine="649" w:firstLineChars="295"/>
        <w:jc w:val="left"/>
        <w:rPr>
          <w:rFonts w:hint="default" w:ascii="Times New Roman" w:hAnsi="Times New Roman" w:cs="Times New Roman"/>
          <w:color w:val="auto"/>
          <w:sz w:val="22"/>
          <w:szCs w:val="22"/>
          <w:highlight w:val="none"/>
        </w:rPr>
      </w:pPr>
      <w:r>
        <w:rPr>
          <w:rFonts w:hint="default" w:ascii="Times New Roman" w:hAnsi="Times New Roman" w:cs="Times New Roman"/>
          <w:color w:val="auto"/>
          <w:kern w:val="0"/>
          <w:sz w:val="22"/>
          <w:szCs w:val="22"/>
          <w:highlight w:val="none"/>
        </w:rPr>
        <w:t>调整价格的材料品种：</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u w:val="single"/>
          <w:lang w:val="en-US" w:eastAsia="zh-CN"/>
        </w:rPr>
        <w:t xml:space="preserve">                                                      </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rPr>
        <w:t>。</w:t>
      </w:r>
    </w:p>
    <w:p w14:paraId="267B8866">
      <w:pPr>
        <w:spacing w:line="420" w:lineRule="exact"/>
        <w:ind w:firstLine="660" w:firstLineChars="300"/>
        <w:jc w:val="lef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③承包人在已标价工程量清单或预算书中载明的材料单价等于基准单价的：专用合同条款合同履行期间材料单价涨跌幅以基准单价为基础超过±</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kern w:val="0"/>
          <w:sz w:val="22"/>
          <w:szCs w:val="22"/>
          <w:highlight w:val="none"/>
        </w:rPr>
        <w:t>%时，其超过部分据实调整。</w:t>
      </w:r>
    </w:p>
    <w:p w14:paraId="15061800">
      <w:pPr>
        <w:spacing w:line="420" w:lineRule="exact"/>
        <w:ind w:firstLine="649" w:firstLineChars="295"/>
        <w:jc w:val="left"/>
        <w:rPr>
          <w:rFonts w:hint="default" w:ascii="Times New Roman" w:hAnsi="Times New Roman" w:cs="Times New Roman"/>
          <w:color w:val="auto"/>
          <w:sz w:val="22"/>
          <w:szCs w:val="22"/>
          <w:highlight w:val="none"/>
        </w:rPr>
      </w:pPr>
      <w:r>
        <w:rPr>
          <w:rFonts w:hint="default" w:ascii="Times New Roman" w:hAnsi="Times New Roman" w:cs="Times New Roman"/>
          <w:color w:val="auto"/>
          <w:kern w:val="0"/>
          <w:sz w:val="22"/>
          <w:szCs w:val="22"/>
          <w:highlight w:val="none"/>
        </w:rPr>
        <w:t>调整价格的材料品种：</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u w:val="single"/>
          <w:lang w:val="en-US" w:eastAsia="zh-CN"/>
        </w:rPr>
        <w:t xml:space="preserve">                                                      </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rPr>
        <w:t>。</w:t>
      </w:r>
    </w:p>
    <w:p w14:paraId="4F313DEE">
      <w:pPr>
        <w:spacing w:line="420" w:lineRule="exact"/>
        <w:ind w:firstLine="645"/>
        <w:jc w:val="left"/>
        <w:rPr>
          <w:rFonts w:hint="default" w:ascii="Times New Roman" w:hAnsi="Times New Roman" w:cs="Times New Roman"/>
          <w:color w:val="auto"/>
          <w:sz w:val="22"/>
          <w:szCs w:val="22"/>
          <w:highlight w:val="none"/>
          <w:u w:val="single"/>
        </w:rPr>
      </w:pPr>
      <w:r>
        <w:rPr>
          <w:rFonts w:hint="default" w:ascii="Times New Roman" w:hAnsi="Times New Roman" w:cs="Times New Roman"/>
          <w:color w:val="auto"/>
          <w:kern w:val="0"/>
          <w:sz w:val="22"/>
          <w:szCs w:val="22"/>
          <w:highlight w:val="none"/>
        </w:rPr>
        <w:t>第2种方式：其他价格调整方式：</w:t>
      </w:r>
      <w:r>
        <w:rPr>
          <w:rFonts w:hint="default" w:ascii="Times New Roman" w:hAnsi="Times New Roman" w:cs="Times New Roman"/>
          <w:color w:val="auto"/>
          <w:sz w:val="22"/>
          <w:szCs w:val="22"/>
          <w:highlight w:val="none"/>
          <w:u w:val="single"/>
        </w:rPr>
        <w:t>（1）因市场价格波动引起的合同价格调整按照《荔湾区财政投资建设工程主要原材料价格调差的指导意见》执行，价格调差范围为水泥，水泥砂浆，砌块，电缆，钢材，镀锌钢管，风管等（信息价范围以外的主材不纳入价格调差范围）。</w:t>
      </w:r>
    </w:p>
    <w:p w14:paraId="734FA563">
      <w:pPr>
        <w:spacing w:line="420" w:lineRule="exact"/>
        <w:ind w:firstLine="645"/>
        <w:jc w:val="left"/>
        <w:rPr>
          <w:rFonts w:hint="default" w:ascii="Times New Roman" w:hAnsi="Times New Roman" w:cs="Times New Roman"/>
          <w:color w:val="auto"/>
          <w:sz w:val="22"/>
          <w:szCs w:val="22"/>
          <w:highlight w:val="none"/>
          <w:u w:val="single"/>
        </w:rPr>
      </w:pPr>
      <w:r>
        <w:rPr>
          <w:rFonts w:hint="default" w:ascii="Times New Roman" w:hAnsi="Times New Roman" w:cs="Times New Roman"/>
          <w:color w:val="auto"/>
          <w:sz w:val="22"/>
          <w:szCs w:val="22"/>
          <w:highlight w:val="none"/>
          <w:u w:val="single"/>
        </w:rPr>
        <w:t>（2）双方约定基准价格为承包人投标截止当月的广州市建设工程造价管理机构发布的信息指导价。</w:t>
      </w:r>
    </w:p>
    <w:p w14:paraId="2A6C536A">
      <w:pPr>
        <w:spacing w:line="420" w:lineRule="exact"/>
        <w:ind w:firstLine="645"/>
        <w:jc w:val="left"/>
        <w:rPr>
          <w:rFonts w:hint="default" w:ascii="Times New Roman" w:hAnsi="Times New Roman" w:cs="Times New Roman"/>
          <w:color w:val="auto"/>
          <w:sz w:val="22"/>
          <w:szCs w:val="22"/>
          <w:highlight w:val="none"/>
          <w:u w:val="single"/>
        </w:rPr>
      </w:pPr>
      <w:r>
        <w:rPr>
          <w:rFonts w:hint="default" w:ascii="Times New Roman" w:hAnsi="Times New Roman" w:cs="Times New Roman"/>
          <w:color w:val="auto"/>
          <w:sz w:val="22"/>
          <w:szCs w:val="22"/>
          <w:highlight w:val="none"/>
          <w:u w:val="single"/>
        </w:rPr>
        <w:t>（3）开工批复一年后仍有施工周期超过一年的实施项目部分，该部分主要材料价格参考广州市建设工程造价管理机构发布的材料价格与基准价格对比涨落在±5%范围内（含±5%）不调整；对比涨落超过±5%时（不含±5%），超过部分予以调整，具体按照《荔湾区财政投资建设工程主要原材料价格调差的指导意见》执行。</w:t>
      </w:r>
    </w:p>
    <w:p w14:paraId="59C58E50">
      <w:pPr>
        <w:spacing w:line="420" w:lineRule="exact"/>
        <w:ind w:firstLine="645"/>
        <w:jc w:val="left"/>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u w:val="single"/>
        </w:rPr>
        <w:t>（4）若国家，省，市，区有相关法规调整，发承包双方可根据规定协商处理</w:t>
      </w:r>
      <w:r>
        <w:rPr>
          <w:rFonts w:hint="default" w:ascii="Times New Roman" w:hAnsi="Times New Roman" w:cs="Times New Roman"/>
          <w:color w:val="auto"/>
          <w:sz w:val="22"/>
          <w:szCs w:val="22"/>
          <w:highlight w:val="none"/>
        </w:rPr>
        <w:t>。</w:t>
      </w:r>
    </w:p>
    <w:p w14:paraId="677387F0">
      <w:pPr>
        <w:pStyle w:val="4"/>
        <w:numPr>
          <w:ilvl w:val="0"/>
          <w:numId w:val="0"/>
        </w:numPr>
        <w:tabs>
          <w:tab w:val="left" w:pos="360"/>
          <w:tab w:val="left" w:pos="420"/>
          <w:tab w:val="left" w:pos="576"/>
        </w:tabs>
        <w:spacing w:line="420" w:lineRule="exact"/>
        <w:rPr>
          <w:rFonts w:hint="default" w:ascii="Times New Roman" w:hAnsi="Times New Roman" w:cs="Times New Roman"/>
          <w:b/>
          <w:bCs/>
          <w:color w:val="auto"/>
          <w:sz w:val="22"/>
          <w:szCs w:val="22"/>
          <w:highlight w:val="none"/>
        </w:rPr>
      </w:pPr>
      <w:bookmarkStart w:id="445" w:name="_Toc469384127"/>
      <w:bookmarkStart w:id="446" w:name="_Toc2052118145"/>
      <w:bookmarkStart w:id="447" w:name="_Toc938"/>
      <w:r>
        <w:rPr>
          <w:rFonts w:hint="default" w:ascii="Times New Roman" w:hAnsi="Times New Roman" w:cs="Times New Roman"/>
          <w:b/>
          <w:bCs/>
          <w:color w:val="auto"/>
          <w:sz w:val="22"/>
          <w:szCs w:val="22"/>
          <w:highlight w:val="none"/>
        </w:rPr>
        <w:t>78. 支付事项</w:t>
      </w:r>
      <w:bookmarkEnd w:id="445"/>
      <w:bookmarkEnd w:id="446"/>
      <w:bookmarkEnd w:id="447"/>
    </w:p>
    <w:p w14:paraId="7C4D04CA">
      <w:pPr>
        <w:spacing w:line="420" w:lineRule="exact"/>
        <w:rPr>
          <w:rFonts w:hint="default" w:ascii="Times New Roman" w:hAnsi="Times New Roman" w:cs="Times New Roman"/>
          <w:color w:val="auto"/>
          <w:kern w:val="0"/>
          <w:sz w:val="22"/>
          <w:szCs w:val="22"/>
          <w:highlight w:val="none"/>
        </w:rPr>
      </w:pPr>
    </w:p>
    <w:p w14:paraId="1323128C">
      <w:pPr>
        <w:spacing w:line="420" w:lineRule="exact"/>
        <w:ind w:firstLine="220" w:firstLineChars="10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78.2 计算利息的利率</w:t>
      </w:r>
    </w:p>
    <w:p w14:paraId="2B0CA18A">
      <w:pPr>
        <w:spacing w:line="420" w:lineRule="exact"/>
        <w:ind w:firstLine="110" w:firstLineChars="5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 按照中国人民银行发布的同期同类贷款利率。</w:t>
      </w:r>
    </w:p>
    <w:p w14:paraId="33EFE659">
      <w:pPr>
        <w:spacing w:line="420" w:lineRule="exact"/>
        <w:rPr>
          <w:rFonts w:hint="default" w:ascii="Times New Roman" w:hAnsi="Times New Roman" w:cs="Times New Roman"/>
          <w:color w:val="auto"/>
          <w:kern w:val="0"/>
          <w:sz w:val="22"/>
          <w:szCs w:val="22"/>
          <w:highlight w:val="none"/>
          <w:u w:val="single"/>
        </w:rPr>
      </w:pPr>
      <w:r>
        <w:rPr>
          <w:rFonts w:hint="default" w:ascii="Times New Roman" w:hAnsi="Times New Roman" w:cs="Times New Roman"/>
          <w:color w:val="auto"/>
          <w:kern w:val="0"/>
          <w:sz w:val="22"/>
          <w:szCs w:val="22"/>
          <w:highlight w:val="none"/>
        </w:rPr>
        <w:t xml:space="preserve">  </w:t>
      </w:r>
      <w:r>
        <w:rPr>
          <w:rFonts w:hint="default" w:ascii="Times New Roman" w:hAnsi="Times New Roman" w:cs="Times New Roman"/>
          <w:color w:val="auto"/>
          <w:kern w:val="0"/>
          <w:sz w:val="22"/>
          <w:szCs w:val="22"/>
          <w:highlight w:val="none"/>
          <w:lang w:eastAsia="zh-CN"/>
        </w:rPr>
        <w:t>☑</w:t>
      </w:r>
      <w:r>
        <w:rPr>
          <w:rFonts w:hint="default" w:ascii="Times New Roman" w:hAnsi="Times New Roman" w:cs="Times New Roman"/>
          <w:color w:val="auto"/>
          <w:kern w:val="0"/>
          <w:sz w:val="22"/>
          <w:szCs w:val="22"/>
          <w:highlight w:val="none"/>
        </w:rPr>
        <w:t xml:space="preserve"> 另作约定：</w:t>
      </w:r>
      <w:r>
        <w:rPr>
          <w:rFonts w:hint="default" w:ascii="Times New Roman" w:hAnsi="Times New Roman" w:cs="Times New Roman"/>
          <w:color w:val="auto"/>
          <w:kern w:val="0"/>
          <w:sz w:val="22"/>
          <w:szCs w:val="22"/>
          <w:highlight w:val="none"/>
          <w:u w:val="single"/>
        </w:rPr>
        <w:t xml:space="preserve">不计取 </w:t>
      </w:r>
    </w:p>
    <w:p w14:paraId="22B6EEA9">
      <w:pPr>
        <w:pStyle w:val="4"/>
        <w:numPr>
          <w:ilvl w:val="0"/>
          <w:numId w:val="0"/>
        </w:numPr>
        <w:tabs>
          <w:tab w:val="left" w:pos="360"/>
          <w:tab w:val="left" w:pos="420"/>
          <w:tab w:val="left" w:pos="576"/>
        </w:tabs>
        <w:spacing w:line="420" w:lineRule="exact"/>
        <w:rPr>
          <w:rFonts w:hint="default" w:ascii="Times New Roman" w:hAnsi="Times New Roman" w:cs="Times New Roman"/>
          <w:b/>
          <w:bCs/>
          <w:color w:val="auto"/>
          <w:sz w:val="22"/>
          <w:szCs w:val="22"/>
          <w:highlight w:val="none"/>
        </w:rPr>
      </w:pPr>
      <w:bookmarkStart w:id="448" w:name="_Toc631534168"/>
      <w:bookmarkStart w:id="449" w:name="_Toc8042"/>
      <w:bookmarkStart w:id="450" w:name="_Toc469384128"/>
      <w:r>
        <w:rPr>
          <w:rFonts w:hint="default" w:ascii="Times New Roman" w:hAnsi="Times New Roman" w:cs="Times New Roman"/>
          <w:b/>
          <w:bCs/>
          <w:color w:val="auto"/>
          <w:sz w:val="22"/>
          <w:szCs w:val="22"/>
          <w:highlight w:val="none"/>
        </w:rPr>
        <w:t>★79. 预付款</w:t>
      </w:r>
      <w:bookmarkEnd w:id="448"/>
      <w:bookmarkEnd w:id="449"/>
      <w:bookmarkEnd w:id="450"/>
    </w:p>
    <w:p w14:paraId="18C9606C">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w:t>
      </w:r>
    </w:p>
    <w:p w14:paraId="6BB077DD">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79.1 预付款的约定及管理</w:t>
      </w:r>
    </w:p>
    <w:p w14:paraId="673A00EB">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（1） 预付款的约定</w:t>
      </w:r>
    </w:p>
    <w:p w14:paraId="23EC7E94">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 没约定预付款的，本条不适用。</w:t>
      </w:r>
    </w:p>
    <w:p w14:paraId="20911948">
      <w:pPr>
        <w:spacing w:line="420" w:lineRule="exact"/>
        <w:rPr>
          <w:rFonts w:hint="default" w:ascii="Times New Roman" w:hAnsi="Times New Roman" w:cs="Times New Roman"/>
          <w:color w:val="auto"/>
          <w:sz w:val="22"/>
          <w:szCs w:val="22"/>
          <w:highlight w:val="none"/>
        </w:rPr>
      </w:pPr>
      <w:r>
        <w:rPr>
          <w:rFonts w:hint="default" w:ascii="Times New Roman" w:hAnsi="Times New Roman" w:cs="Times New Roman"/>
          <w:color w:val="auto"/>
          <w:kern w:val="0"/>
          <w:sz w:val="22"/>
          <w:szCs w:val="22"/>
          <w:highlight w:val="none"/>
        </w:rPr>
        <w:t xml:space="preserve">  </w:t>
      </w:r>
      <w:r>
        <w:rPr>
          <w:rFonts w:hint="default" w:ascii="Times New Roman" w:hAnsi="Times New Roman" w:cs="Times New Roman"/>
          <w:color w:val="auto"/>
          <w:kern w:val="0"/>
          <w:sz w:val="22"/>
          <w:szCs w:val="22"/>
          <w:highlight w:val="none"/>
          <w:lang w:eastAsia="zh-CN"/>
        </w:rPr>
        <w:t>☑</w:t>
      </w:r>
      <w:r>
        <w:rPr>
          <w:rFonts w:hint="default" w:ascii="Times New Roman" w:hAnsi="Times New Roman" w:cs="Times New Roman"/>
          <w:color w:val="auto"/>
          <w:kern w:val="0"/>
          <w:sz w:val="22"/>
          <w:szCs w:val="22"/>
          <w:highlight w:val="none"/>
        </w:rPr>
        <w:t xml:space="preserve"> 约定预付款的，预付款的金额为</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rPr>
        <w:t>元，其支付办法和抵扣方式，按本条有关专用条款的约定。</w:t>
      </w:r>
    </w:p>
    <w:p w14:paraId="73C24231">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（2） 预付款的最高限额</w:t>
      </w:r>
    </w:p>
    <w:p w14:paraId="21AF7DAE">
      <w:pPr>
        <w:pStyle w:val="15"/>
        <w:adjustRightInd w:val="0"/>
        <w:snapToGrid w:val="0"/>
        <w:spacing w:line="360" w:lineRule="auto"/>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 xml:space="preserve">  </w:t>
      </w:r>
      <w:r>
        <w:rPr>
          <w:rFonts w:hint="default" w:ascii="Times New Roman" w:hAnsi="Times New Roman" w:cs="Times New Roman"/>
          <w:color w:val="auto"/>
          <w:kern w:val="0"/>
          <w:sz w:val="22"/>
          <w:szCs w:val="22"/>
          <w:highlight w:val="none"/>
          <w:lang w:eastAsia="zh-CN"/>
        </w:rPr>
        <w:t>☑</w:t>
      </w:r>
      <w:r>
        <w:rPr>
          <w:rFonts w:hint="default" w:ascii="Times New Roman" w:hAnsi="Times New Roman" w:cs="Times New Roman"/>
          <w:color w:val="auto"/>
          <w:kern w:val="0"/>
          <w:sz w:val="22"/>
          <w:szCs w:val="22"/>
          <w:highlight w:val="none"/>
        </w:rPr>
        <w:t xml:space="preserve"> </w:t>
      </w:r>
      <w:r>
        <w:rPr>
          <w:rFonts w:hint="default" w:ascii="Times New Roman" w:hAnsi="Times New Roman" w:cs="Times New Roman"/>
          <w:color w:val="auto"/>
          <w:sz w:val="22"/>
          <w:szCs w:val="22"/>
          <w:highlight w:val="none"/>
        </w:rPr>
        <w:t>预付款的预付比例不低于建筑安装工程费（扣除暂列金额）的10%，不高于建筑安装工程费（扣除暂列金额）的30%，即</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u w:val="single"/>
          <w:lang w:val="en-US" w:eastAsia="zh-CN"/>
        </w:rPr>
        <w:t xml:space="preserve"> </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sz w:val="22"/>
          <w:szCs w:val="22"/>
          <w:highlight w:val="none"/>
        </w:rPr>
        <w:t>%，即</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sz w:val="22"/>
          <w:szCs w:val="22"/>
          <w:highlight w:val="none"/>
        </w:rPr>
        <w:t>元，其中要拨付</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sz w:val="22"/>
          <w:szCs w:val="22"/>
          <w:highlight w:val="none"/>
        </w:rPr>
        <w:t>元到民工工资账户（预付款*15%）。</w:t>
      </w:r>
    </w:p>
    <w:p w14:paraId="421C6563">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 另作约定：</w:t>
      </w:r>
      <w:r>
        <w:rPr>
          <w:rFonts w:hint="default" w:ascii="Times New Roman" w:hAnsi="Times New Roman" w:cs="Times New Roman"/>
          <w:color w:val="auto"/>
          <w:kern w:val="0"/>
          <w:sz w:val="22"/>
          <w:szCs w:val="22"/>
          <w:highlight w:val="none"/>
          <w:u w:val="single"/>
        </w:rPr>
        <w:t xml:space="preserve">                                                                                    </w:t>
      </w:r>
    </w:p>
    <w:p w14:paraId="1D3A4CCC">
      <w:pPr>
        <w:spacing w:line="420" w:lineRule="exact"/>
        <w:rPr>
          <w:rFonts w:hint="default" w:ascii="Times New Roman" w:hAnsi="Times New Roman" w:cs="Times New Roman"/>
          <w:color w:val="auto"/>
          <w:kern w:val="0"/>
          <w:sz w:val="22"/>
          <w:szCs w:val="22"/>
          <w:highlight w:val="none"/>
        </w:rPr>
      </w:pPr>
    </w:p>
    <w:p w14:paraId="294194B7">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79.2 提交预付款支付申请期限：</w:t>
      </w:r>
    </w:p>
    <w:p w14:paraId="3F47D6FB">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 按承包人在完成本款三项工作后的7天内。</w:t>
      </w:r>
    </w:p>
    <w:p w14:paraId="60F142DC">
      <w:pPr>
        <w:spacing w:line="420" w:lineRule="exact"/>
        <w:rPr>
          <w:rFonts w:hint="default" w:ascii="Times New Roman" w:hAnsi="Times New Roman" w:cs="Times New Roman"/>
          <w:color w:val="auto"/>
          <w:kern w:val="0"/>
          <w:sz w:val="22"/>
          <w:szCs w:val="22"/>
          <w:highlight w:val="none"/>
          <w:u w:val="single"/>
        </w:rPr>
      </w:pPr>
      <w:r>
        <w:rPr>
          <w:rFonts w:hint="default" w:ascii="Times New Roman" w:hAnsi="Times New Roman" w:cs="Times New Roman"/>
          <w:color w:val="auto"/>
          <w:kern w:val="0"/>
          <w:sz w:val="22"/>
          <w:szCs w:val="22"/>
          <w:highlight w:val="none"/>
        </w:rPr>
        <w:t xml:space="preserve">  </w:t>
      </w:r>
      <w:r>
        <w:rPr>
          <w:rFonts w:hint="default" w:ascii="Times New Roman" w:hAnsi="Times New Roman" w:cs="Times New Roman"/>
          <w:color w:val="auto"/>
          <w:kern w:val="0"/>
          <w:sz w:val="22"/>
          <w:szCs w:val="22"/>
          <w:highlight w:val="none"/>
          <w:lang w:eastAsia="zh-CN"/>
        </w:rPr>
        <w:t>☑</w:t>
      </w:r>
      <w:r>
        <w:rPr>
          <w:rFonts w:hint="default" w:ascii="Times New Roman" w:hAnsi="Times New Roman" w:cs="Times New Roman"/>
          <w:color w:val="auto"/>
          <w:kern w:val="0"/>
          <w:sz w:val="22"/>
          <w:szCs w:val="22"/>
          <w:highlight w:val="none"/>
        </w:rPr>
        <w:t xml:space="preserve"> 另作约定：</w:t>
      </w:r>
      <w:r>
        <w:rPr>
          <w:rFonts w:hint="default" w:ascii="Times New Roman" w:hAnsi="Times New Roman" w:cs="Times New Roman"/>
          <w:color w:val="auto"/>
          <w:kern w:val="0"/>
          <w:sz w:val="22"/>
          <w:szCs w:val="22"/>
          <w:highlight w:val="none"/>
          <w:u w:val="single"/>
        </w:rPr>
        <w:t xml:space="preserve">        按承包人在完成本款三项工作后</w:t>
      </w:r>
      <w:r>
        <w:rPr>
          <w:rFonts w:hint="default" w:ascii="Times New Roman" w:hAnsi="Times New Roman" w:cs="Times New Roman"/>
          <w:color w:val="auto"/>
          <w:kern w:val="0"/>
          <w:sz w:val="22"/>
          <w:szCs w:val="22"/>
          <w:highlight w:val="none"/>
          <w:u w:val="single"/>
          <w:lang w:eastAsia="zh-CN"/>
        </w:rPr>
        <w:t>，且收到发包人通知</w:t>
      </w:r>
      <w:r>
        <w:rPr>
          <w:rFonts w:hint="default" w:ascii="Times New Roman" w:hAnsi="Times New Roman" w:cs="Times New Roman"/>
          <w:color w:val="auto"/>
          <w:kern w:val="0"/>
          <w:sz w:val="22"/>
          <w:szCs w:val="22"/>
          <w:highlight w:val="none"/>
          <w:u w:val="single"/>
        </w:rPr>
        <w:t xml:space="preserve">的7天内                                  </w:t>
      </w:r>
    </w:p>
    <w:p w14:paraId="0265409F">
      <w:pPr>
        <w:spacing w:line="420" w:lineRule="exact"/>
        <w:rPr>
          <w:rFonts w:hint="default" w:ascii="Times New Roman" w:hAnsi="Times New Roman" w:cs="Times New Roman"/>
          <w:color w:val="auto"/>
          <w:kern w:val="0"/>
          <w:sz w:val="22"/>
          <w:szCs w:val="22"/>
          <w:highlight w:val="none"/>
          <w:u w:val="single"/>
        </w:rPr>
      </w:pPr>
    </w:p>
    <w:p w14:paraId="666B9BA8">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79.4 预付款抵扣方式</w:t>
      </w:r>
    </w:p>
    <w:p w14:paraId="379EADFC">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 预付款按照期中应支付工程款的</w:t>
      </w:r>
      <w:r>
        <w:rPr>
          <w:rFonts w:hint="default" w:ascii="Times New Roman" w:hAnsi="Times New Roman" w:cs="Times New Roman"/>
          <w:color w:val="auto"/>
          <w:kern w:val="0"/>
          <w:sz w:val="22"/>
          <w:szCs w:val="22"/>
          <w:highlight w:val="none"/>
          <w:u w:val="single"/>
        </w:rPr>
        <w:t xml:space="preserve">      /           </w:t>
      </w:r>
      <w:r>
        <w:rPr>
          <w:rFonts w:hint="default" w:ascii="Times New Roman" w:hAnsi="Times New Roman" w:cs="Times New Roman"/>
          <w:color w:val="auto"/>
          <w:kern w:val="0"/>
          <w:sz w:val="22"/>
          <w:szCs w:val="22"/>
          <w:highlight w:val="none"/>
        </w:rPr>
        <w:t>%扣回，直到扣完为止。</w:t>
      </w:r>
    </w:p>
    <w:p w14:paraId="0130537C">
      <w:pPr>
        <w:spacing w:line="420" w:lineRule="exact"/>
        <w:rPr>
          <w:rFonts w:hint="default" w:ascii="Times New Roman" w:hAnsi="Times New Roman" w:cs="Times New Roman"/>
          <w:color w:val="auto"/>
          <w:kern w:val="0"/>
          <w:sz w:val="22"/>
          <w:szCs w:val="22"/>
          <w:highlight w:val="none"/>
          <w:u w:val="single"/>
          <w:lang w:val="en-US" w:eastAsia="zh-CN"/>
        </w:rPr>
      </w:pPr>
      <w:r>
        <w:rPr>
          <w:rFonts w:hint="default" w:ascii="Times New Roman" w:hAnsi="Times New Roman" w:cs="Times New Roman"/>
          <w:color w:val="auto"/>
          <w:kern w:val="0"/>
          <w:sz w:val="22"/>
          <w:szCs w:val="22"/>
          <w:highlight w:val="none"/>
        </w:rPr>
        <w:t xml:space="preserve">  </w:t>
      </w:r>
      <w:r>
        <w:rPr>
          <w:rFonts w:hint="default" w:ascii="Times New Roman" w:hAnsi="Times New Roman" w:cs="Times New Roman"/>
          <w:color w:val="auto"/>
          <w:kern w:val="0"/>
          <w:sz w:val="22"/>
          <w:szCs w:val="22"/>
          <w:highlight w:val="none"/>
          <w:lang w:eastAsia="zh-CN"/>
        </w:rPr>
        <w:t>☑</w:t>
      </w:r>
      <w:r>
        <w:rPr>
          <w:rFonts w:hint="default" w:ascii="Times New Roman" w:hAnsi="Times New Roman" w:cs="Times New Roman"/>
          <w:color w:val="auto"/>
          <w:kern w:val="0"/>
          <w:sz w:val="22"/>
          <w:szCs w:val="22"/>
          <w:highlight w:val="none"/>
        </w:rPr>
        <w:t xml:space="preserve"> 其它方式：</w:t>
      </w:r>
      <w:r>
        <w:rPr>
          <w:rFonts w:hint="default" w:ascii="Times New Roman" w:hAnsi="Times New Roman" w:cs="Times New Roman"/>
          <w:color w:val="auto"/>
          <w:kern w:val="0"/>
          <w:sz w:val="22"/>
          <w:szCs w:val="22"/>
          <w:highlight w:val="none"/>
          <w:u w:val="single"/>
          <w:lang w:eastAsia="zh-CN"/>
        </w:rPr>
        <w:t>按下表比例回扣预付款</w:t>
      </w:r>
      <w:r>
        <w:rPr>
          <w:rFonts w:hint="default" w:ascii="Times New Roman" w:hAnsi="Times New Roman" w:cs="Times New Roman"/>
          <w:color w:val="auto"/>
          <w:kern w:val="0"/>
          <w:sz w:val="22"/>
          <w:szCs w:val="22"/>
          <w:highlight w:val="none"/>
          <w:u w:val="single"/>
          <w:lang w:val="en-US" w:eastAsia="zh-CN"/>
        </w:rPr>
        <w:t xml:space="preserve"> </w:t>
      </w:r>
    </w:p>
    <w:p w14:paraId="479256BD">
      <w:pPr>
        <w:ind w:firstLine="3300" w:firstLineChars="1500"/>
        <w:rPr>
          <w:rFonts w:hint="default" w:ascii="Times New Roman" w:hAnsi="Times New Roman" w:cs="Times New Roman"/>
          <w:color w:val="auto"/>
          <w:kern w:val="0"/>
          <w:sz w:val="22"/>
          <w:szCs w:val="22"/>
          <w:highlight w:val="none"/>
        </w:rPr>
      </w:pPr>
    </w:p>
    <w:p w14:paraId="01FAF666">
      <w:pPr>
        <w:ind w:left="0" w:leftChars="0" w:firstLine="0" w:firstLineChars="0"/>
        <w:jc w:val="center"/>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工程预付款扣回比例表</w:t>
      </w:r>
    </w:p>
    <w:tbl>
      <w:tblPr>
        <w:tblStyle w:val="29"/>
        <w:tblpPr w:leftFromText="180" w:rightFromText="180" w:vertAnchor="text" w:horzAnchor="margin" w:tblpXSpec="center" w:tblpY="481"/>
        <w:tblW w:w="93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68"/>
        <w:gridCol w:w="2412"/>
        <w:gridCol w:w="1980"/>
      </w:tblGrid>
      <w:tr w14:paraId="0FC052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4968" w:type="dxa"/>
            <w:noWrap w:val="0"/>
            <w:vAlign w:val="center"/>
          </w:tcPr>
          <w:p w14:paraId="271D1F99">
            <w:pPr>
              <w:keepNext w:val="0"/>
              <w:keepLines w:val="0"/>
              <w:suppressLineNumbers w:val="0"/>
              <w:spacing w:before="0" w:beforeAutospacing="0" w:after="0" w:afterAutospacing="0" w:line="420" w:lineRule="exact"/>
              <w:ind w:left="0" w:right="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已完</w:t>
            </w:r>
            <w:r>
              <w:rPr>
                <w:rFonts w:hint="default" w:ascii="Times New Roman" w:hAnsi="Times New Roman" w:cs="Times New Roman"/>
                <w:color w:val="auto"/>
                <w:kern w:val="0"/>
                <w:sz w:val="22"/>
                <w:szCs w:val="22"/>
                <w:highlight w:val="none"/>
                <w:lang w:val="en-US" w:eastAsia="zh-CN"/>
              </w:rPr>
              <w:t>成</w:t>
            </w:r>
            <w:r>
              <w:rPr>
                <w:rFonts w:hint="default" w:ascii="Times New Roman" w:hAnsi="Times New Roman" w:cs="Times New Roman"/>
                <w:color w:val="auto"/>
                <w:kern w:val="0"/>
                <w:sz w:val="22"/>
                <w:szCs w:val="22"/>
                <w:highlight w:val="none"/>
              </w:rPr>
              <w:t>工作量与合同承包价之比（扣除预留金）</w:t>
            </w:r>
          </w:p>
        </w:tc>
        <w:tc>
          <w:tcPr>
            <w:tcW w:w="2412" w:type="dxa"/>
            <w:noWrap w:val="0"/>
            <w:vAlign w:val="center"/>
          </w:tcPr>
          <w:p w14:paraId="563FF350">
            <w:pPr>
              <w:keepNext w:val="0"/>
              <w:keepLines w:val="0"/>
              <w:suppressLineNumbers w:val="0"/>
              <w:spacing w:before="0" w:beforeAutospacing="0" w:after="0" w:afterAutospacing="0" w:line="420" w:lineRule="exact"/>
              <w:ind w:left="0" w:right="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扣回预付款比例</w:t>
            </w:r>
          </w:p>
        </w:tc>
        <w:tc>
          <w:tcPr>
            <w:tcW w:w="1980" w:type="dxa"/>
            <w:noWrap w:val="0"/>
            <w:vAlign w:val="center"/>
          </w:tcPr>
          <w:p w14:paraId="6373D745">
            <w:pPr>
              <w:keepNext w:val="0"/>
              <w:keepLines w:val="0"/>
              <w:suppressLineNumbers w:val="0"/>
              <w:spacing w:before="0" w:beforeAutospacing="0" w:after="0" w:afterAutospacing="0" w:line="420" w:lineRule="exact"/>
              <w:ind w:left="0" w:right="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累计扣回比例</w:t>
            </w:r>
          </w:p>
        </w:tc>
      </w:tr>
      <w:tr w14:paraId="09084C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4968" w:type="dxa"/>
            <w:noWrap w:val="0"/>
            <w:vAlign w:val="center"/>
          </w:tcPr>
          <w:p w14:paraId="1093E5BB">
            <w:pPr>
              <w:keepNext w:val="0"/>
              <w:keepLines w:val="0"/>
              <w:suppressLineNumbers w:val="0"/>
              <w:spacing w:before="0" w:beforeAutospacing="0" w:after="0" w:afterAutospacing="0" w:line="420" w:lineRule="exact"/>
              <w:ind w:left="0" w:right="0"/>
              <w:jc w:val="center"/>
              <w:rPr>
                <w:rFonts w:hint="default" w:ascii="Times New Roman" w:hAnsi="Times New Roman" w:cs="Times New Roman"/>
                <w:b w:val="0"/>
                <w:bCs w:val="0"/>
                <w:color w:val="auto"/>
                <w:kern w:val="0"/>
                <w:sz w:val="22"/>
                <w:szCs w:val="22"/>
                <w:highlight w:val="none"/>
              </w:rPr>
            </w:pPr>
            <w:r>
              <w:rPr>
                <w:rFonts w:hint="default" w:ascii="Times New Roman" w:hAnsi="Times New Roman" w:cs="Times New Roman"/>
                <w:b w:val="0"/>
                <w:bCs w:val="0"/>
                <w:color w:val="auto"/>
                <w:kern w:val="0"/>
                <w:sz w:val="22"/>
                <w:szCs w:val="22"/>
                <w:highlight w:val="none"/>
              </w:rPr>
              <w:t>30%</w:t>
            </w:r>
          </w:p>
        </w:tc>
        <w:tc>
          <w:tcPr>
            <w:tcW w:w="2412" w:type="dxa"/>
            <w:noWrap w:val="0"/>
            <w:vAlign w:val="center"/>
          </w:tcPr>
          <w:p w14:paraId="1F0F5F41">
            <w:pPr>
              <w:keepNext w:val="0"/>
              <w:keepLines w:val="0"/>
              <w:suppressLineNumbers w:val="0"/>
              <w:spacing w:before="0" w:beforeAutospacing="0" w:after="0" w:afterAutospacing="0" w:line="420" w:lineRule="exact"/>
              <w:ind w:left="0" w:right="0"/>
              <w:jc w:val="center"/>
              <w:rPr>
                <w:rFonts w:hint="default" w:ascii="Times New Roman" w:hAnsi="Times New Roman" w:cs="Times New Roman"/>
                <w:b w:val="0"/>
                <w:bCs w:val="0"/>
                <w:color w:val="auto"/>
                <w:kern w:val="0"/>
                <w:sz w:val="22"/>
                <w:szCs w:val="22"/>
                <w:highlight w:val="none"/>
              </w:rPr>
            </w:pPr>
            <w:r>
              <w:rPr>
                <w:rFonts w:hint="default" w:ascii="Times New Roman" w:hAnsi="Times New Roman" w:cs="Times New Roman"/>
                <w:b w:val="0"/>
                <w:bCs w:val="0"/>
                <w:color w:val="auto"/>
                <w:kern w:val="0"/>
                <w:sz w:val="22"/>
                <w:szCs w:val="22"/>
                <w:highlight w:val="none"/>
              </w:rPr>
              <w:t>10%</w:t>
            </w:r>
          </w:p>
        </w:tc>
        <w:tc>
          <w:tcPr>
            <w:tcW w:w="1980" w:type="dxa"/>
            <w:noWrap w:val="0"/>
            <w:vAlign w:val="center"/>
          </w:tcPr>
          <w:p w14:paraId="4B564AB4">
            <w:pPr>
              <w:keepNext w:val="0"/>
              <w:keepLines w:val="0"/>
              <w:suppressLineNumbers w:val="0"/>
              <w:spacing w:before="0" w:beforeAutospacing="0" w:after="0" w:afterAutospacing="0" w:line="420" w:lineRule="exact"/>
              <w:ind w:left="0" w:right="0"/>
              <w:jc w:val="center"/>
              <w:rPr>
                <w:rFonts w:hint="default" w:ascii="Times New Roman" w:hAnsi="Times New Roman" w:cs="Times New Roman"/>
                <w:b w:val="0"/>
                <w:bCs w:val="0"/>
                <w:color w:val="auto"/>
                <w:kern w:val="0"/>
                <w:sz w:val="22"/>
                <w:szCs w:val="22"/>
                <w:highlight w:val="none"/>
              </w:rPr>
            </w:pPr>
            <w:r>
              <w:rPr>
                <w:rFonts w:hint="default" w:ascii="Times New Roman" w:hAnsi="Times New Roman" w:cs="Times New Roman"/>
                <w:b w:val="0"/>
                <w:bCs w:val="0"/>
                <w:color w:val="auto"/>
                <w:kern w:val="0"/>
                <w:sz w:val="22"/>
                <w:szCs w:val="22"/>
                <w:highlight w:val="none"/>
              </w:rPr>
              <w:t>10%</w:t>
            </w:r>
          </w:p>
        </w:tc>
      </w:tr>
      <w:tr w14:paraId="757A3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4968" w:type="dxa"/>
            <w:noWrap w:val="0"/>
            <w:vAlign w:val="center"/>
          </w:tcPr>
          <w:p w14:paraId="5649327D">
            <w:pPr>
              <w:keepNext w:val="0"/>
              <w:keepLines w:val="0"/>
              <w:suppressLineNumbers w:val="0"/>
              <w:spacing w:before="0" w:beforeAutospacing="0" w:after="0" w:afterAutospacing="0" w:line="420" w:lineRule="exact"/>
              <w:ind w:left="0" w:right="0"/>
              <w:jc w:val="center"/>
              <w:rPr>
                <w:rFonts w:hint="default" w:ascii="Times New Roman" w:hAnsi="Times New Roman" w:cs="Times New Roman"/>
                <w:b w:val="0"/>
                <w:bCs w:val="0"/>
                <w:color w:val="auto"/>
                <w:kern w:val="0"/>
                <w:sz w:val="22"/>
                <w:szCs w:val="22"/>
                <w:highlight w:val="none"/>
              </w:rPr>
            </w:pPr>
            <w:r>
              <w:rPr>
                <w:rFonts w:hint="default" w:ascii="Times New Roman" w:hAnsi="Times New Roman" w:cs="Times New Roman"/>
                <w:b w:val="0"/>
                <w:bCs w:val="0"/>
                <w:color w:val="auto"/>
                <w:kern w:val="0"/>
                <w:sz w:val="22"/>
                <w:szCs w:val="22"/>
                <w:highlight w:val="none"/>
              </w:rPr>
              <w:t>40%</w:t>
            </w:r>
          </w:p>
        </w:tc>
        <w:tc>
          <w:tcPr>
            <w:tcW w:w="2412" w:type="dxa"/>
            <w:noWrap w:val="0"/>
            <w:vAlign w:val="center"/>
          </w:tcPr>
          <w:p w14:paraId="2661847F">
            <w:pPr>
              <w:keepNext w:val="0"/>
              <w:keepLines w:val="0"/>
              <w:suppressLineNumbers w:val="0"/>
              <w:spacing w:before="0" w:beforeAutospacing="0" w:after="0" w:afterAutospacing="0" w:line="420" w:lineRule="exact"/>
              <w:ind w:left="0" w:right="0"/>
              <w:jc w:val="center"/>
              <w:rPr>
                <w:rFonts w:hint="default" w:ascii="Times New Roman" w:hAnsi="Times New Roman" w:cs="Times New Roman"/>
                <w:b w:val="0"/>
                <w:bCs w:val="0"/>
                <w:color w:val="auto"/>
                <w:kern w:val="0"/>
                <w:sz w:val="22"/>
                <w:szCs w:val="22"/>
                <w:highlight w:val="none"/>
              </w:rPr>
            </w:pPr>
            <w:r>
              <w:rPr>
                <w:rFonts w:hint="default" w:ascii="Times New Roman" w:hAnsi="Times New Roman" w:cs="Times New Roman"/>
                <w:b w:val="0"/>
                <w:bCs w:val="0"/>
                <w:color w:val="auto"/>
                <w:kern w:val="0"/>
                <w:sz w:val="22"/>
                <w:szCs w:val="22"/>
                <w:highlight w:val="none"/>
                <w:lang w:val="en-US" w:eastAsia="zh-CN"/>
              </w:rPr>
              <w:t>2</w:t>
            </w:r>
            <w:r>
              <w:rPr>
                <w:rFonts w:hint="default" w:ascii="Times New Roman" w:hAnsi="Times New Roman" w:cs="Times New Roman"/>
                <w:b w:val="0"/>
                <w:bCs w:val="0"/>
                <w:color w:val="auto"/>
                <w:kern w:val="0"/>
                <w:sz w:val="22"/>
                <w:szCs w:val="22"/>
                <w:highlight w:val="none"/>
              </w:rPr>
              <w:t>0%</w:t>
            </w:r>
          </w:p>
        </w:tc>
        <w:tc>
          <w:tcPr>
            <w:tcW w:w="1980" w:type="dxa"/>
            <w:noWrap w:val="0"/>
            <w:vAlign w:val="center"/>
          </w:tcPr>
          <w:p w14:paraId="6A01D33C">
            <w:pPr>
              <w:keepNext w:val="0"/>
              <w:keepLines w:val="0"/>
              <w:suppressLineNumbers w:val="0"/>
              <w:spacing w:before="0" w:beforeAutospacing="0" w:after="0" w:afterAutospacing="0" w:line="420" w:lineRule="exact"/>
              <w:ind w:left="0" w:right="0"/>
              <w:jc w:val="center"/>
              <w:rPr>
                <w:rFonts w:hint="default" w:ascii="Times New Roman" w:hAnsi="Times New Roman" w:cs="Times New Roman"/>
                <w:b w:val="0"/>
                <w:bCs w:val="0"/>
                <w:color w:val="auto"/>
                <w:kern w:val="0"/>
                <w:sz w:val="22"/>
                <w:szCs w:val="22"/>
                <w:highlight w:val="none"/>
              </w:rPr>
            </w:pPr>
            <w:r>
              <w:rPr>
                <w:rFonts w:hint="default" w:ascii="Times New Roman" w:hAnsi="Times New Roman" w:cs="Times New Roman"/>
                <w:b w:val="0"/>
                <w:bCs w:val="0"/>
                <w:color w:val="auto"/>
                <w:kern w:val="0"/>
                <w:sz w:val="22"/>
                <w:szCs w:val="22"/>
                <w:highlight w:val="none"/>
                <w:lang w:val="en-US" w:eastAsia="zh-CN"/>
              </w:rPr>
              <w:t>3</w:t>
            </w:r>
            <w:r>
              <w:rPr>
                <w:rFonts w:hint="default" w:ascii="Times New Roman" w:hAnsi="Times New Roman" w:cs="Times New Roman"/>
                <w:b w:val="0"/>
                <w:bCs w:val="0"/>
                <w:color w:val="auto"/>
                <w:kern w:val="0"/>
                <w:sz w:val="22"/>
                <w:szCs w:val="22"/>
                <w:highlight w:val="none"/>
              </w:rPr>
              <w:t>0%</w:t>
            </w:r>
          </w:p>
        </w:tc>
      </w:tr>
      <w:tr w14:paraId="1AF5E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4968" w:type="dxa"/>
            <w:noWrap w:val="0"/>
            <w:vAlign w:val="center"/>
          </w:tcPr>
          <w:p w14:paraId="5F56AD53">
            <w:pPr>
              <w:keepNext w:val="0"/>
              <w:keepLines w:val="0"/>
              <w:suppressLineNumbers w:val="0"/>
              <w:spacing w:before="0" w:beforeAutospacing="0" w:after="0" w:afterAutospacing="0" w:line="420" w:lineRule="exact"/>
              <w:ind w:left="0" w:right="0"/>
              <w:jc w:val="center"/>
              <w:rPr>
                <w:rFonts w:hint="default" w:ascii="Times New Roman" w:hAnsi="Times New Roman" w:cs="Times New Roman"/>
                <w:b w:val="0"/>
                <w:bCs w:val="0"/>
                <w:color w:val="auto"/>
                <w:kern w:val="0"/>
                <w:sz w:val="22"/>
                <w:szCs w:val="22"/>
                <w:highlight w:val="none"/>
              </w:rPr>
            </w:pPr>
            <w:r>
              <w:rPr>
                <w:rFonts w:hint="default" w:ascii="Times New Roman" w:hAnsi="Times New Roman" w:cs="Times New Roman"/>
                <w:b w:val="0"/>
                <w:bCs w:val="0"/>
                <w:color w:val="auto"/>
                <w:kern w:val="0"/>
                <w:sz w:val="22"/>
                <w:szCs w:val="22"/>
                <w:highlight w:val="none"/>
              </w:rPr>
              <w:t>50%</w:t>
            </w:r>
          </w:p>
        </w:tc>
        <w:tc>
          <w:tcPr>
            <w:tcW w:w="2412" w:type="dxa"/>
            <w:noWrap w:val="0"/>
            <w:vAlign w:val="center"/>
          </w:tcPr>
          <w:p w14:paraId="553C299A">
            <w:pPr>
              <w:keepNext w:val="0"/>
              <w:keepLines w:val="0"/>
              <w:suppressLineNumbers w:val="0"/>
              <w:spacing w:before="0" w:beforeAutospacing="0" w:after="0" w:afterAutospacing="0" w:line="420" w:lineRule="exact"/>
              <w:ind w:left="0" w:right="0"/>
              <w:jc w:val="center"/>
              <w:rPr>
                <w:rFonts w:hint="default" w:ascii="Times New Roman" w:hAnsi="Times New Roman" w:cs="Times New Roman"/>
                <w:b w:val="0"/>
                <w:bCs w:val="0"/>
                <w:color w:val="auto"/>
                <w:kern w:val="0"/>
                <w:sz w:val="22"/>
                <w:szCs w:val="22"/>
                <w:highlight w:val="none"/>
              </w:rPr>
            </w:pPr>
            <w:r>
              <w:rPr>
                <w:rFonts w:hint="default" w:ascii="Times New Roman" w:hAnsi="Times New Roman" w:cs="Times New Roman"/>
                <w:b w:val="0"/>
                <w:bCs w:val="0"/>
                <w:color w:val="auto"/>
                <w:kern w:val="0"/>
                <w:sz w:val="22"/>
                <w:szCs w:val="22"/>
                <w:highlight w:val="none"/>
                <w:lang w:val="en-US" w:eastAsia="zh-CN"/>
              </w:rPr>
              <w:t>3</w:t>
            </w:r>
            <w:r>
              <w:rPr>
                <w:rFonts w:hint="default" w:ascii="Times New Roman" w:hAnsi="Times New Roman" w:cs="Times New Roman"/>
                <w:b w:val="0"/>
                <w:bCs w:val="0"/>
                <w:color w:val="auto"/>
                <w:kern w:val="0"/>
                <w:sz w:val="22"/>
                <w:szCs w:val="22"/>
                <w:highlight w:val="none"/>
              </w:rPr>
              <w:t>0%</w:t>
            </w:r>
          </w:p>
        </w:tc>
        <w:tc>
          <w:tcPr>
            <w:tcW w:w="1980" w:type="dxa"/>
            <w:noWrap w:val="0"/>
            <w:vAlign w:val="center"/>
          </w:tcPr>
          <w:p w14:paraId="0F5879F1">
            <w:pPr>
              <w:keepNext w:val="0"/>
              <w:keepLines w:val="0"/>
              <w:suppressLineNumbers w:val="0"/>
              <w:spacing w:before="0" w:beforeAutospacing="0" w:after="0" w:afterAutospacing="0" w:line="420" w:lineRule="exact"/>
              <w:ind w:left="0" w:right="0"/>
              <w:jc w:val="center"/>
              <w:rPr>
                <w:rFonts w:hint="default" w:ascii="Times New Roman" w:hAnsi="Times New Roman" w:eastAsia="宋体" w:cs="Times New Roman"/>
                <w:b w:val="0"/>
                <w:bCs w:val="0"/>
                <w:color w:val="auto"/>
                <w:kern w:val="0"/>
                <w:sz w:val="22"/>
                <w:szCs w:val="22"/>
                <w:highlight w:val="none"/>
                <w:lang w:val="en-US" w:eastAsia="zh-CN"/>
              </w:rPr>
            </w:pPr>
            <w:r>
              <w:rPr>
                <w:rFonts w:hint="default" w:ascii="Times New Roman" w:hAnsi="Times New Roman" w:cs="Times New Roman"/>
                <w:b w:val="0"/>
                <w:bCs w:val="0"/>
                <w:color w:val="auto"/>
                <w:kern w:val="0"/>
                <w:sz w:val="22"/>
                <w:szCs w:val="22"/>
                <w:highlight w:val="none"/>
                <w:lang w:val="en-US" w:eastAsia="zh-CN"/>
              </w:rPr>
              <w:t>60%</w:t>
            </w:r>
          </w:p>
        </w:tc>
      </w:tr>
      <w:tr w14:paraId="0E051E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4968" w:type="dxa"/>
            <w:noWrap w:val="0"/>
            <w:vAlign w:val="center"/>
          </w:tcPr>
          <w:p w14:paraId="48A6A993">
            <w:pPr>
              <w:keepNext w:val="0"/>
              <w:keepLines w:val="0"/>
              <w:suppressLineNumbers w:val="0"/>
              <w:spacing w:before="0" w:beforeAutospacing="0" w:after="0" w:afterAutospacing="0" w:line="420" w:lineRule="exact"/>
              <w:ind w:left="0" w:right="0"/>
              <w:jc w:val="center"/>
              <w:rPr>
                <w:rFonts w:hint="default" w:ascii="Times New Roman" w:hAnsi="Times New Roman" w:cs="Times New Roman"/>
                <w:b w:val="0"/>
                <w:bCs w:val="0"/>
                <w:color w:val="auto"/>
                <w:kern w:val="0"/>
                <w:sz w:val="22"/>
                <w:szCs w:val="22"/>
                <w:highlight w:val="none"/>
              </w:rPr>
            </w:pPr>
            <w:r>
              <w:rPr>
                <w:rFonts w:hint="default" w:ascii="Times New Roman" w:hAnsi="Times New Roman" w:cs="Times New Roman"/>
                <w:b w:val="0"/>
                <w:bCs w:val="0"/>
                <w:color w:val="auto"/>
                <w:kern w:val="0"/>
                <w:sz w:val="22"/>
                <w:szCs w:val="22"/>
                <w:highlight w:val="none"/>
              </w:rPr>
              <w:t>60%</w:t>
            </w:r>
          </w:p>
        </w:tc>
        <w:tc>
          <w:tcPr>
            <w:tcW w:w="2412" w:type="dxa"/>
            <w:noWrap w:val="0"/>
            <w:vAlign w:val="center"/>
          </w:tcPr>
          <w:p w14:paraId="651EEDFB">
            <w:pPr>
              <w:keepNext w:val="0"/>
              <w:keepLines w:val="0"/>
              <w:suppressLineNumbers w:val="0"/>
              <w:spacing w:before="0" w:beforeAutospacing="0" w:after="0" w:afterAutospacing="0" w:line="420" w:lineRule="exact"/>
              <w:ind w:left="0" w:right="0"/>
              <w:jc w:val="center"/>
              <w:rPr>
                <w:rFonts w:hint="default" w:ascii="Times New Roman" w:hAnsi="Times New Roman" w:cs="Times New Roman"/>
                <w:b w:val="0"/>
                <w:bCs w:val="0"/>
                <w:color w:val="auto"/>
                <w:kern w:val="0"/>
                <w:sz w:val="22"/>
                <w:szCs w:val="22"/>
                <w:highlight w:val="none"/>
              </w:rPr>
            </w:pPr>
            <w:r>
              <w:rPr>
                <w:rFonts w:hint="default" w:ascii="Times New Roman" w:hAnsi="Times New Roman" w:cs="Times New Roman"/>
                <w:b w:val="0"/>
                <w:bCs w:val="0"/>
                <w:color w:val="auto"/>
                <w:kern w:val="0"/>
                <w:sz w:val="22"/>
                <w:szCs w:val="22"/>
                <w:highlight w:val="none"/>
              </w:rPr>
              <w:t>40%</w:t>
            </w:r>
          </w:p>
        </w:tc>
        <w:tc>
          <w:tcPr>
            <w:tcW w:w="1980" w:type="dxa"/>
            <w:noWrap w:val="0"/>
            <w:vAlign w:val="center"/>
          </w:tcPr>
          <w:p w14:paraId="4B38A290">
            <w:pPr>
              <w:keepNext w:val="0"/>
              <w:keepLines w:val="0"/>
              <w:suppressLineNumbers w:val="0"/>
              <w:spacing w:before="0" w:beforeAutospacing="0" w:after="0" w:afterAutospacing="0" w:line="420" w:lineRule="exact"/>
              <w:ind w:left="0" w:right="0"/>
              <w:jc w:val="center"/>
              <w:rPr>
                <w:rFonts w:hint="default" w:ascii="Times New Roman" w:hAnsi="Times New Roman" w:cs="Times New Roman"/>
                <w:b w:val="0"/>
                <w:bCs w:val="0"/>
                <w:color w:val="auto"/>
                <w:kern w:val="0"/>
                <w:sz w:val="22"/>
                <w:szCs w:val="22"/>
                <w:highlight w:val="none"/>
              </w:rPr>
            </w:pPr>
            <w:r>
              <w:rPr>
                <w:rFonts w:hint="default" w:ascii="Times New Roman" w:hAnsi="Times New Roman" w:cs="Times New Roman"/>
                <w:b w:val="0"/>
                <w:bCs w:val="0"/>
                <w:color w:val="auto"/>
                <w:kern w:val="0"/>
                <w:sz w:val="22"/>
                <w:szCs w:val="22"/>
                <w:highlight w:val="none"/>
              </w:rPr>
              <w:t>100%</w:t>
            </w:r>
          </w:p>
        </w:tc>
      </w:tr>
    </w:tbl>
    <w:p w14:paraId="443C23E4">
      <w:pPr>
        <w:spacing w:line="420" w:lineRule="exact"/>
        <w:rPr>
          <w:rFonts w:hint="default" w:ascii="Times New Roman" w:hAnsi="Times New Roman" w:cs="Times New Roman"/>
          <w:color w:val="auto"/>
          <w:kern w:val="0"/>
          <w:sz w:val="22"/>
          <w:szCs w:val="22"/>
          <w:highlight w:val="none"/>
          <w:u w:val="single"/>
          <w:lang w:val="en-US" w:eastAsia="zh-CN"/>
        </w:rPr>
      </w:pPr>
    </w:p>
    <w:p w14:paraId="7DB15179">
      <w:pPr>
        <w:pStyle w:val="4"/>
        <w:numPr>
          <w:ilvl w:val="0"/>
          <w:numId w:val="0"/>
        </w:numPr>
        <w:tabs>
          <w:tab w:val="left" w:pos="360"/>
          <w:tab w:val="left" w:pos="420"/>
          <w:tab w:val="left" w:pos="576"/>
        </w:tabs>
        <w:spacing w:line="420" w:lineRule="exact"/>
        <w:rPr>
          <w:rFonts w:hint="default" w:ascii="Times New Roman" w:hAnsi="Times New Roman" w:cs="Times New Roman"/>
          <w:b/>
          <w:bCs/>
          <w:color w:val="auto"/>
          <w:sz w:val="22"/>
          <w:szCs w:val="22"/>
          <w:highlight w:val="none"/>
        </w:rPr>
      </w:pPr>
      <w:bookmarkStart w:id="451" w:name="_Toc469384129"/>
      <w:bookmarkStart w:id="452" w:name="_Toc5504"/>
      <w:bookmarkStart w:id="453" w:name="_Toc564876332"/>
      <w:r>
        <w:rPr>
          <w:rFonts w:hint="default" w:ascii="Times New Roman" w:hAnsi="Times New Roman" w:cs="Times New Roman"/>
          <w:b/>
          <w:bCs/>
          <w:color w:val="auto"/>
          <w:sz w:val="22"/>
          <w:szCs w:val="22"/>
          <w:highlight w:val="none"/>
        </w:rPr>
        <w:t>★80. 绿色施工安全防护费</w:t>
      </w:r>
      <w:bookmarkEnd w:id="451"/>
      <w:bookmarkEnd w:id="452"/>
      <w:bookmarkEnd w:id="453"/>
    </w:p>
    <w:p w14:paraId="5ACF266C">
      <w:pPr>
        <w:spacing w:line="420" w:lineRule="exact"/>
        <w:rPr>
          <w:rFonts w:hint="default" w:ascii="Times New Roman" w:hAnsi="Times New Roman" w:cs="Times New Roman"/>
          <w:color w:val="auto"/>
          <w:kern w:val="0"/>
          <w:sz w:val="22"/>
          <w:szCs w:val="22"/>
          <w:highlight w:val="none"/>
        </w:rPr>
      </w:pPr>
    </w:p>
    <w:p w14:paraId="2D94E052">
      <w:pPr>
        <w:spacing w:line="360" w:lineRule="auto"/>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w:t>
      </w:r>
      <w:r>
        <w:rPr>
          <w:rFonts w:hint="default" w:ascii="Times New Roman" w:hAnsi="Times New Roman" w:cs="Times New Roman"/>
          <w:b/>
          <w:bCs/>
          <w:color w:val="auto"/>
          <w:sz w:val="22"/>
          <w:szCs w:val="22"/>
          <w:highlight w:val="none"/>
        </w:rPr>
        <w:t>★</w:t>
      </w:r>
      <w:r>
        <w:rPr>
          <w:rFonts w:hint="default" w:ascii="Times New Roman" w:hAnsi="Times New Roman" w:cs="Times New Roman"/>
          <w:color w:val="auto"/>
          <w:kern w:val="0"/>
          <w:sz w:val="22"/>
          <w:szCs w:val="22"/>
          <w:highlight w:val="none"/>
        </w:rPr>
        <w:t>80.1 安全文明施工费的内容、范围和金额</w:t>
      </w:r>
    </w:p>
    <w:p w14:paraId="603BC69B">
      <w:pPr>
        <w:spacing w:line="360" w:lineRule="auto"/>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（1）内容和范围</w:t>
      </w:r>
    </w:p>
    <w:p w14:paraId="5C014939">
      <w:pPr>
        <w:keepNext w:val="0"/>
        <w:keepLines w:val="0"/>
        <w:widowControl w:val="0"/>
        <w:suppressLineNumbers w:val="0"/>
        <w:spacing w:before="0" w:beforeAutospacing="0" w:after="0" w:afterAutospacing="0" w:line="420" w:lineRule="exact"/>
        <w:ind w:left="0" w:right="0"/>
        <w:jc w:val="both"/>
        <w:rPr>
          <w:rFonts w:hint="default" w:ascii="Times New Roman" w:hAnsi="Times New Roman" w:eastAsia="宋体" w:cs="Times New Roman"/>
          <w:color w:val="auto"/>
          <w:kern w:val="0"/>
          <w:sz w:val="22"/>
          <w:szCs w:val="22"/>
          <w:highlight w:val="none"/>
          <w:lang w:val="en-US"/>
        </w:rPr>
      </w:pPr>
      <w:r>
        <w:rPr>
          <w:rFonts w:hint="default" w:ascii="Times New Roman" w:hAnsi="Times New Roman" w:eastAsia="宋体" w:cs="Times New Roman"/>
          <w:color w:val="auto"/>
          <w:kern w:val="0"/>
          <w:sz w:val="22"/>
          <w:szCs w:val="22"/>
          <w:highlight w:val="none"/>
          <w:lang w:val="en-US" w:eastAsia="zh-CN" w:bidi="ar"/>
        </w:rPr>
        <w:t xml:space="preserve">□ </w:t>
      </w:r>
      <w:r>
        <w:rPr>
          <w:rFonts w:hint="default" w:ascii="Times New Roman" w:hAnsi="Times New Roman" w:cs="Times New Roman"/>
          <w:color w:val="auto"/>
          <w:kern w:val="0"/>
          <w:sz w:val="22"/>
          <w:szCs w:val="22"/>
          <w:highlight w:val="none"/>
        </w:rPr>
        <w:t>按通用条款的规定，</w:t>
      </w:r>
      <w:r>
        <w:rPr>
          <w:rFonts w:hint="default" w:ascii="Times New Roman" w:hAnsi="Times New Roman" w:eastAsia="宋体" w:cs="Times New Roman"/>
          <w:color w:val="auto"/>
          <w:kern w:val="0"/>
          <w:sz w:val="22"/>
          <w:szCs w:val="22"/>
          <w:highlight w:val="none"/>
          <w:lang w:val="en-US" w:eastAsia="zh-CN" w:bidi="ar"/>
        </w:rPr>
        <w:t>以现行广东省统一工程计价依据规定、</w:t>
      </w:r>
      <w:r>
        <w:rPr>
          <w:rFonts w:hint="default" w:ascii="Times New Roman" w:hAnsi="Times New Roman" w:eastAsia="宋体" w:cs="Times New Roman"/>
          <w:color w:val="auto"/>
          <w:kern w:val="2"/>
          <w:sz w:val="22"/>
          <w:szCs w:val="22"/>
          <w:highlight w:val="none"/>
          <w:lang w:val="en-US" w:eastAsia="zh-CN" w:bidi="ar"/>
        </w:rPr>
        <w:t>省市造价管理部门发布管理文件</w:t>
      </w:r>
      <w:r>
        <w:rPr>
          <w:rFonts w:hint="default" w:ascii="Times New Roman" w:hAnsi="Times New Roman" w:eastAsia="宋体" w:cs="Times New Roman"/>
          <w:color w:val="auto"/>
          <w:kern w:val="0"/>
          <w:sz w:val="22"/>
          <w:szCs w:val="22"/>
          <w:highlight w:val="none"/>
          <w:lang w:val="en-US" w:eastAsia="zh-CN" w:bidi="ar"/>
        </w:rPr>
        <w:t>为准。</w:t>
      </w:r>
    </w:p>
    <w:p w14:paraId="76E40133">
      <w:pPr>
        <w:spacing w:line="360" w:lineRule="auto"/>
        <w:rPr>
          <w:rFonts w:hint="default" w:ascii="Times New Roman" w:hAnsi="Times New Roman" w:eastAsia="宋体" w:cs="Times New Roman"/>
          <w:color w:val="auto"/>
          <w:kern w:val="0"/>
          <w:sz w:val="22"/>
          <w:szCs w:val="22"/>
          <w:highlight w:val="none"/>
          <w:u w:val="single"/>
          <w:lang w:val="en-US" w:eastAsia="zh-CN" w:bidi="ar"/>
        </w:rPr>
      </w:pPr>
      <w:r>
        <w:rPr>
          <w:rFonts w:hint="default" w:ascii="Times New Roman" w:hAnsi="Times New Roman" w:eastAsia="宋体" w:cs="Times New Roman"/>
          <w:color w:val="auto"/>
          <w:kern w:val="0"/>
          <w:sz w:val="22"/>
          <w:szCs w:val="22"/>
          <w:highlight w:val="none"/>
          <w:lang w:val="en-US" w:eastAsia="zh-CN" w:bidi="ar"/>
        </w:rPr>
        <w:t xml:space="preserve">□ </w:t>
      </w:r>
      <w:r>
        <w:rPr>
          <w:rFonts w:hint="default" w:ascii="Times New Roman" w:hAnsi="Times New Roman" w:cs="Times New Roman"/>
          <w:color w:val="auto"/>
          <w:kern w:val="0"/>
          <w:sz w:val="22"/>
          <w:szCs w:val="22"/>
          <w:highlight w:val="none"/>
        </w:rPr>
        <w:t>另作约定：</w:t>
      </w:r>
      <w:r>
        <w:rPr>
          <w:rFonts w:hint="default" w:ascii="Times New Roman" w:hAnsi="Times New Roman" w:eastAsia="宋体" w:cs="Times New Roman"/>
          <w:color w:val="auto"/>
          <w:kern w:val="0"/>
          <w:sz w:val="22"/>
          <w:szCs w:val="22"/>
          <w:highlight w:val="none"/>
          <w:u w:val="single"/>
          <w:lang w:val="en-US" w:eastAsia="zh-CN" w:bidi="ar"/>
        </w:rPr>
        <w:t xml:space="preserve">                                                                       </w:t>
      </w:r>
    </w:p>
    <w:p w14:paraId="0DD122F6">
      <w:pPr>
        <w:keepNext w:val="0"/>
        <w:keepLines w:val="0"/>
        <w:widowControl w:val="0"/>
        <w:suppressLineNumbers w:val="0"/>
        <w:spacing w:before="0" w:beforeAutospacing="0" w:after="0" w:afterAutospacing="0" w:line="420" w:lineRule="exact"/>
        <w:ind w:left="0" w:right="0"/>
        <w:jc w:val="both"/>
        <w:rPr>
          <w:rFonts w:hint="default" w:ascii="Times New Roman" w:hAnsi="Times New Roman" w:eastAsia="宋体" w:cs="Times New Roman"/>
          <w:color w:val="auto"/>
          <w:kern w:val="0"/>
          <w:sz w:val="22"/>
          <w:szCs w:val="22"/>
          <w:highlight w:val="none"/>
          <w:lang w:val="en-US"/>
        </w:rPr>
      </w:pPr>
      <w:r>
        <w:rPr>
          <w:rFonts w:hint="default" w:ascii="Times New Roman" w:hAnsi="Times New Roman" w:eastAsia="宋体" w:cs="Times New Roman"/>
          <w:color w:val="auto"/>
          <w:kern w:val="0"/>
          <w:sz w:val="22"/>
          <w:szCs w:val="22"/>
          <w:highlight w:val="none"/>
          <w:lang w:val="en-US" w:eastAsia="zh-CN" w:bidi="ar"/>
        </w:rPr>
        <w:t xml:space="preserve">（2） </w:t>
      </w:r>
      <w:r>
        <w:rPr>
          <w:rFonts w:hint="default" w:ascii="Times New Roman" w:hAnsi="Times New Roman" w:eastAsia="宋体" w:cs="Times New Roman"/>
          <w:color w:val="auto"/>
          <w:kern w:val="2"/>
          <w:sz w:val="22"/>
          <w:szCs w:val="22"/>
          <w:highlight w:val="none"/>
          <w:lang w:val="en-US" w:eastAsia="zh-CN" w:bidi="ar"/>
        </w:rPr>
        <w:t>绿色施工安全防护</w:t>
      </w:r>
      <w:r>
        <w:rPr>
          <w:rFonts w:hint="default" w:ascii="Times New Roman" w:hAnsi="Times New Roman" w:eastAsia="宋体" w:cs="Times New Roman"/>
          <w:color w:val="auto"/>
          <w:kern w:val="0"/>
          <w:sz w:val="22"/>
          <w:szCs w:val="22"/>
          <w:highlight w:val="none"/>
          <w:lang w:val="en-US" w:eastAsia="zh-CN" w:bidi="ar"/>
        </w:rPr>
        <w:t>费的总金额为</w:t>
      </w:r>
      <w:r>
        <w:rPr>
          <w:rFonts w:hint="default" w:ascii="Times New Roman" w:hAnsi="Times New Roman" w:eastAsia="宋体" w:cs="Times New Roman"/>
          <w:color w:val="auto"/>
          <w:kern w:val="0"/>
          <w:sz w:val="22"/>
          <w:szCs w:val="22"/>
          <w:highlight w:val="none"/>
          <w:u w:val="single"/>
          <w:lang w:val="en-US" w:eastAsia="zh-CN" w:bidi="ar"/>
        </w:rPr>
        <w:t xml:space="preserve">                </w:t>
      </w:r>
      <w:r>
        <w:rPr>
          <w:rFonts w:hint="default" w:ascii="Times New Roman" w:hAnsi="Times New Roman" w:eastAsia="宋体" w:cs="Times New Roman"/>
          <w:color w:val="auto"/>
          <w:kern w:val="0"/>
          <w:sz w:val="22"/>
          <w:szCs w:val="22"/>
          <w:highlight w:val="none"/>
          <w:lang w:val="en-US" w:eastAsia="zh-CN" w:bidi="ar"/>
        </w:rPr>
        <w:t>元；</w:t>
      </w:r>
    </w:p>
    <w:p w14:paraId="02A19BB7">
      <w:pPr>
        <w:keepNext w:val="0"/>
        <w:keepLines w:val="0"/>
        <w:widowControl w:val="0"/>
        <w:suppressLineNumbers w:val="0"/>
        <w:spacing w:before="0" w:beforeAutospacing="0" w:after="0" w:afterAutospacing="0" w:line="420" w:lineRule="exact"/>
        <w:ind w:left="0" w:right="0"/>
        <w:jc w:val="both"/>
        <w:rPr>
          <w:rFonts w:hint="default" w:ascii="Times New Roman" w:hAnsi="Times New Roman" w:eastAsia="宋体" w:cs="Times New Roman"/>
          <w:color w:val="auto"/>
          <w:kern w:val="0"/>
          <w:sz w:val="22"/>
          <w:szCs w:val="22"/>
          <w:highlight w:val="none"/>
          <w:lang w:val="en-US"/>
        </w:rPr>
      </w:pPr>
      <w:r>
        <w:rPr>
          <w:rFonts w:hint="default" w:ascii="Times New Roman" w:hAnsi="Times New Roman" w:eastAsia="宋体" w:cs="Times New Roman"/>
          <w:color w:val="auto"/>
          <w:kern w:val="0"/>
          <w:sz w:val="22"/>
          <w:szCs w:val="22"/>
          <w:highlight w:val="none"/>
          <w:lang w:val="en-US" w:eastAsia="zh-CN" w:bidi="ar"/>
        </w:rPr>
        <w:t xml:space="preserve">       其中：施工扬尘污染防治措施费为</w:t>
      </w:r>
      <w:r>
        <w:rPr>
          <w:rFonts w:hint="default" w:ascii="Times New Roman" w:hAnsi="Times New Roman" w:eastAsia="宋体" w:cs="Times New Roman"/>
          <w:color w:val="auto"/>
          <w:kern w:val="0"/>
          <w:sz w:val="22"/>
          <w:szCs w:val="22"/>
          <w:highlight w:val="none"/>
          <w:u w:val="single"/>
          <w:lang w:val="en-US" w:eastAsia="zh-CN" w:bidi="ar"/>
        </w:rPr>
        <w:t xml:space="preserve">                </w:t>
      </w:r>
      <w:r>
        <w:rPr>
          <w:rFonts w:hint="default" w:ascii="Times New Roman" w:hAnsi="Times New Roman" w:eastAsia="宋体" w:cs="Times New Roman"/>
          <w:color w:val="auto"/>
          <w:kern w:val="0"/>
          <w:sz w:val="22"/>
          <w:szCs w:val="22"/>
          <w:highlight w:val="none"/>
          <w:lang w:val="en-US" w:eastAsia="zh-CN" w:bidi="ar"/>
        </w:rPr>
        <w:t>元；</w:t>
      </w:r>
    </w:p>
    <w:p w14:paraId="01FCB1A2">
      <w:pPr>
        <w:keepNext w:val="0"/>
        <w:keepLines w:val="0"/>
        <w:widowControl w:val="0"/>
        <w:suppressLineNumbers w:val="0"/>
        <w:spacing w:before="0" w:beforeAutospacing="0" w:after="0" w:afterAutospacing="0" w:line="420" w:lineRule="exact"/>
        <w:ind w:left="0" w:right="0"/>
        <w:jc w:val="both"/>
        <w:rPr>
          <w:rFonts w:hint="default" w:ascii="Times New Roman" w:hAnsi="Times New Roman" w:eastAsia="宋体" w:cs="Times New Roman"/>
          <w:color w:val="auto"/>
          <w:kern w:val="0"/>
          <w:sz w:val="22"/>
          <w:szCs w:val="22"/>
          <w:highlight w:val="none"/>
          <w:lang w:val="en-US"/>
        </w:rPr>
      </w:pPr>
      <w:r>
        <w:rPr>
          <w:rFonts w:hint="default" w:ascii="Times New Roman" w:hAnsi="Times New Roman" w:eastAsia="宋体" w:cs="Times New Roman"/>
          <w:color w:val="auto"/>
          <w:kern w:val="0"/>
          <w:sz w:val="22"/>
          <w:szCs w:val="22"/>
          <w:highlight w:val="none"/>
          <w:lang w:val="en-US" w:eastAsia="zh-CN" w:bidi="ar"/>
        </w:rPr>
        <w:t xml:space="preserve">             用工实名管理费为</w:t>
      </w:r>
      <w:r>
        <w:rPr>
          <w:rFonts w:hint="default" w:ascii="Times New Roman" w:hAnsi="Times New Roman" w:eastAsia="宋体" w:cs="Times New Roman"/>
          <w:color w:val="auto"/>
          <w:kern w:val="0"/>
          <w:sz w:val="22"/>
          <w:szCs w:val="22"/>
          <w:highlight w:val="none"/>
          <w:u w:val="single"/>
          <w:lang w:val="en-US" w:eastAsia="zh-CN" w:bidi="ar"/>
        </w:rPr>
        <w:t xml:space="preserve">                </w:t>
      </w:r>
      <w:r>
        <w:rPr>
          <w:rFonts w:hint="default" w:ascii="Times New Roman" w:hAnsi="Times New Roman" w:eastAsia="宋体" w:cs="Times New Roman"/>
          <w:color w:val="auto"/>
          <w:kern w:val="0"/>
          <w:sz w:val="22"/>
          <w:szCs w:val="22"/>
          <w:highlight w:val="none"/>
          <w:lang w:val="en-US" w:eastAsia="zh-CN" w:bidi="ar"/>
        </w:rPr>
        <w:t>元。</w:t>
      </w:r>
    </w:p>
    <w:p w14:paraId="7B1DDF4F">
      <w:pPr>
        <w:keepNext w:val="0"/>
        <w:keepLines w:val="0"/>
        <w:widowControl w:val="0"/>
        <w:suppressLineNumbers w:val="0"/>
        <w:spacing w:before="0" w:beforeAutospacing="0" w:after="0" w:afterAutospacing="0" w:line="420" w:lineRule="exact"/>
        <w:ind w:left="0" w:right="0"/>
        <w:jc w:val="both"/>
        <w:rPr>
          <w:rFonts w:hint="default" w:ascii="Times New Roman" w:hAnsi="Times New Roman" w:eastAsia="宋体" w:cs="Times New Roman"/>
          <w:color w:val="auto"/>
          <w:kern w:val="0"/>
          <w:sz w:val="22"/>
          <w:szCs w:val="22"/>
          <w:highlight w:val="none"/>
          <w:lang w:val="en-US"/>
        </w:rPr>
      </w:pPr>
      <w:r>
        <w:rPr>
          <w:rFonts w:hint="default" w:ascii="Times New Roman" w:hAnsi="Times New Roman" w:eastAsia="宋体" w:cs="Times New Roman"/>
          <w:color w:val="auto"/>
          <w:kern w:val="0"/>
          <w:sz w:val="22"/>
          <w:szCs w:val="22"/>
          <w:highlight w:val="none"/>
          <w:lang w:val="en-US" w:eastAsia="zh-CN" w:bidi="ar"/>
        </w:rPr>
        <w:t xml:space="preserve">             危大工程安全防护文明施工措施费</w:t>
      </w:r>
      <w:r>
        <w:rPr>
          <w:rFonts w:hint="default" w:ascii="Times New Roman" w:hAnsi="Times New Roman" w:eastAsia="宋体" w:cs="Times New Roman"/>
          <w:color w:val="auto"/>
          <w:kern w:val="0"/>
          <w:sz w:val="22"/>
          <w:szCs w:val="22"/>
          <w:highlight w:val="none"/>
          <w:u w:val="single"/>
          <w:lang w:val="en-US" w:eastAsia="zh-CN" w:bidi="ar"/>
        </w:rPr>
        <w:t xml:space="preserve">                </w:t>
      </w:r>
      <w:r>
        <w:rPr>
          <w:rFonts w:hint="default" w:ascii="Times New Roman" w:hAnsi="Times New Roman" w:eastAsia="宋体" w:cs="Times New Roman"/>
          <w:color w:val="auto"/>
          <w:kern w:val="0"/>
          <w:sz w:val="22"/>
          <w:szCs w:val="22"/>
          <w:highlight w:val="none"/>
          <w:lang w:val="en-US" w:eastAsia="zh-CN" w:bidi="ar"/>
        </w:rPr>
        <w:t>元。</w:t>
      </w:r>
    </w:p>
    <w:p w14:paraId="4757AC61">
      <w:pPr>
        <w:adjustRightInd w:val="0"/>
        <w:snapToGrid w:val="0"/>
        <w:spacing w:line="360" w:lineRule="auto"/>
        <w:ind w:firstLine="440" w:firstLineChars="200"/>
        <w:rPr>
          <w:rFonts w:hint="default" w:ascii="Times New Roman" w:hAnsi="Times New Roman" w:cs="Times New Roman"/>
          <w:color w:val="auto"/>
          <w:kern w:val="0"/>
          <w:sz w:val="22"/>
          <w:szCs w:val="22"/>
          <w:highlight w:val="none"/>
        </w:rPr>
      </w:pPr>
    </w:p>
    <w:p w14:paraId="742D7A9E">
      <w:pPr>
        <w:adjustRightInd w:val="0"/>
        <w:snapToGrid w:val="0"/>
        <w:spacing w:line="360" w:lineRule="auto"/>
        <w:ind w:firstLine="440" w:firstLineChars="200"/>
        <w:rPr>
          <w:rFonts w:hint="default" w:ascii="Times New Roman" w:hAnsi="Times New Roman" w:cs="Times New Roman"/>
          <w:color w:val="auto"/>
          <w:kern w:val="0"/>
          <w:sz w:val="22"/>
          <w:szCs w:val="22"/>
          <w:highlight w:val="none"/>
        </w:rPr>
      </w:pPr>
    </w:p>
    <w:p w14:paraId="2646246E">
      <w:pPr>
        <w:spacing w:line="360" w:lineRule="auto"/>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80.2 支付申请的提交与核实</w:t>
      </w:r>
    </w:p>
    <w:p w14:paraId="10C5067E">
      <w:pPr>
        <w:spacing w:line="360" w:lineRule="auto"/>
        <w:rPr>
          <w:rFonts w:hint="default" w:ascii="Times New Roman" w:hAnsi="Times New Roman" w:cs="Times New Roman"/>
          <w:color w:val="auto"/>
          <w:kern w:val="0"/>
          <w:sz w:val="22"/>
          <w:szCs w:val="22"/>
          <w:highlight w:val="none"/>
        </w:rPr>
      </w:pPr>
      <w:r>
        <w:rPr>
          <w:rFonts w:hint="default" w:ascii="Times New Roman" w:hAnsi="Times New Roman" w:eastAsia="宋体" w:cs="Times New Roman"/>
          <w:color w:val="auto"/>
          <w:kern w:val="0"/>
          <w:sz w:val="22"/>
          <w:szCs w:val="22"/>
          <w:highlight w:val="none"/>
          <w:lang w:val="en-US" w:eastAsia="zh-CN" w:bidi="ar"/>
        </w:rPr>
        <w:t xml:space="preserve">☑ </w:t>
      </w:r>
      <w:r>
        <w:rPr>
          <w:rFonts w:hint="default" w:ascii="Times New Roman" w:hAnsi="Times New Roman" w:cs="Times New Roman"/>
          <w:color w:val="auto"/>
          <w:kern w:val="0"/>
          <w:sz w:val="22"/>
          <w:szCs w:val="22"/>
          <w:highlight w:val="none"/>
        </w:rPr>
        <w:t>按通用条款的规定。</w:t>
      </w:r>
    </w:p>
    <w:p w14:paraId="68F2AD72">
      <w:pPr>
        <w:spacing w:line="360" w:lineRule="auto"/>
        <w:rPr>
          <w:rFonts w:hint="default" w:ascii="Times New Roman" w:hAnsi="Times New Roman" w:cs="Times New Roman"/>
          <w:color w:val="auto"/>
          <w:kern w:val="0"/>
          <w:sz w:val="22"/>
          <w:szCs w:val="22"/>
          <w:highlight w:val="none"/>
        </w:rPr>
      </w:pPr>
      <w:r>
        <w:rPr>
          <w:rFonts w:hint="default" w:ascii="Times New Roman" w:hAnsi="Times New Roman" w:eastAsia="宋体" w:cs="Times New Roman"/>
          <w:color w:val="auto"/>
          <w:kern w:val="0"/>
          <w:sz w:val="22"/>
          <w:szCs w:val="22"/>
          <w:highlight w:val="none"/>
          <w:lang w:val="en-US" w:eastAsia="zh-CN" w:bidi="ar"/>
        </w:rPr>
        <w:t xml:space="preserve">□ </w:t>
      </w:r>
      <w:r>
        <w:rPr>
          <w:rFonts w:hint="default" w:ascii="Times New Roman" w:hAnsi="Times New Roman" w:cs="Times New Roman"/>
          <w:color w:val="auto"/>
          <w:kern w:val="0"/>
          <w:sz w:val="22"/>
          <w:szCs w:val="22"/>
          <w:highlight w:val="none"/>
        </w:rPr>
        <w:t>另作约定：</w:t>
      </w:r>
      <w:r>
        <w:rPr>
          <w:rFonts w:hint="default" w:ascii="Times New Roman" w:hAnsi="Times New Roman" w:cs="Times New Roman"/>
          <w:color w:val="auto"/>
          <w:kern w:val="0"/>
          <w:sz w:val="22"/>
          <w:szCs w:val="22"/>
          <w:highlight w:val="none"/>
          <w:u w:val="single"/>
        </w:rPr>
        <w:t xml:space="preserve">                              /                               </w:t>
      </w:r>
    </w:p>
    <w:p w14:paraId="162D4E14">
      <w:pPr>
        <w:spacing w:line="360" w:lineRule="auto"/>
        <w:rPr>
          <w:rFonts w:hint="default" w:ascii="Times New Roman" w:hAnsi="Times New Roman" w:cs="Times New Roman"/>
          <w:color w:val="auto"/>
          <w:kern w:val="0"/>
          <w:sz w:val="22"/>
          <w:szCs w:val="22"/>
          <w:highlight w:val="none"/>
        </w:rPr>
      </w:pPr>
    </w:p>
    <w:p w14:paraId="209A8266">
      <w:pPr>
        <w:spacing w:line="360" w:lineRule="auto"/>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80.3 费用支付</w:t>
      </w:r>
    </w:p>
    <w:p w14:paraId="2AAEA638">
      <w:pPr>
        <w:spacing w:line="360" w:lineRule="auto"/>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安全文明施工费的支付办法和抵扣方式：</w:t>
      </w:r>
    </w:p>
    <w:p w14:paraId="63323D89">
      <w:pPr>
        <w:spacing w:line="360" w:lineRule="auto"/>
        <w:rPr>
          <w:rFonts w:hint="default" w:ascii="Times New Roman" w:hAnsi="Times New Roman" w:cs="Times New Roman"/>
          <w:color w:val="auto"/>
          <w:kern w:val="0"/>
          <w:sz w:val="22"/>
          <w:szCs w:val="22"/>
          <w:highlight w:val="none"/>
        </w:rPr>
      </w:pPr>
      <w:r>
        <w:rPr>
          <w:rFonts w:hint="default" w:ascii="Times New Roman" w:hAnsi="Times New Roman" w:eastAsia="宋体" w:cs="Times New Roman"/>
          <w:color w:val="auto"/>
          <w:kern w:val="0"/>
          <w:sz w:val="22"/>
          <w:szCs w:val="22"/>
          <w:highlight w:val="none"/>
          <w:lang w:val="en-US" w:eastAsia="zh-CN" w:bidi="ar"/>
        </w:rPr>
        <w:t xml:space="preserve">☑ </w:t>
      </w:r>
      <w:r>
        <w:rPr>
          <w:rFonts w:hint="default" w:ascii="Times New Roman" w:hAnsi="Times New Roman" w:cs="Times New Roman"/>
          <w:color w:val="auto"/>
          <w:kern w:val="0"/>
          <w:sz w:val="22"/>
          <w:szCs w:val="22"/>
          <w:highlight w:val="none"/>
        </w:rPr>
        <w:t>按通用条款的规定。</w:t>
      </w:r>
    </w:p>
    <w:p w14:paraId="0587A210">
      <w:pPr>
        <w:spacing w:line="360" w:lineRule="auto"/>
        <w:rPr>
          <w:rFonts w:hint="default" w:ascii="Times New Roman" w:hAnsi="Times New Roman" w:eastAsia="宋体" w:cs="Times New Roman"/>
          <w:b/>
          <w:color w:val="auto"/>
          <w:kern w:val="2"/>
          <w:sz w:val="22"/>
          <w:szCs w:val="22"/>
          <w:highlight w:val="none"/>
          <w:lang w:val="en-US" w:eastAsia="zh-CN" w:bidi="ar"/>
        </w:rPr>
      </w:pPr>
      <w:r>
        <w:rPr>
          <w:rFonts w:hint="default" w:ascii="Times New Roman" w:hAnsi="Times New Roman" w:eastAsia="宋体" w:cs="Times New Roman"/>
          <w:color w:val="auto"/>
          <w:kern w:val="0"/>
          <w:sz w:val="22"/>
          <w:szCs w:val="22"/>
          <w:highlight w:val="none"/>
          <w:lang w:val="en-US" w:eastAsia="zh-CN" w:bidi="ar"/>
        </w:rPr>
        <w:t xml:space="preserve">□ </w:t>
      </w:r>
      <w:r>
        <w:rPr>
          <w:rFonts w:hint="default" w:ascii="Times New Roman" w:hAnsi="Times New Roman" w:cs="Times New Roman"/>
          <w:color w:val="auto"/>
          <w:kern w:val="0"/>
          <w:sz w:val="22"/>
          <w:szCs w:val="22"/>
          <w:highlight w:val="none"/>
        </w:rPr>
        <w:t>另作约定：按相关政策执行。</w:t>
      </w:r>
    </w:p>
    <w:p w14:paraId="4122EB5E">
      <w:pPr>
        <w:keepNext w:val="0"/>
        <w:keepLines w:val="0"/>
        <w:widowControl w:val="0"/>
        <w:suppressLineNumbers w:val="0"/>
        <w:spacing w:before="0" w:beforeAutospacing="0" w:after="0" w:afterAutospacing="0" w:line="420" w:lineRule="exact"/>
        <w:ind w:left="0" w:right="0" w:firstLine="221" w:firstLineChars="100"/>
        <w:jc w:val="both"/>
        <w:rPr>
          <w:rFonts w:hint="default" w:ascii="Times New Roman" w:hAnsi="Times New Roman" w:eastAsia="宋体" w:cs="Times New Roman"/>
          <w:b/>
          <w:color w:val="auto"/>
          <w:kern w:val="0"/>
          <w:sz w:val="22"/>
          <w:szCs w:val="22"/>
          <w:highlight w:val="none"/>
          <w:lang w:val="en-US"/>
        </w:rPr>
      </w:pPr>
      <w:r>
        <w:rPr>
          <w:rFonts w:hint="default" w:ascii="Times New Roman" w:hAnsi="Times New Roman" w:eastAsia="宋体" w:cs="Times New Roman"/>
          <w:b/>
          <w:color w:val="auto"/>
          <w:kern w:val="2"/>
          <w:sz w:val="22"/>
          <w:szCs w:val="22"/>
          <w:highlight w:val="none"/>
          <w:lang w:val="en-US" w:eastAsia="zh-CN" w:bidi="ar"/>
        </w:rPr>
        <w:t>★</w:t>
      </w:r>
      <w:r>
        <w:rPr>
          <w:rFonts w:hint="default" w:ascii="Times New Roman" w:hAnsi="Times New Roman" w:eastAsia="宋体" w:cs="Times New Roman"/>
          <w:color w:val="auto"/>
          <w:kern w:val="0"/>
          <w:sz w:val="22"/>
          <w:szCs w:val="22"/>
          <w:highlight w:val="none"/>
          <w:lang w:val="en-US" w:eastAsia="zh-CN" w:bidi="ar"/>
        </w:rPr>
        <w:t>80.6 文明工地增加费</w:t>
      </w:r>
    </w:p>
    <w:p w14:paraId="123E9280">
      <w:pPr>
        <w:keepNext w:val="0"/>
        <w:keepLines w:val="0"/>
        <w:widowControl w:val="0"/>
        <w:suppressLineNumbers w:val="0"/>
        <w:spacing w:before="0" w:beforeAutospacing="0" w:after="0" w:afterAutospacing="0" w:line="420" w:lineRule="exact"/>
        <w:ind w:left="0" w:right="0"/>
        <w:jc w:val="both"/>
        <w:rPr>
          <w:rFonts w:hint="default" w:ascii="Times New Roman" w:hAnsi="Times New Roman" w:eastAsia="宋体" w:cs="Times New Roman"/>
          <w:color w:val="auto"/>
          <w:kern w:val="0"/>
          <w:sz w:val="22"/>
          <w:szCs w:val="22"/>
          <w:highlight w:val="none"/>
          <w:lang w:val="en-US"/>
        </w:rPr>
      </w:pPr>
      <w:r>
        <w:rPr>
          <w:rFonts w:hint="default" w:ascii="Times New Roman" w:hAnsi="Times New Roman" w:eastAsia="宋体" w:cs="Times New Roman"/>
          <w:color w:val="auto"/>
          <w:kern w:val="0"/>
          <w:sz w:val="22"/>
          <w:szCs w:val="22"/>
          <w:highlight w:val="none"/>
          <w:lang w:val="en-US" w:eastAsia="zh-CN" w:bidi="ar"/>
        </w:rPr>
        <w:t xml:space="preserve">       文明工地增加费的计算额度：</w:t>
      </w:r>
    </w:p>
    <w:p w14:paraId="77AEBC11">
      <w:pPr>
        <w:keepNext w:val="0"/>
        <w:keepLines w:val="0"/>
        <w:widowControl w:val="0"/>
        <w:suppressLineNumbers w:val="0"/>
        <w:spacing w:before="0" w:beforeAutospacing="0" w:after="0" w:afterAutospacing="0" w:line="420" w:lineRule="exact"/>
        <w:ind w:right="0" w:firstLine="220" w:firstLineChars="100"/>
        <w:jc w:val="both"/>
        <w:rPr>
          <w:rFonts w:hint="default" w:ascii="Times New Roman" w:hAnsi="Times New Roman" w:eastAsia="宋体" w:cs="Times New Roman"/>
          <w:color w:val="auto"/>
          <w:kern w:val="0"/>
          <w:sz w:val="22"/>
          <w:szCs w:val="22"/>
          <w:highlight w:val="none"/>
          <w:lang w:val="en-US"/>
        </w:rPr>
      </w:pPr>
      <w:r>
        <w:rPr>
          <w:rFonts w:hint="default" w:ascii="Times New Roman" w:hAnsi="Times New Roman" w:cs="Times New Roman"/>
          <w:color w:val="auto"/>
          <w:kern w:val="0"/>
          <w:sz w:val="22"/>
          <w:szCs w:val="22"/>
          <w:highlight w:val="none"/>
          <w:lang w:val="en-US" w:eastAsia="zh-CN" w:bidi="ar"/>
        </w:rPr>
        <w:t>☑</w:t>
      </w:r>
      <w:r>
        <w:rPr>
          <w:rFonts w:hint="default" w:ascii="Times New Roman" w:hAnsi="Times New Roman" w:eastAsia="宋体" w:cs="Times New Roman"/>
          <w:color w:val="auto"/>
          <w:kern w:val="0"/>
          <w:sz w:val="22"/>
          <w:szCs w:val="22"/>
          <w:highlight w:val="none"/>
          <w:lang w:val="en-US" w:eastAsia="zh-CN" w:bidi="ar"/>
        </w:rPr>
        <w:t>按通用条款规定计算。</w:t>
      </w:r>
    </w:p>
    <w:p w14:paraId="2039D2ED">
      <w:pPr>
        <w:keepNext w:val="0"/>
        <w:keepLines w:val="0"/>
        <w:widowControl w:val="0"/>
        <w:suppressLineNumbers w:val="0"/>
        <w:spacing w:before="0" w:beforeAutospacing="0" w:after="0" w:afterAutospacing="0" w:line="420" w:lineRule="exact"/>
        <w:ind w:left="0" w:right="0" w:firstLine="220" w:firstLineChars="100"/>
        <w:jc w:val="both"/>
        <w:rPr>
          <w:rFonts w:hint="default" w:ascii="Times New Roman" w:hAnsi="Times New Roman" w:eastAsia="宋体" w:cs="Times New Roman"/>
          <w:color w:val="auto"/>
          <w:kern w:val="0"/>
          <w:sz w:val="22"/>
          <w:szCs w:val="22"/>
          <w:highlight w:val="none"/>
          <w:lang w:val="en-US"/>
        </w:rPr>
      </w:pPr>
      <w:r>
        <w:rPr>
          <w:rFonts w:hint="default" w:ascii="Times New Roman" w:hAnsi="Times New Roman" w:eastAsia="宋体" w:cs="Times New Roman"/>
          <w:color w:val="auto"/>
          <w:kern w:val="0"/>
          <w:sz w:val="22"/>
          <w:szCs w:val="22"/>
          <w:highlight w:val="none"/>
          <w:lang w:val="en-US" w:eastAsia="zh-CN" w:bidi="ar"/>
        </w:rPr>
        <w:t>□ 按分部分项工程费为基础计算。</w:t>
      </w:r>
    </w:p>
    <w:p w14:paraId="0B11A6FC">
      <w:pPr>
        <w:keepNext w:val="0"/>
        <w:keepLines w:val="0"/>
        <w:widowControl w:val="0"/>
        <w:suppressLineNumbers w:val="0"/>
        <w:spacing w:before="0" w:beforeAutospacing="0" w:after="0" w:afterAutospacing="0" w:line="420" w:lineRule="exact"/>
        <w:ind w:left="0" w:right="0"/>
        <w:jc w:val="both"/>
        <w:rPr>
          <w:rFonts w:hint="default" w:ascii="Times New Roman" w:hAnsi="Times New Roman" w:eastAsia="宋体" w:cs="Times New Roman"/>
          <w:color w:val="auto"/>
          <w:kern w:val="0"/>
          <w:sz w:val="22"/>
          <w:szCs w:val="22"/>
          <w:highlight w:val="none"/>
          <w:lang w:val="en-US"/>
        </w:rPr>
      </w:pPr>
      <w:r>
        <w:rPr>
          <w:rFonts w:hint="default" w:ascii="Times New Roman" w:hAnsi="Times New Roman" w:eastAsia="宋体" w:cs="Times New Roman"/>
          <w:color w:val="auto"/>
          <w:kern w:val="0"/>
          <w:sz w:val="22"/>
          <w:szCs w:val="22"/>
          <w:highlight w:val="none"/>
          <w:lang w:val="en-US" w:eastAsia="zh-CN" w:bidi="ar"/>
        </w:rPr>
        <w:t xml:space="preserve">  □ 另作约定（文明工地增加费率参考广东省建设工程计价依据文明工地增加费、广州市住房和城乡建设局发布的文明工地增加费；合同工程同时获得下列多个奖项的，只按最高奖项的额度计算。）：</w:t>
      </w:r>
    </w:p>
    <w:p w14:paraId="479F33DD">
      <w:pPr>
        <w:keepNext w:val="0"/>
        <w:keepLines w:val="0"/>
        <w:widowControl w:val="0"/>
        <w:suppressLineNumbers w:val="0"/>
        <w:spacing w:before="0" w:beforeAutospacing="0" w:after="0" w:afterAutospacing="0" w:line="420" w:lineRule="exact"/>
        <w:ind w:left="0" w:right="0"/>
        <w:jc w:val="both"/>
        <w:rPr>
          <w:rFonts w:hint="default" w:ascii="Times New Roman" w:hAnsi="Times New Roman" w:eastAsia="宋体" w:cs="Times New Roman"/>
          <w:color w:val="auto"/>
          <w:kern w:val="0"/>
          <w:sz w:val="22"/>
          <w:szCs w:val="22"/>
          <w:highlight w:val="none"/>
          <w:lang w:val="en-US"/>
        </w:rPr>
      </w:pPr>
      <w:r>
        <w:rPr>
          <w:rFonts w:hint="default" w:ascii="Times New Roman" w:hAnsi="Times New Roman" w:eastAsia="宋体" w:cs="Times New Roman"/>
          <w:color w:val="auto"/>
          <w:kern w:val="0"/>
          <w:sz w:val="22"/>
          <w:szCs w:val="22"/>
          <w:highlight w:val="none"/>
          <w:lang w:val="en-US" w:eastAsia="zh-CN" w:bidi="ar"/>
        </w:rPr>
        <w:t xml:space="preserve">     </w:t>
      </w:r>
      <w:r>
        <w:rPr>
          <w:rFonts w:hint="default" w:ascii="Times New Roman" w:hAnsi="Times New Roman" w:eastAsia="宋体" w:cs="Times New Roman"/>
          <w:color w:val="auto"/>
          <w:kern w:val="2"/>
          <w:sz w:val="22"/>
          <w:szCs w:val="22"/>
          <w:highlight w:val="none"/>
          <w:lang w:val="en-US" w:eastAsia="zh-CN" w:bidi="ar"/>
        </w:rPr>
        <w:t>市级安全文明工地</w:t>
      </w:r>
      <w:r>
        <w:rPr>
          <w:rFonts w:hint="default" w:ascii="Times New Roman" w:hAnsi="Times New Roman" w:eastAsia="宋体" w:cs="Times New Roman"/>
          <w:color w:val="auto"/>
          <w:kern w:val="0"/>
          <w:sz w:val="22"/>
          <w:szCs w:val="22"/>
          <w:highlight w:val="none"/>
          <w:lang w:val="en-US" w:eastAsia="zh-CN" w:bidi="ar"/>
        </w:rPr>
        <w:t>增加费</w:t>
      </w:r>
      <w:r>
        <w:rPr>
          <w:rFonts w:hint="default" w:ascii="Times New Roman" w:hAnsi="Times New Roman" w:eastAsia="宋体" w:cs="Times New Roman"/>
          <w:color w:val="auto"/>
          <w:kern w:val="0"/>
          <w:sz w:val="22"/>
          <w:szCs w:val="22"/>
          <w:highlight w:val="none"/>
          <w:u w:val="single"/>
          <w:lang w:val="en-US" w:eastAsia="zh-CN" w:bidi="ar"/>
        </w:rPr>
        <w:t xml:space="preserve">             </w:t>
      </w:r>
      <w:r>
        <w:rPr>
          <w:rFonts w:hint="default" w:ascii="Times New Roman" w:hAnsi="Times New Roman" w:eastAsia="宋体" w:cs="Times New Roman"/>
          <w:color w:val="auto"/>
          <w:kern w:val="0"/>
          <w:sz w:val="22"/>
          <w:szCs w:val="22"/>
          <w:highlight w:val="none"/>
          <w:lang w:val="en-US" w:eastAsia="zh-CN" w:bidi="ar"/>
        </w:rPr>
        <w:t xml:space="preserve"> %；</w:t>
      </w:r>
    </w:p>
    <w:p w14:paraId="5270A543">
      <w:pPr>
        <w:keepNext w:val="0"/>
        <w:keepLines w:val="0"/>
        <w:widowControl w:val="0"/>
        <w:suppressLineNumbers w:val="0"/>
        <w:spacing w:before="0" w:beforeAutospacing="0" w:after="0" w:afterAutospacing="0" w:line="420" w:lineRule="exact"/>
        <w:ind w:left="0" w:right="0"/>
        <w:jc w:val="both"/>
        <w:rPr>
          <w:rFonts w:hint="default" w:ascii="Times New Roman" w:hAnsi="Times New Roman" w:eastAsia="宋体" w:cs="Times New Roman"/>
          <w:color w:val="auto"/>
          <w:kern w:val="0"/>
          <w:sz w:val="22"/>
          <w:szCs w:val="22"/>
          <w:highlight w:val="none"/>
          <w:lang w:val="en-US"/>
        </w:rPr>
      </w:pPr>
      <w:r>
        <w:rPr>
          <w:rFonts w:hint="default" w:ascii="Times New Roman" w:hAnsi="Times New Roman" w:eastAsia="宋体" w:cs="Times New Roman"/>
          <w:color w:val="auto"/>
          <w:kern w:val="0"/>
          <w:sz w:val="22"/>
          <w:szCs w:val="22"/>
          <w:highlight w:val="none"/>
          <w:lang w:val="en-US" w:eastAsia="zh-CN" w:bidi="ar"/>
        </w:rPr>
        <w:t xml:space="preserve">     </w:t>
      </w:r>
      <w:r>
        <w:rPr>
          <w:rFonts w:hint="default" w:ascii="Times New Roman" w:hAnsi="Times New Roman" w:eastAsia="宋体" w:cs="Times New Roman"/>
          <w:color w:val="auto"/>
          <w:kern w:val="2"/>
          <w:sz w:val="22"/>
          <w:szCs w:val="22"/>
          <w:highlight w:val="none"/>
          <w:lang w:val="en-US" w:eastAsia="zh-CN" w:bidi="ar"/>
        </w:rPr>
        <w:t>省级安全文明工地</w:t>
      </w:r>
      <w:r>
        <w:rPr>
          <w:rFonts w:hint="default" w:ascii="Times New Roman" w:hAnsi="Times New Roman" w:eastAsia="宋体" w:cs="Times New Roman"/>
          <w:color w:val="auto"/>
          <w:kern w:val="0"/>
          <w:sz w:val="22"/>
          <w:szCs w:val="22"/>
          <w:highlight w:val="none"/>
          <w:lang w:val="en-US" w:eastAsia="zh-CN" w:bidi="ar"/>
        </w:rPr>
        <w:t>增加费</w:t>
      </w:r>
      <w:r>
        <w:rPr>
          <w:rFonts w:hint="default" w:ascii="Times New Roman" w:hAnsi="Times New Roman" w:eastAsia="宋体" w:cs="Times New Roman"/>
          <w:color w:val="auto"/>
          <w:kern w:val="0"/>
          <w:sz w:val="22"/>
          <w:szCs w:val="22"/>
          <w:highlight w:val="none"/>
          <w:u w:val="single"/>
          <w:lang w:val="en-US" w:eastAsia="zh-CN" w:bidi="ar"/>
        </w:rPr>
        <w:t xml:space="preserve">              </w:t>
      </w:r>
      <w:r>
        <w:rPr>
          <w:rFonts w:hint="default" w:ascii="Times New Roman" w:hAnsi="Times New Roman" w:eastAsia="宋体" w:cs="Times New Roman"/>
          <w:color w:val="auto"/>
          <w:kern w:val="0"/>
          <w:sz w:val="22"/>
          <w:szCs w:val="22"/>
          <w:highlight w:val="none"/>
          <w:lang w:val="en-US" w:eastAsia="zh-CN" w:bidi="ar"/>
        </w:rPr>
        <w:t>%；</w:t>
      </w:r>
    </w:p>
    <w:p w14:paraId="13ECDC46">
      <w:pPr>
        <w:keepNext w:val="0"/>
        <w:keepLines w:val="0"/>
        <w:widowControl w:val="0"/>
        <w:suppressLineNumbers w:val="0"/>
        <w:spacing w:before="0" w:beforeAutospacing="0" w:after="0" w:afterAutospacing="0" w:line="420" w:lineRule="exact"/>
        <w:ind w:left="0" w:right="0"/>
        <w:jc w:val="both"/>
        <w:rPr>
          <w:rFonts w:hint="default" w:ascii="Times New Roman" w:hAnsi="Times New Roman" w:eastAsia="宋体" w:cs="Times New Roman"/>
          <w:color w:val="auto"/>
          <w:kern w:val="0"/>
          <w:sz w:val="22"/>
          <w:szCs w:val="22"/>
          <w:highlight w:val="none"/>
          <w:lang w:val="en-US"/>
        </w:rPr>
      </w:pPr>
      <w:r>
        <w:rPr>
          <w:rFonts w:hint="default" w:ascii="Times New Roman" w:hAnsi="Times New Roman" w:eastAsia="宋体" w:cs="Times New Roman"/>
          <w:color w:val="auto"/>
          <w:kern w:val="0"/>
          <w:sz w:val="22"/>
          <w:szCs w:val="22"/>
          <w:highlight w:val="none"/>
          <w:lang w:val="en-US" w:eastAsia="zh-CN" w:bidi="ar"/>
        </w:rPr>
        <w:t xml:space="preserve">     </w:t>
      </w:r>
      <w:r>
        <w:rPr>
          <w:rFonts w:hint="default" w:ascii="Times New Roman" w:hAnsi="Times New Roman" w:eastAsia="宋体" w:cs="Times New Roman"/>
          <w:color w:val="auto"/>
          <w:kern w:val="2"/>
          <w:sz w:val="22"/>
          <w:szCs w:val="22"/>
          <w:highlight w:val="none"/>
          <w:lang w:val="en-US" w:eastAsia="zh-CN" w:bidi="ar"/>
        </w:rPr>
        <w:t>国家级安全文明工地</w:t>
      </w:r>
      <w:r>
        <w:rPr>
          <w:rFonts w:hint="default" w:ascii="Times New Roman" w:hAnsi="Times New Roman" w:eastAsia="宋体" w:cs="Times New Roman"/>
          <w:color w:val="auto"/>
          <w:kern w:val="0"/>
          <w:sz w:val="22"/>
          <w:szCs w:val="22"/>
          <w:highlight w:val="none"/>
          <w:lang w:val="en-US" w:eastAsia="zh-CN" w:bidi="ar"/>
        </w:rPr>
        <w:t>增加费</w:t>
      </w:r>
      <w:r>
        <w:rPr>
          <w:rFonts w:hint="default" w:ascii="Times New Roman" w:hAnsi="Times New Roman" w:eastAsia="宋体" w:cs="Times New Roman"/>
          <w:color w:val="auto"/>
          <w:kern w:val="0"/>
          <w:sz w:val="22"/>
          <w:szCs w:val="22"/>
          <w:highlight w:val="none"/>
          <w:u w:val="single"/>
          <w:lang w:val="en-US" w:eastAsia="zh-CN" w:bidi="ar"/>
        </w:rPr>
        <w:t xml:space="preserve">              </w:t>
      </w:r>
      <w:r>
        <w:rPr>
          <w:rFonts w:hint="default" w:ascii="Times New Roman" w:hAnsi="Times New Roman" w:eastAsia="宋体" w:cs="Times New Roman"/>
          <w:color w:val="auto"/>
          <w:kern w:val="0"/>
          <w:sz w:val="22"/>
          <w:szCs w:val="22"/>
          <w:highlight w:val="none"/>
          <w:lang w:val="en-US" w:eastAsia="zh-CN" w:bidi="ar"/>
        </w:rPr>
        <w:t>%；</w:t>
      </w:r>
    </w:p>
    <w:p w14:paraId="0DAE63C2">
      <w:pPr>
        <w:keepNext w:val="0"/>
        <w:keepLines w:val="0"/>
        <w:widowControl w:val="0"/>
        <w:suppressLineNumbers w:val="0"/>
        <w:spacing w:before="0" w:beforeAutospacing="0" w:after="0" w:afterAutospacing="0" w:line="420" w:lineRule="exact"/>
        <w:ind w:left="0" w:right="0"/>
        <w:jc w:val="both"/>
        <w:rPr>
          <w:rFonts w:hint="default" w:ascii="Times New Roman" w:hAnsi="Times New Roman" w:eastAsia="宋体" w:cs="Times New Roman"/>
          <w:color w:val="auto"/>
          <w:kern w:val="0"/>
          <w:sz w:val="22"/>
          <w:szCs w:val="22"/>
          <w:highlight w:val="none"/>
          <w:lang w:val="en-US"/>
        </w:rPr>
      </w:pPr>
      <w:r>
        <w:rPr>
          <w:rFonts w:hint="default" w:ascii="Times New Roman" w:hAnsi="Times New Roman" w:eastAsia="宋体" w:cs="Times New Roman"/>
          <w:color w:val="auto"/>
          <w:kern w:val="0"/>
          <w:sz w:val="22"/>
          <w:szCs w:val="22"/>
          <w:highlight w:val="none"/>
          <w:lang w:val="en-US" w:eastAsia="zh-CN" w:bidi="ar"/>
        </w:rPr>
        <w:t xml:space="preserve">     </w:t>
      </w:r>
      <w:r>
        <w:rPr>
          <w:rFonts w:hint="default" w:ascii="Times New Roman" w:hAnsi="Times New Roman" w:cs="Times New Roman"/>
          <w:color w:val="auto"/>
          <w:kern w:val="0"/>
          <w:sz w:val="22"/>
          <w:szCs w:val="22"/>
          <w:highlight w:val="none"/>
          <w:lang w:val="en-US" w:eastAsia="zh-CN" w:bidi="ar"/>
        </w:rPr>
        <w:t>其他</w:t>
      </w:r>
      <w:r>
        <w:rPr>
          <w:rFonts w:hint="default" w:ascii="Times New Roman" w:hAnsi="Times New Roman" w:eastAsia="宋体" w:cs="Times New Roman"/>
          <w:color w:val="auto"/>
          <w:kern w:val="0"/>
          <w:sz w:val="22"/>
          <w:szCs w:val="22"/>
          <w:highlight w:val="none"/>
          <w:u w:val="single"/>
          <w:lang w:val="en-US" w:eastAsia="zh-CN" w:bidi="ar"/>
        </w:rPr>
        <w:t xml:space="preserve">          </w:t>
      </w:r>
      <w:r>
        <w:rPr>
          <w:rFonts w:hint="default" w:ascii="Times New Roman" w:hAnsi="Times New Roman" w:eastAsia="宋体" w:cs="Times New Roman"/>
          <w:color w:val="auto"/>
          <w:kern w:val="0"/>
          <w:sz w:val="22"/>
          <w:szCs w:val="22"/>
          <w:highlight w:val="none"/>
          <w:lang w:val="en-US" w:eastAsia="zh-CN" w:bidi="ar"/>
        </w:rPr>
        <w:t>，文明工地增加费</w:t>
      </w:r>
      <w:r>
        <w:rPr>
          <w:rFonts w:hint="default" w:ascii="Times New Roman" w:hAnsi="Times New Roman" w:eastAsia="宋体" w:cs="Times New Roman"/>
          <w:color w:val="auto"/>
          <w:kern w:val="0"/>
          <w:sz w:val="22"/>
          <w:szCs w:val="22"/>
          <w:highlight w:val="none"/>
          <w:u w:val="single"/>
          <w:lang w:val="en-US" w:eastAsia="zh-CN" w:bidi="ar"/>
        </w:rPr>
        <w:t xml:space="preserve">             </w:t>
      </w:r>
      <w:r>
        <w:rPr>
          <w:rFonts w:hint="default" w:ascii="Times New Roman" w:hAnsi="Times New Roman" w:eastAsia="宋体" w:cs="Times New Roman"/>
          <w:color w:val="auto"/>
          <w:kern w:val="0"/>
          <w:sz w:val="22"/>
          <w:szCs w:val="22"/>
          <w:highlight w:val="none"/>
          <w:lang w:val="en-US" w:eastAsia="zh-CN" w:bidi="ar"/>
        </w:rPr>
        <w:t xml:space="preserve"> %。</w:t>
      </w:r>
    </w:p>
    <w:p w14:paraId="28E0D494">
      <w:pPr>
        <w:pStyle w:val="4"/>
        <w:numPr>
          <w:ilvl w:val="0"/>
          <w:numId w:val="0"/>
        </w:numPr>
        <w:tabs>
          <w:tab w:val="left" w:pos="360"/>
          <w:tab w:val="left" w:pos="420"/>
          <w:tab w:val="left" w:pos="576"/>
        </w:tabs>
        <w:spacing w:line="420" w:lineRule="exact"/>
        <w:rPr>
          <w:rFonts w:hint="default" w:ascii="Times New Roman" w:hAnsi="Times New Roman" w:cs="Times New Roman"/>
          <w:color w:val="auto"/>
          <w:kern w:val="0"/>
          <w:sz w:val="22"/>
          <w:szCs w:val="22"/>
          <w:highlight w:val="none"/>
        </w:rPr>
      </w:pPr>
      <w:bookmarkStart w:id="454" w:name="_Toc2093091302"/>
      <w:bookmarkStart w:id="455" w:name="_Toc469384130"/>
      <w:bookmarkStart w:id="456" w:name="_Toc12721"/>
      <w:r>
        <w:rPr>
          <w:rFonts w:hint="default" w:ascii="Times New Roman" w:hAnsi="Times New Roman" w:cs="Times New Roman"/>
          <w:b/>
          <w:bCs/>
          <w:color w:val="auto"/>
          <w:sz w:val="22"/>
          <w:szCs w:val="22"/>
          <w:highlight w:val="none"/>
        </w:rPr>
        <w:t>★81. 进度款</w:t>
      </w:r>
      <w:bookmarkEnd w:id="454"/>
      <w:bookmarkEnd w:id="455"/>
      <w:bookmarkEnd w:id="456"/>
    </w:p>
    <w:p w14:paraId="7FA40E3D">
      <w:pPr>
        <w:spacing w:line="360" w:lineRule="auto"/>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81.1 约定支付期限和提交支付申请</w:t>
      </w:r>
    </w:p>
    <w:p w14:paraId="24818371">
      <w:pPr>
        <w:spacing w:line="360" w:lineRule="auto"/>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（1）支付期限</w:t>
      </w:r>
    </w:p>
    <w:p w14:paraId="6E807FDC">
      <w:pPr>
        <w:spacing w:line="360" w:lineRule="auto"/>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w:t>
      </w:r>
      <w:r>
        <w:rPr>
          <w:rFonts w:hint="default" w:ascii="Times New Roman" w:hAnsi="Times New Roman" w:cs="Times New Roman"/>
          <w:color w:val="auto"/>
          <w:kern w:val="0"/>
          <w:sz w:val="22"/>
          <w:szCs w:val="22"/>
          <w:highlight w:val="none"/>
          <w:lang w:val="en-US" w:eastAsia="zh-CN"/>
        </w:rPr>
        <w:t xml:space="preserve"> </w:t>
      </w:r>
      <w:r>
        <w:rPr>
          <w:rFonts w:hint="default" w:ascii="Times New Roman" w:hAnsi="Times New Roman" w:cs="Times New Roman"/>
          <w:color w:val="auto"/>
          <w:kern w:val="0"/>
          <w:sz w:val="22"/>
          <w:szCs w:val="22"/>
          <w:highlight w:val="none"/>
        </w:rPr>
        <w:t>以月为单位。</w:t>
      </w:r>
    </w:p>
    <w:p w14:paraId="0B28CAB1">
      <w:pPr>
        <w:spacing w:line="360" w:lineRule="auto"/>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w:t>
      </w:r>
      <w:r>
        <w:rPr>
          <w:rFonts w:hint="default" w:ascii="Times New Roman" w:hAnsi="Times New Roman" w:cs="Times New Roman"/>
          <w:color w:val="auto"/>
          <w:kern w:val="0"/>
          <w:sz w:val="22"/>
          <w:szCs w:val="22"/>
          <w:highlight w:val="none"/>
          <w:lang w:val="en-US" w:eastAsia="zh-CN"/>
        </w:rPr>
        <w:t xml:space="preserve"> </w:t>
      </w:r>
      <w:r>
        <w:rPr>
          <w:rFonts w:hint="default" w:ascii="Times New Roman" w:hAnsi="Times New Roman" w:cs="Times New Roman"/>
          <w:color w:val="auto"/>
          <w:kern w:val="0"/>
          <w:sz w:val="22"/>
          <w:szCs w:val="22"/>
          <w:highlight w:val="none"/>
        </w:rPr>
        <w:t>以季度为单位。</w:t>
      </w:r>
    </w:p>
    <w:p w14:paraId="40504D88">
      <w:pPr>
        <w:spacing w:line="360" w:lineRule="auto"/>
        <w:jc w:val="left"/>
        <w:rPr>
          <w:rFonts w:hint="default" w:ascii="Times New Roman" w:hAnsi="Times New Roman" w:cs="Times New Roman"/>
          <w:color w:val="auto"/>
          <w:sz w:val="22"/>
          <w:szCs w:val="22"/>
          <w:highlight w:val="none"/>
        </w:rPr>
      </w:pPr>
      <w:r>
        <w:rPr>
          <w:rFonts w:hint="default" w:ascii="Times New Roman" w:hAnsi="Times New Roman" w:cs="Times New Roman"/>
          <w:color w:val="auto"/>
          <w:kern w:val="0"/>
          <w:sz w:val="22"/>
          <w:szCs w:val="22"/>
          <w:highlight w:val="none"/>
        </w:rPr>
        <w:t>□</w:t>
      </w:r>
      <w:r>
        <w:rPr>
          <w:rFonts w:hint="default" w:ascii="Times New Roman" w:hAnsi="Times New Roman" w:cs="Times New Roman"/>
          <w:color w:val="auto"/>
          <w:kern w:val="0"/>
          <w:sz w:val="22"/>
          <w:szCs w:val="22"/>
          <w:highlight w:val="none"/>
          <w:lang w:val="en-US" w:eastAsia="zh-CN"/>
        </w:rPr>
        <w:t xml:space="preserve"> </w:t>
      </w:r>
      <w:r>
        <w:rPr>
          <w:rFonts w:hint="default" w:ascii="Times New Roman" w:hAnsi="Times New Roman" w:cs="Times New Roman"/>
          <w:color w:val="auto"/>
          <w:kern w:val="0"/>
          <w:sz w:val="22"/>
          <w:szCs w:val="22"/>
          <w:highlight w:val="none"/>
        </w:rPr>
        <w:t>以</w:t>
      </w:r>
      <w:r>
        <w:rPr>
          <w:rFonts w:hint="default" w:ascii="Times New Roman" w:hAnsi="Times New Roman" w:cs="Times New Roman"/>
          <w:color w:val="auto"/>
          <w:kern w:val="0"/>
          <w:sz w:val="22"/>
          <w:szCs w:val="22"/>
          <w:highlight w:val="none"/>
          <w:lang w:eastAsia="zh-CN"/>
        </w:rPr>
        <w:t>形象</w:t>
      </w:r>
      <w:r>
        <w:rPr>
          <w:rFonts w:hint="default" w:ascii="Times New Roman" w:hAnsi="Times New Roman" w:cs="Times New Roman"/>
          <w:color w:val="auto"/>
          <w:kern w:val="0"/>
          <w:sz w:val="22"/>
          <w:szCs w:val="22"/>
          <w:highlight w:val="none"/>
        </w:rPr>
        <w:t>进度为准，具体为：</w:t>
      </w:r>
    </w:p>
    <w:p w14:paraId="5B48EAF7">
      <w:pPr>
        <w:spacing w:line="360" w:lineRule="auto"/>
        <w:jc w:val="left"/>
        <w:rPr>
          <w:rFonts w:hint="default" w:ascii="Times New Roman" w:hAnsi="Times New Roman" w:eastAsia="宋体" w:cs="Times New Roman"/>
          <w:color w:val="auto"/>
          <w:kern w:val="0"/>
          <w:sz w:val="22"/>
          <w:szCs w:val="22"/>
          <w:highlight w:val="none"/>
          <w:u w:val="single"/>
          <w:lang w:val="en-US" w:eastAsia="zh-CN" w:bidi="ar"/>
        </w:rPr>
      </w:pPr>
      <w:r>
        <w:rPr>
          <w:rFonts w:hint="default" w:ascii="Times New Roman" w:hAnsi="Times New Roman" w:eastAsia="宋体" w:cs="Times New Roman"/>
          <w:color w:val="auto"/>
          <w:kern w:val="0"/>
          <w:sz w:val="22"/>
          <w:szCs w:val="22"/>
          <w:highlight w:val="none"/>
          <w:u w:val="single"/>
          <w:lang w:val="en-US" w:eastAsia="zh-CN" w:bidi="ar"/>
        </w:rPr>
        <w:t>（1）承包人接发包人通知申请工程款（进度款）支付时，承包人的工程量报表和计量支付证书经现场监理工程师确认后，</w:t>
      </w:r>
      <w:r>
        <w:rPr>
          <w:rFonts w:hint="default" w:ascii="Times New Roman" w:hAnsi="Times New Roman" w:cs="Times New Roman"/>
          <w:color w:val="auto"/>
          <w:kern w:val="0"/>
          <w:sz w:val="22"/>
          <w:szCs w:val="22"/>
          <w:highlight w:val="none"/>
          <w:u w:val="single"/>
          <w:lang w:val="en-US" w:eastAsia="zh-CN" w:bidi="ar"/>
        </w:rPr>
        <w:t>应扣留该期完成工程量的20% 作为预留金，</w:t>
      </w:r>
      <w:r>
        <w:rPr>
          <w:rFonts w:hint="default" w:ascii="Times New Roman" w:hAnsi="Times New Roman" w:eastAsia="宋体" w:cs="Times New Roman"/>
          <w:color w:val="auto"/>
          <w:kern w:val="0"/>
          <w:sz w:val="22"/>
          <w:szCs w:val="22"/>
          <w:highlight w:val="none"/>
          <w:u w:val="single"/>
          <w:lang w:val="en-US" w:eastAsia="zh-CN" w:bidi="ar"/>
        </w:rPr>
        <w:t>在扣除相应款项后支付当期进度款。</w:t>
      </w:r>
      <w:r>
        <w:rPr>
          <w:rFonts w:hint="eastAsia" w:ascii="Times New Roman" w:hAnsi="Times New Roman" w:eastAsia="宋体" w:cs="Times New Roman"/>
          <w:color w:val="auto"/>
          <w:kern w:val="0"/>
          <w:sz w:val="22"/>
          <w:szCs w:val="22"/>
          <w:highlight w:val="none"/>
          <w:u w:val="single"/>
          <w:lang w:val="en-US" w:eastAsia="zh-CN" w:bidi="ar"/>
        </w:rPr>
        <w:t>工程竣工验收合格后，经概（预）算审核的，发包人累计支付金额不超过概（预）算审核价的70％；未经概（预）算审核的，发包人累计支付金额不超过合同价的60％。</w:t>
      </w:r>
    </w:p>
    <w:p w14:paraId="71E81684">
      <w:pPr>
        <w:spacing w:line="360" w:lineRule="auto"/>
        <w:jc w:val="left"/>
        <w:rPr>
          <w:rFonts w:hint="default" w:ascii="Times New Roman" w:hAnsi="Times New Roman" w:cs="Times New Roman"/>
          <w:color w:val="auto"/>
          <w:kern w:val="0"/>
          <w:sz w:val="22"/>
          <w:szCs w:val="22"/>
          <w:highlight w:val="none"/>
          <w:u w:val="single"/>
        </w:rPr>
      </w:pPr>
      <w:r>
        <w:rPr>
          <w:rFonts w:hint="default" w:ascii="Times New Roman" w:hAnsi="Times New Roman" w:eastAsia="宋体" w:cs="Times New Roman"/>
          <w:color w:val="auto"/>
          <w:kern w:val="0"/>
          <w:sz w:val="22"/>
          <w:szCs w:val="22"/>
          <w:highlight w:val="none"/>
          <w:u w:val="single"/>
          <w:lang w:val="en-US" w:eastAsia="zh-CN" w:bidi="ar"/>
        </w:rPr>
        <w:t>（2）结算经相关财政部门审定</w:t>
      </w:r>
      <w:r>
        <w:rPr>
          <w:rFonts w:hint="eastAsia" w:ascii="Times New Roman" w:hAnsi="Times New Roman" w:eastAsia="宋体" w:cs="Times New Roman"/>
          <w:color w:val="auto"/>
          <w:kern w:val="0"/>
          <w:sz w:val="22"/>
          <w:szCs w:val="22"/>
          <w:highlight w:val="none"/>
          <w:u w:val="single"/>
          <w:lang w:val="en-US" w:eastAsia="zh-CN" w:bidi="ar"/>
        </w:rPr>
        <w:t>，并完成项目档案归集移交工作后，可</w:t>
      </w:r>
      <w:r>
        <w:rPr>
          <w:rFonts w:hint="default" w:ascii="Times New Roman" w:hAnsi="Times New Roman" w:eastAsia="宋体" w:cs="Times New Roman"/>
          <w:color w:val="auto"/>
          <w:kern w:val="0"/>
          <w:sz w:val="22"/>
          <w:szCs w:val="22"/>
          <w:highlight w:val="none"/>
          <w:u w:val="single"/>
          <w:lang w:val="en-US" w:eastAsia="zh-CN" w:bidi="ar"/>
        </w:rPr>
        <w:t>支</w:t>
      </w:r>
      <w:r>
        <w:rPr>
          <w:rFonts w:hint="default" w:ascii="Times New Roman" w:hAnsi="Times New Roman" w:cs="Times New Roman"/>
          <w:color w:val="auto"/>
          <w:kern w:val="0"/>
          <w:sz w:val="22"/>
          <w:szCs w:val="22"/>
          <w:highlight w:val="none"/>
          <w:u w:val="single"/>
        </w:rPr>
        <w:t>付至结算价的97％，余款3％待保修期满后15天内返还给乙方（无息）。</w:t>
      </w:r>
    </w:p>
    <w:p w14:paraId="275A8CE0">
      <w:pPr>
        <w:spacing w:line="360" w:lineRule="auto"/>
        <w:rPr>
          <w:rFonts w:hint="default" w:ascii="Times New Roman" w:hAnsi="Times New Roman" w:cs="Times New Roman"/>
          <w:b w:val="0"/>
          <w:bCs w:val="0"/>
          <w:color w:val="auto"/>
          <w:kern w:val="0"/>
          <w:sz w:val="22"/>
          <w:szCs w:val="22"/>
          <w:highlight w:val="none"/>
          <w:u w:val="single"/>
        </w:rPr>
      </w:pPr>
      <w:r>
        <w:rPr>
          <w:rFonts w:hint="default" w:ascii="Times New Roman" w:hAnsi="Times New Roman" w:cs="Times New Roman"/>
          <w:b w:val="0"/>
          <w:bCs w:val="0"/>
          <w:color w:val="auto"/>
          <w:kern w:val="0"/>
          <w:sz w:val="22"/>
          <w:szCs w:val="22"/>
          <w:highlight w:val="none"/>
          <w:lang w:eastAsia="zh-CN"/>
        </w:rPr>
        <w:t>（</w:t>
      </w:r>
      <w:r>
        <w:rPr>
          <w:rFonts w:hint="default" w:ascii="Times New Roman" w:hAnsi="Times New Roman" w:cs="Times New Roman"/>
          <w:b w:val="0"/>
          <w:bCs w:val="0"/>
          <w:color w:val="auto"/>
          <w:kern w:val="0"/>
          <w:sz w:val="22"/>
          <w:szCs w:val="22"/>
          <w:highlight w:val="none"/>
          <w:lang w:val="en-US" w:eastAsia="zh-CN"/>
        </w:rPr>
        <w:t>3</w:t>
      </w:r>
      <w:r>
        <w:rPr>
          <w:rFonts w:hint="default" w:ascii="Times New Roman" w:hAnsi="Times New Roman" w:cs="Times New Roman"/>
          <w:b w:val="0"/>
          <w:bCs w:val="0"/>
          <w:color w:val="auto"/>
          <w:kern w:val="0"/>
          <w:sz w:val="22"/>
          <w:szCs w:val="22"/>
          <w:highlight w:val="none"/>
          <w:lang w:eastAsia="zh-CN"/>
        </w:rPr>
        <w:t>）发包方在收到承包方提交的完整请款文件（请款报告、支付依据等）后15天内向上申报支付相应阶段的费用。发包方因自身原因迟延向承包方支付鉴定服务费的，以未付的款项为本金按合同订立时1年期贷款市场报价利率向承包方支付违约金，违约金最高不超过未付款项的</w:t>
      </w:r>
      <w:r>
        <w:rPr>
          <w:rFonts w:hint="default" w:ascii="Times New Roman" w:hAnsi="Times New Roman" w:cs="Times New Roman"/>
          <w:b w:val="0"/>
          <w:bCs w:val="0"/>
          <w:color w:val="auto"/>
          <w:kern w:val="0"/>
          <w:sz w:val="22"/>
          <w:szCs w:val="22"/>
          <w:highlight w:val="none"/>
          <w:u w:val="single"/>
          <w:lang w:val="en-US" w:eastAsia="zh-CN"/>
        </w:rPr>
        <w:t xml:space="preserve">     </w:t>
      </w:r>
      <w:r>
        <w:rPr>
          <w:rFonts w:hint="default" w:ascii="Times New Roman" w:hAnsi="Times New Roman" w:cs="Times New Roman"/>
          <w:b w:val="0"/>
          <w:bCs w:val="0"/>
          <w:color w:val="auto"/>
          <w:kern w:val="0"/>
          <w:sz w:val="22"/>
          <w:szCs w:val="22"/>
          <w:highlight w:val="none"/>
          <w:lang w:eastAsia="zh-CN"/>
        </w:rPr>
        <w:t>%。</w:t>
      </w:r>
      <w:r>
        <w:rPr>
          <w:rFonts w:hint="default" w:ascii="Times New Roman" w:hAnsi="Times New Roman" w:cs="Times New Roman"/>
          <w:b w:val="0"/>
          <w:bCs w:val="0"/>
          <w:color w:val="auto"/>
          <w:kern w:val="0"/>
          <w:sz w:val="22"/>
          <w:szCs w:val="22"/>
          <w:highlight w:val="none"/>
        </w:rPr>
        <w:t>本项目为财政资金，均须遵守财政国库集中支付制度，在发包人完成各项支付手续报财政审批时，财政部门审批导致支付时间延长的，不属发包人违约，承包人不得要求发包人支付违约金，不得要求发包人赔偿或补偿。</w:t>
      </w:r>
    </w:p>
    <w:p w14:paraId="0116BB4A">
      <w:pPr>
        <w:keepNext w:val="0"/>
        <w:keepLines w:val="0"/>
        <w:widowControl w:val="0"/>
        <w:suppressLineNumbers w:val="0"/>
        <w:spacing w:before="0" w:beforeAutospacing="0" w:after="0" w:afterAutospacing="0" w:line="420" w:lineRule="exact"/>
        <w:ind w:left="0" w:right="0" w:firstLine="220" w:firstLineChars="100"/>
        <w:jc w:val="both"/>
        <w:rPr>
          <w:rFonts w:hint="default" w:ascii="Times New Roman" w:hAnsi="Times New Roman" w:eastAsia="宋体" w:cs="Times New Roman"/>
          <w:color w:val="auto"/>
          <w:kern w:val="0"/>
          <w:sz w:val="22"/>
          <w:szCs w:val="22"/>
          <w:highlight w:val="none"/>
          <w:lang w:val="en-US"/>
        </w:rPr>
      </w:pPr>
      <w:r>
        <w:rPr>
          <w:rFonts w:hint="default" w:ascii="Times New Roman" w:hAnsi="Times New Roman" w:eastAsia="宋体" w:cs="Times New Roman"/>
          <w:color w:val="auto"/>
          <w:kern w:val="0"/>
          <w:sz w:val="22"/>
          <w:szCs w:val="22"/>
          <w:highlight w:val="none"/>
          <w:lang w:val="en-US" w:eastAsia="zh-CN" w:bidi="ar"/>
        </w:rPr>
        <w:t>□ 实施施工过程结算方式，具体为：</w:t>
      </w:r>
      <w:r>
        <w:rPr>
          <w:rFonts w:hint="default" w:ascii="Times New Roman" w:hAnsi="Times New Roman" w:eastAsia="宋体" w:cs="Times New Roman"/>
          <w:color w:val="auto"/>
          <w:kern w:val="0"/>
          <w:sz w:val="22"/>
          <w:szCs w:val="22"/>
          <w:highlight w:val="none"/>
          <w:u w:val="single"/>
          <w:lang w:val="en-US" w:eastAsia="zh-CN" w:bidi="ar"/>
        </w:rPr>
        <w:t xml:space="preserve">                                                                      </w:t>
      </w:r>
    </w:p>
    <w:p w14:paraId="6B09447D">
      <w:pPr>
        <w:keepNext w:val="0"/>
        <w:keepLines w:val="0"/>
        <w:widowControl w:val="0"/>
        <w:suppressLineNumbers w:val="0"/>
        <w:spacing w:before="0" w:beforeAutospacing="0" w:after="0" w:afterAutospacing="0" w:line="420" w:lineRule="exact"/>
        <w:ind w:left="0" w:right="0" w:firstLine="220" w:firstLineChars="100"/>
        <w:jc w:val="both"/>
        <w:rPr>
          <w:rFonts w:hint="default" w:ascii="Times New Roman" w:hAnsi="Times New Roman" w:eastAsia="宋体" w:cs="Times New Roman"/>
          <w:color w:val="auto"/>
          <w:kern w:val="0"/>
          <w:sz w:val="22"/>
          <w:szCs w:val="22"/>
          <w:highlight w:val="none"/>
          <w:u w:val="single"/>
          <w:lang w:val="en-US"/>
        </w:rPr>
      </w:pPr>
      <w:r>
        <w:rPr>
          <w:rFonts w:hint="default" w:ascii="Times New Roman" w:hAnsi="Times New Roman" w:eastAsia="宋体" w:cs="Times New Roman"/>
          <w:color w:val="auto"/>
          <w:kern w:val="0"/>
          <w:sz w:val="22"/>
          <w:szCs w:val="22"/>
          <w:highlight w:val="none"/>
          <w:lang w:val="en-US" w:eastAsia="zh-CN" w:bidi="ar"/>
        </w:rPr>
        <w:t xml:space="preserve">□ </w:t>
      </w:r>
      <w:r>
        <w:rPr>
          <w:rFonts w:hint="default" w:ascii="Times New Roman" w:hAnsi="Times New Roman" w:cs="Times New Roman"/>
          <w:color w:val="auto"/>
          <w:kern w:val="0"/>
          <w:sz w:val="22"/>
          <w:szCs w:val="22"/>
          <w:highlight w:val="none"/>
          <w:lang w:val="en-US" w:eastAsia="zh-CN" w:bidi="ar"/>
        </w:rPr>
        <w:t>其他</w:t>
      </w:r>
      <w:r>
        <w:rPr>
          <w:rFonts w:hint="default" w:ascii="Times New Roman" w:hAnsi="Times New Roman" w:eastAsia="宋体" w:cs="Times New Roman"/>
          <w:color w:val="auto"/>
          <w:kern w:val="0"/>
          <w:sz w:val="22"/>
          <w:szCs w:val="22"/>
          <w:highlight w:val="none"/>
          <w:lang w:val="en-US" w:eastAsia="zh-CN" w:bidi="ar"/>
        </w:rPr>
        <w:t>方式：</w:t>
      </w:r>
      <w:r>
        <w:rPr>
          <w:rFonts w:hint="default" w:ascii="Times New Roman" w:hAnsi="Times New Roman" w:eastAsia="宋体" w:cs="Times New Roman"/>
          <w:color w:val="auto"/>
          <w:kern w:val="0"/>
          <w:sz w:val="22"/>
          <w:szCs w:val="22"/>
          <w:highlight w:val="none"/>
          <w:u w:val="single"/>
          <w:lang w:val="en-US" w:eastAsia="zh-CN" w:bidi="ar"/>
        </w:rPr>
        <w:t xml:space="preserve">                                                                      </w:t>
      </w:r>
    </w:p>
    <w:p w14:paraId="14E03B52">
      <w:pPr>
        <w:spacing w:line="360" w:lineRule="auto"/>
        <w:ind w:firstLine="440" w:firstLineChars="200"/>
        <w:rPr>
          <w:rFonts w:hint="default" w:ascii="Times New Roman" w:hAnsi="Times New Roman" w:cs="Times New Roman"/>
          <w:color w:val="auto"/>
          <w:kern w:val="0"/>
          <w:sz w:val="22"/>
          <w:szCs w:val="22"/>
          <w:highlight w:val="none"/>
          <w:u w:val="single"/>
        </w:rPr>
      </w:pPr>
    </w:p>
    <w:p w14:paraId="6B209BB7">
      <w:pPr>
        <w:spacing w:line="360" w:lineRule="auto"/>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81.1 （1）本期间应支付或扣留（回）的其他款项：</w:t>
      </w:r>
    </w:p>
    <w:p w14:paraId="78EFE05E">
      <w:pPr>
        <w:spacing w:line="360" w:lineRule="auto"/>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（2）政府资金投资工程的支付期、支付办法</w:t>
      </w:r>
    </w:p>
    <w:p w14:paraId="5D89AEC0">
      <w:pPr>
        <w:spacing w:line="360" w:lineRule="auto"/>
        <w:rPr>
          <w:rFonts w:hint="default" w:ascii="Times New Roman" w:hAnsi="Times New Roman" w:cs="Times New Roman"/>
          <w:color w:val="auto"/>
          <w:sz w:val="22"/>
          <w:szCs w:val="22"/>
          <w:highlight w:val="none"/>
        </w:rPr>
      </w:pPr>
      <w:r>
        <w:rPr>
          <w:rFonts w:hint="default" w:ascii="Times New Roman" w:hAnsi="Times New Roman" w:cs="Times New Roman"/>
          <w:color w:val="auto"/>
          <w:kern w:val="0"/>
          <w:sz w:val="22"/>
          <w:szCs w:val="22"/>
          <w:highlight w:val="none"/>
        </w:rPr>
        <w:t>□</w:t>
      </w:r>
      <w:r>
        <w:rPr>
          <w:rFonts w:hint="default" w:ascii="Times New Roman" w:hAnsi="Times New Roman" w:cs="Times New Roman"/>
          <w:color w:val="auto"/>
          <w:kern w:val="0"/>
          <w:sz w:val="22"/>
          <w:szCs w:val="22"/>
          <w:highlight w:val="none"/>
          <w:lang w:val="en-US" w:eastAsia="zh-CN"/>
        </w:rPr>
        <w:t xml:space="preserve"> </w:t>
      </w:r>
      <w:r>
        <w:rPr>
          <w:rFonts w:hint="default" w:ascii="Times New Roman" w:hAnsi="Times New Roman" w:cs="Times New Roman"/>
          <w:color w:val="auto"/>
          <w:kern w:val="0"/>
          <w:sz w:val="22"/>
          <w:szCs w:val="22"/>
          <w:highlight w:val="none"/>
        </w:rPr>
        <w:t>按通用条款的规定。</w:t>
      </w:r>
    </w:p>
    <w:p w14:paraId="0902C3AA">
      <w:pPr>
        <w:spacing w:line="360" w:lineRule="auto"/>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lang w:eastAsia="zh-CN"/>
        </w:rPr>
        <w:t>☑</w:t>
      </w:r>
      <w:r>
        <w:rPr>
          <w:rFonts w:hint="default" w:ascii="Times New Roman" w:hAnsi="Times New Roman" w:cs="Times New Roman"/>
          <w:color w:val="auto"/>
          <w:kern w:val="0"/>
          <w:sz w:val="22"/>
          <w:szCs w:val="22"/>
          <w:highlight w:val="none"/>
          <w:lang w:val="en-US" w:eastAsia="zh-CN"/>
        </w:rPr>
        <w:t xml:space="preserve"> </w:t>
      </w:r>
      <w:r>
        <w:rPr>
          <w:rFonts w:hint="default" w:ascii="Times New Roman" w:hAnsi="Times New Roman" w:cs="Times New Roman"/>
          <w:color w:val="auto"/>
          <w:kern w:val="0"/>
          <w:sz w:val="22"/>
          <w:szCs w:val="22"/>
          <w:highlight w:val="none"/>
        </w:rPr>
        <w:t>另作约定：</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4"/>
          <w:highlight w:val="none"/>
          <w:u w:val="single"/>
        </w:rPr>
        <w:t>本项目为财政资金，均须遵守财政国库集中支付制度，在发包人完成各项支付手续报财政审批时，财政部门审批导致支付时间延长的，不属发包人违约，承包人不得要求发包人支付违约金，不得要求发包人赔偿或补偿。</w:t>
      </w:r>
      <w:r>
        <w:rPr>
          <w:rFonts w:hint="default" w:ascii="Times New Roman" w:hAnsi="Times New Roman" w:cs="Times New Roman"/>
          <w:color w:val="auto"/>
          <w:kern w:val="0"/>
          <w:sz w:val="22"/>
          <w:szCs w:val="22"/>
          <w:highlight w:val="none"/>
          <w:u w:val="single"/>
        </w:rPr>
        <w:t xml:space="preserve"> </w:t>
      </w:r>
    </w:p>
    <w:p w14:paraId="2226A000">
      <w:pPr>
        <w:spacing w:line="360" w:lineRule="auto"/>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81.2 期中支付的最低限额为</w:t>
      </w:r>
      <w:r>
        <w:rPr>
          <w:rFonts w:hint="default" w:ascii="Times New Roman" w:hAnsi="Times New Roman" w:cs="Times New Roman"/>
          <w:color w:val="auto"/>
          <w:kern w:val="0"/>
          <w:sz w:val="22"/>
          <w:szCs w:val="22"/>
          <w:highlight w:val="none"/>
          <w:u w:val="single"/>
        </w:rPr>
        <w:t xml:space="preserve">        /       </w:t>
      </w:r>
      <w:r>
        <w:rPr>
          <w:rFonts w:hint="default" w:ascii="Times New Roman" w:hAnsi="Times New Roman" w:cs="Times New Roman"/>
          <w:color w:val="auto"/>
          <w:kern w:val="0"/>
          <w:sz w:val="22"/>
          <w:szCs w:val="22"/>
          <w:highlight w:val="none"/>
        </w:rPr>
        <w:t>元。</w:t>
      </w:r>
    </w:p>
    <w:p w14:paraId="706242F4">
      <w:pPr>
        <w:pStyle w:val="4"/>
        <w:numPr>
          <w:ilvl w:val="0"/>
          <w:numId w:val="0"/>
        </w:numPr>
        <w:tabs>
          <w:tab w:val="left" w:pos="360"/>
          <w:tab w:val="left" w:pos="420"/>
          <w:tab w:val="left" w:pos="576"/>
        </w:tabs>
        <w:spacing w:line="420" w:lineRule="exact"/>
        <w:rPr>
          <w:rFonts w:hint="default" w:ascii="Times New Roman" w:hAnsi="Times New Roman" w:cs="Times New Roman"/>
          <w:b/>
          <w:bCs/>
          <w:color w:val="auto"/>
          <w:sz w:val="22"/>
          <w:szCs w:val="22"/>
          <w:highlight w:val="none"/>
        </w:rPr>
      </w:pPr>
      <w:bookmarkStart w:id="457" w:name="_Toc4720"/>
      <w:bookmarkStart w:id="458" w:name="_Toc1529940559"/>
      <w:bookmarkStart w:id="459" w:name="_Toc469384131"/>
      <w:r>
        <w:rPr>
          <w:rFonts w:hint="default" w:ascii="Times New Roman" w:hAnsi="Times New Roman" w:cs="Times New Roman"/>
          <w:b/>
          <w:bCs/>
          <w:color w:val="auto"/>
          <w:sz w:val="22"/>
          <w:szCs w:val="22"/>
          <w:highlight w:val="none"/>
        </w:rPr>
        <w:t>82. 竣工结算</w:t>
      </w:r>
      <w:bookmarkEnd w:id="457"/>
      <w:bookmarkEnd w:id="458"/>
      <w:bookmarkEnd w:id="459"/>
    </w:p>
    <w:p w14:paraId="73E3DCD8">
      <w:pPr>
        <w:spacing w:line="420" w:lineRule="exact"/>
        <w:rPr>
          <w:rFonts w:hint="default" w:ascii="Times New Roman" w:hAnsi="Times New Roman" w:cs="Times New Roman"/>
          <w:color w:val="auto"/>
          <w:kern w:val="0"/>
          <w:sz w:val="22"/>
          <w:szCs w:val="22"/>
          <w:highlight w:val="none"/>
        </w:rPr>
      </w:pPr>
    </w:p>
    <w:p w14:paraId="47CBF444">
      <w:pPr>
        <w:spacing w:line="360" w:lineRule="auto"/>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82.1 竣工结算的程序和时限：</w:t>
      </w:r>
    </w:p>
    <w:p w14:paraId="6002D2CB">
      <w:pPr>
        <w:spacing w:line="360" w:lineRule="auto"/>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w:t>
      </w:r>
      <w:r>
        <w:rPr>
          <w:rFonts w:hint="default" w:ascii="Times New Roman" w:hAnsi="Times New Roman" w:cs="Times New Roman"/>
          <w:color w:val="auto"/>
          <w:kern w:val="0"/>
          <w:sz w:val="22"/>
          <w:szCs w:val="22"/>
          <w:highlight w:val="none"/>
          <w:lang w:val="en-US" w:eastAsia="zh-CN"/>
        </w:rPr>
        <w:t xml:space="preserve"> </w:t>
      </w:r>
      <w:r>
        <w:rPr>
          <w:rFonts w:hint="default" w:ascii="Times New Roman" w:hAnsi="Times New Roman" w:cs="Times New Roman"/>
          <w:color w:val="auto"/>
          <w:kern w:val="0"/>
          <w:sz w:val="22"/>
          <w:szCs w:val="22"/>
          <w:highlight w:val="none"/>
        </w:rPr>
        <w:t>按通用条款的规定办理。</w:t>
      </w:r>
    </w:p>
    <w:p w14:paraId="352B98B7">
      <w:pPr>
        <w:spacing w:line="360" w:lineRule="auto"/>
        <w:rPr>
          <w:rFonts w:hint="default" w:ascii="Times New Roman" w:hAnsi="Times New Roman" w:cs="Times New Roman"/>
          <w:color w:val="auto"/>
          <w:kern w:val="0"/>
          <w:sz w:val="22"/>
          <w:szCs w:val="22"/>
          <w:highlight w:val="none"/>
          <w:u w:val="single"/>
        </w:rPr>
      </w:pPr>
      <w:r>
        <w:rPr>
          <w:rFonts w:hint="default" w:ascii="Times New Roman" w:hAnsi="Times New Roman" w:cs="Times New Roman"/>
          <w:color w:val="auto"/>
          <w:kern w:val="0"/>
          <w:sz w:val="22"/>
          <w:szCs w:val="22"/>
          <w:highlight w:val="none"/>
          <w:lang w:eastAsia="zh-CN"/>
        </w:rPr>
        <w:t>☑</w:t>
      </w:r>
      <w:r>
        <w:rPr>
          <w:rFonts w:hint="default" w:ascii="Times New Roman" w:hAnsi="Times New Roman" w:cs="Times New Roman"/>
          <w:color w:val="auto"/>
          <w:kern w:val="0"/>
          <w:sz w:val="22"/>
          <w:szCs w:val="22"/>
          <w:highlight w:val="none"/>
          <w:lang w:val="en-US" w:eastAsia="zh-CN"/>
        </w:rPr>
        <w:t xml:space="preserve"> </w:t>
      </w:r>
      <w:r>
        <w:rPr>
          <w:rFonts w:hint="default" w:ascii="Times New Roman" w:hAnsi="Times New Roman" w:cs="Times New Roman"/>
          <w:color w:val="auto"/>
          <w:kern w:val="0"/>
          <w:sz w:val="22"/>
          <w:szCs w:val="22"/>
          <w:highlight w:val="none"/>
        </w:rPr>
        <w:t>另作约定：</w:t>
      </w:r>
      <w:r>
        <w:rPr>
          <w:rFonts w:hint="default" w:ascii="Times New Roman" w:hAnsi="Times New Roman" w:cs="Times New Roman"/>
          <w:color w:val="auto"/>
          <w:kern w:val="0"/>
          <w:sz w:val="22"/>
          <w:szCs w:val="22"/>
          <w:highlight w:val="none"/>
          <w:u w:val="single"/>
        </w:rPr>
        <w:t>承包人应在竣工验收后45天内向发包人提交工程结算书。</w:t>
      </w:r>
    </w:p>
    <w:p w14:paraId="13C367A0">
      <w:pPr>
        <w:keepNext w:val="0"/>
        <w:keepLines w:val="0"/>
        <w:widowControl w:val="0"/>
        <w:suppressLineNumbers w:val="0"/>
        <w:spacing w:before="0" w:beforeAutospacing="0" w:after="0" w:afterAutospacing="0" w:line="420" w:lineRule="exact"/>
        <w:ind w:left="0" w:right="0" w:firstLine="129" w:firstLineChars="59"/>
        <w:jc w:val="both"/>
        <w:rPr>
          <w:rFonts w:hint="default" w:ascii="Times New Roman" w:hAnsi="Times New Roman" w:eastAsia="宋体" w:cs="Times New Roman"/>
          <w:color w:val="auto"/>
          <w:kern w:val="0"/>
          <w:sz w:val="22"/>
          <w:szCs w:val="22"/>
          <w:highlight w:val="none"/>
          <w:lang w:val="en-US"/>
        </w:rPr>
      </w:pPr>
      <w:r>
        <w:rPr>
          <w:rFonts w:hint="default" w:ascii="Times New Roman" w:hAnsi="Times New Roman" w:eastAsia="宋体" w:cs="Times New Roman"/>
          <w:color w:val="auto"/>
          <w:kern w:val="2"/>
          <w:sz w:val="22"/>
          <w:szCs w:val="22"/>
          <w:highlight w:val="none"/>
          <w:lang w:val="en-US" w:eastAsia="zh-CN" w:bidi="ar"/>
        </w:rPr>
        <w:t>施工过程结算约定：</w:t>
      </w:r>
    </w:p>
    <w:p w14:paraId="0C98D53B">
      <w:pPr>
        <w:keepNext w:val="0"/>
        <w:keepLines w:val="0"/>
        <w:widowControl w:val="0"/>
        <w:suppressLineNumbers w:val="0"/>
        <w:spacing w:before="0" w:beforeAutospacing="0" w:after="0" w:afterAutospacing="0" w:line="420" w:lineRule="exact"/>
        <w:ind w:left="0" w:right="0" w:firstLine="220" w:firstLineChars="100"/>
        <w:jc w:val="both"/>
        <w:rPr>
          <w:rFonts w:hint="default" w:ascii="Times New Roman" w:hAnsi="Times New Roman" w:cs="Times New Roman"/>
          <w:color w:val="auto"/>
          <w:kern w:val="0"/>
          <w:sz w:val="22"/>
          <w:szCs w:val="22"/>
          <w:highlight w:val="none"/>
          <w:u w:val="single"/>
          <w:lang w:val="en-US" w:eastAsia="zh-CN" w:bidi="ar"/>
        </w:rPr>
      </w:pPr>
      <w:r>
        <w:rPr>
          <w:rFonts w:hint="default" w:ascii="Times New Roman" w:hAnsi="Times New Roman" w:eastAsia="宋体" w:cs="Times New Roman"/>
          <w:color w:val="auto"/>
          <w:kern w:val="2"/>
          <w:sz w:val="22"/>
          <w:szCs w:val="22"/>
          <w:highlight w:val="none"/>
          <w:lang w:val="en-US" w:eastAsia="zh-CN" w:bidi="ar"/>
        </w:rPr>
        <w:t>1、施工过程结算的程序</w:t>
      </w:r>
      <w:r>
        <w:rPr>
          <w:rFonts w:hint="default" w:ascii="Times New Roman" w:hAnsi="Times New Roman" w:eastAsia="宋体" w:cs="Times New Roman"/>
          <w:color w:val="auto"/>
          <w:kern w:val="0"/>
          <w:sz w:val="22"/>
          <w:szCs w:val="22"/>
          <w:highlight w:val="none"/>
          <w:lang w:val="en-US" w:eastAsia="zh-CN" w:bidi="ar"/>
        </w:rPr>
        <w:t>：</w:t>
      </w:r>
      <w:r>
        <w:rPr>
          <w:rFonts w:hint="default" w:ascii="Times New Roman" w:hAnsi="Times New Roman" w:eastAsia="宋体" w:cs="Times New Roman"/>
          <w:color w:val="auto"/>
          <w:kern w:val="0"/>
          <w:sz w:val="22"/>
          <w:szCs w:val="22"/>
          <w:highlight w:val="none"/>
          <w:u w:val="single"/>
          <w:lang w:val="en-US" w:eastAsia="zh-CN" w:bidi="ar"/>
        </w:rPr>
        <w:t xml:space="preserve"> </w:t>
      </w:r>
      <w:r>
        <w:rPr>
          <w:rFonts w:hint="default" w:ascii="Times New Roman" w:hAnsi="Times New Roman" w:eastAsia="宋体" w:cs="Times New Roman"/>
          <w:color w:val="auto"/>
          <w:kern w:val="2"/>
          <w:sz w:val="22"/>
          <w:szCs w:val="22"/>
          <w:highlight w:val="none"/>
          <w:u w:val="single"/>
          <w:lang w:val="en-US" w:eastAsia="zh-CN" w:bidi="ar"/>
        </w:rPr>
        <w:t xml:space="preserve">根据《关于完善建设工程价款结算有关办法的通知》 （财建〔2022〕183号）的精神，鼓励发承包双方当年开工、当年不能竣工的项目可以推行过程结算；具体程序按《建设工程价款结算暂行办法》（财建〔2004〕369号）相关规定执行。                                      </w:t>
      </w:r>
      <w:r>
        <w:rPr>
          <w:rFonts w:hint="default" w:ascii="Times New Roman" w:hAnsi="Times New Roman" w:cs="Times New Roman"/>
          <w:color w:val="auto"/>
          <w:kern w:val="0"/>
          <w:sz w:val="22"/>
          <w:szCs w:val="22"/>
          <w:highlight w:val="none"/>
          <w:u w:val="single"/>
          <w:lang w:val="en-US" w:eastAsia="zh-CN" w:bidi="ar"/>
        </w:rPr>
        <w:t xml:space="preserve">                        </w:t>
      </w:r>
    </w:p>
    <w:p w14:paraId="445AACE1">
      <w:pPr>
        <w:keepNext w:val="0"/>
        <w:keepLines w:val="0"/>
        <w:widowControl w:val="0"/>
        <w:suppressLineNumbers w:val="0"/>
        <w:spacing w:before="0" w:beforeAutospacing="0" w:after="0" w:afterAutospacing="0" w:line="420" w:lineRule="exact"/>
        <w:ind w:left="0" w:right="0" w:firstLine="220" w:firstLineChars="100"/>
        <w:jc w:val="both"/>
        <w:rPr>
          <w:rFonts w:hint="default" w:ascii="Times New Roman" w:hAnsi="Times New Roman" w:cs="Times New Roman"/>
          <w:color w:val="auto"/>
          <w:kern w:val="0"/>
          <w:sz w:val="22"/>
          <w:szCs w:val="22"/>
          <w:highlight w:val="none"/>
          <w:u w:val="single"/>
          <w:lang w:val="en-US" w:eastAsia="zh-CN" w:bidi="ar"/>
        </w:rPr>
      </w:pPr>
      <w:r>
        <w:rPr>
          <w:rFonts w:hint="default" w:ascii="Times New Roman" w:hAnsi="Times New Roman" w:cs="Times New Roman"/>
          <w:color w:val="auto"/>
          <w:kern w:val="0"/>
          <w:sz w:val="22"/>
          <w:szCs w:val="22"/>
          <w:highlight w:val="none"/>
          <w:u w:val="single"/>
          <w:lang w:val="en-US" w:eastAsia="zh-CN" w:bidi="ar"/>
        </w:rPr>
        <w:t>2、施工过程结算节点：</w:t>
      </w:r>
    </w:p>
    <w:p w14:paraId="796CB3B1">
      <w:pPr>
        <w:keepNext w:val="0"/>
        <w:keepLines w:val="0"/>
        <w:widowControl w:val="0"/>
        <w:suppressLineNumbers w:val="0"/>
        <w:spacing w:before="0" w:beforeAutospacing="0" w:after="0" w:afterAutospacing="0" w:line="420" w:lineRule="exact"/>
        <w:ind w:left="0" w:right="0" w:firstLine="220" w:firstLineChars="100"/>
        <w:jc w:val="both"/>
        <w:rPr>
          <w:rFonts w:hint="default" w:ascii="Times New Roman" w:hAnsi="Times New Roman" w:eastAsia="宋体" w:cs="Times New Roman"/>
          <w:color w:val="auto"/>
          <w:sz w:val="22"/>
          <w:szCs w:val="22"/>
          <w:highlight w:val="none"/>
          <w:lang w:val="en-US"/>
        </w:rPr>
      </w:pPr>
      <w:r>
        <w:rPr>
          <w:rFonts w:hint="default" w:ascii="Times New Roman" w:hAnsi="Times New Roman" w:eastAsia="宋体" w:cs="Times New Roman"/>
          <w:color w:val="auto"/>
          <w:kern w:val="0"/>
          <w:sz w:val="22"/>
          <w:szCs w:val="22"/>
          <w:highlight w:val="none"/>
          <w:lang w:val="en-US" w:eastAsia="zh-CN" w:bidi="ar"/>
        </w:rPr>
        <w:t xml:space="preserve">□ </w:t>
      </w:r>
      <w:r>
        <w:rPr>
          <w:rFonts w:hint="default" w:ascii="Times New Roman" w:hAnsi="Times New Roman" w:eastAsia="宋体" w:cs="Times New Roman"/>
          <w:color w:val="auto"/>
          <w:kern w:val="2"/>
          <w:sz w:val="22"/>
          <w:szCs w:val="22"/>
          <w:highlight w:val="none"/>
          <w:lang w:val="en-US" w:eastAsia="zh-CN" w:bidi="ar"/>
        </w:rPr>
        <w:t>工程分标段施工的，以标段完成后作为施工过程结算节点：</w:t>
      </w:r>
      <w:r>
        <w:rPr>
          <w:rFonts w:hint="default" w:ascii="Times New Roman" w:hAnsi="Times New Roman" w:eastAsia="宋体" w:cs="Times New Roman"/>
          <w:color w:val="auto"/>
          <w:kern w:val="0"/>
          <w:sz w:val="22"/>
          <w:szCs w:val="22"/>
          <w:highlight w:val="none"/>
          <w:u w:val="single"/>
          <w:lang w:val="en-US" w:eastAsia="zh-CN" w:bidi="ar"/>
        </w:rPr>
        <w:t xml:space="preserve">                               </w:t>
      </w:r>
    </w:p>
    <w:p w14:paraId="72653C3E">
      <w:pPr>
        <w:keepNext w:val="0"/>
        <w:keepLines w:val="0"/>
        <w:widowControl w:val="0"/>
        <w:suppressLineNumbers w:val="0"/>
        <w:spacing w:before="0" w:beforeAutospacing="0" w:after="0" w:afterAutospacing="0" w:line="420" w:lineRule="exact"/>
        <w:ind w:left="0" w:right="0" w:firstLine="220" w:firstLineChars="100"/>
        <w:jc w:val="both"/>
        <w:rPr>
          <w:rFonts w:hint="default" w:ascii="Times New Roman" w:hAnsi="Times New Roman" w:eastAsia="宋体" w:cs="Times New Roman"/>
          <w:color w:val="auto"/>
          <w:sz w:val="22"/>
          <w:szCs w:val="22"/>
          <w:highlight w:val="none"/>
          <w:lang w:val="en-US"/>
        </w:rPr>
      </w:pPr>
      <w:r>
        <w:rPr>
          <w:rFonts w:hint="default" w:ascii="Times New Roman" w:hAnsi="Times New Roman" w:eastAsia="宋体" w:cs="Times New Roman"/>
          <w:color w:val="auto"/>
          <w:kern w:val="0"/>
          <w:sz w:val="22"/>
          <w:szCs w:val="22"/>
          <w:highlight w:val="none"/>
          <w:lang w:val="en-US" w:eastAsia="zh-CN" w:bidi="ar"/>
        </w:rPr>
        <w:t xml:space="preserve">□ </w:t>
      </w:r>
      <w:r>
        <w:rPr>
          <w:rFonts w:hint="default" w:ascii="Times New Roman" w:hAnsi="Times New Roman" w:eastAsia="宋体" w:cs="Times New Roman"/>
          <w:color w:val="auto"/>
          <w:kern w:val="2"/>
          <w:sz w:val="22"/>
          <w:szCs w:val="22"/>
          <w:highlight w:val="none"/>
          <w:lang w:val="en-US" w:eastAsia="zh-CN" w:bidi="ar"/>
        </w:rPr>
        <w:t>以完成单项工程、单位工程、分部工程作为施工过程结算节点：</w:t>
      </w:r>
      <w:r>
        <w:rPr>
          <w:rFonts w:hint="default" w:ascii="Times New Roman" w:hAnsi="Times New Roman" w:eastAsia="宋体" w:cs="Times New Roman"/>
          <w:color w:val="auto"/>
          <w:kern w:val="0"/>
          <w:sz w:val="22"/>
          <w:szCs w:val="22"/>
          <w:highlight w:val="none"/>
          <w:u w:val="single"/>
          <w:lang w:val="en-US" w:eastAsia="zh-CN" w:bidi="ar"/>
        </w:rPr>
        <w:t xml:space="preserve">                         </w:t>
      </w:r>
    </w:p>
    <w:p w14:paraId="710CC969">
      <w:pPr>
        <w:keepNext w:val="0"/>
        <w:keepLines w:val="0"/>
        <w:widowControl w:val="0"/>
        <w:suppressLineNumbers w:val="0"/>
        <w:spacing w:before="0" w:beforeAutospacing="0" w:after="0" w:afterAutospacing="0" w:line="420" w:lineRule="exact"/>
        <w:ind w:left="0" w:right="0" w:firstLine="220" w:firstLineChars="100"/>
        <w:jc w:val="both"/>
        <w:rPr>
          <w:rFonts w:hint="default" w:ascii="Times New Roman" w:hAnsi="Times New Roman" w:eastAsia="宋体" w:cs="Times New Roman"/>
          <w:color w:val="auto"/>
          <w:sz w:val="22"/>
          <w:szCs w:val="22"/>
          <w:highlight w:val="none"/>
          <w:lang w:val="en-US"/>
        </w:rPr>
      </w:pPr>
      <w:r>
        <w:rPr>
          <w:rFonts w:hint="default" w:ascii="Times New Roman" w:hAnsi="Times New Roman" w:eastAsia="宋体" w:cs="Times New Roman"/>
          <w:color w:val="auto"/>
          <w:kern w:val="0"/>
          <w:sz w:val="22"/>
          <w:szCs w:val="22"/>
          <w:highlight w:val="none"/>
          <w:lang w:val="en-US" w:eastAsia="zh-CN" w:bidi="ar"/>
        </w:rPr>
        <w:t xml:space="preserve">□ </w:t>
      </w:r>
      <w:r>
        <w:rPr>
          <w:rFonts w:hint="default" w:ascii="Times New Roman" w:hAnsi="Times New Roman" w:eastAsia="宋体" w:cs="Times New Roman"/>
          <w:color w:val="auto"/>
          <w:kern w:val="2"/>
          <w:sz w:val="22"/>
          <w:szCs w:val="22"/>
          <w:highlight w:val="none"/>
          <w:lang w:val="en-US" w:eastAsia="zh-CN" w:bidi="ar"/>
        </w:rPr>
        <w:t>规模较大的分部工程或分部工程计划完成时间一年以上的，以完成分部工程的进度节点或时间（季、年等）节点作为施工过程结算节点：</w:t>
      </w:r>
      <w:r>
        <w:rPr>
          <w:rFonts w:hint="default" w:ascii="Times New Roman" w:hAnsi="Times New Roman" w:eastAsia="宋体" w:cs="Times New Roman"/>
          <w:color w:val="auto"/>
          <w:kern w:val="0"/>
          <w:sz w:val="22"/>
          <w:szCs w:val="22"/>
          <w:highlight w:val="none"/>
          <w:u w:val="single"/>
          <w:lang w:val="en-US" w:eastAsia="zh-CN" w:bidi="ar"/>
        </w:rPr>
        <w:t xml:space="preserve">                               </w:t>
      </w:r>
    </w:p>
    <w:p w14:paraId="4198EBEC">
      <w:pPr>
        <w:keepNext w:val="0"/>
        <w:keepLines w:val="0"/>
        <w:widowControl w:val="0"/>
        <w:suppressLineNumbers w:val="0"/>
        <w:spacing w:before="0" w:beforeAutospacing="0" w:after="0" w:afterAutospacing="0" w:line="420" w:lineRule="exact"/>
        <w:ind w:left="0" w:right="0" w:firstLine="220" w:firstLineChars="100"/>
        <w:jc w:val="both"/>
        <w:rPr>
          <w:rFonts w:hint="default" w:ascii="Times New Roman" w:hAnsi="Times New Roman" w:eastAsia="宋体" w:cs="Times New Roman"/>
          <w:color w:val="auto"/>
          <w:sz w:val="22"/>
          <w:szCs w:val="22"/>
          <w:highlight w:val="none"/>
          <w:lang w:val="en-US"/>
        </w:rPr>
      </w:pPr>
      <w:r>
        <w:rPr>
          <w:rFonts w:hint="default" w:ascii="Times New Roman" w:hAnsi="Times New Roman" w:eastAsia="宋体" w:cs="Times New Roman"/>
          <w:color w:val="auto"/>
          <w:kern w:val="0"/>
          <w:sz w:val="22"/>
          <w:szCs w:val="22"/>
          <w:highlight w:val="none"/>
          <w:lang w:val="en-US" w:eastAsia="zh-CN" w:bidi="ar"/>
        </w:rPr>
        <w:t xml:space="preserve">□ </w:t>
      </w:r>
      <w:r>
        <w:rPr>
          <w:rFonts w:hint="default" w:ascii="Times New Roman" w:hAnsi="Times New Roman" w:eastAsia="宋体" w:cs="Times New Roman"/>
          <w:color w:val="auto"/>
          <w:kern w:val="2"/>
          <w:sz w:val="22"/>
          <w:szCs w:val="22"/>
          <w:highlight w:val="none"/>
          <w:lang w:val="en-US" w:eastAsia="zh-CN" w:bidi="ar"/>
        </w:rPr>
        <w:t>以完成工程功能内容或专业工程作为施工过程结算节点：</w:t>
      </w:r>
      <w:r>
        <w:rPr>
          <w:rFonts w:hint="default" w:ascii="Times New Roman" w:hAnsi="Times New Roman" w:eastAsia="宋体" w:cs="Times New Roman"/>
          <w:color w:val="auto"/>
          <w:kern w:val="0"/>
          <w:sz w:val="22"/>
          <w:szCs w:val="22"/>
          <w:highlight w:val="none"/>
          <w:u w:val="single"/>
          <w:lang w:val="en-US" w:eastAsia="zh-CN" w:bidi="ar"/>
        </w:rPr>
        <w:t xml:space="preserve">                               </w:t>
      </w:r>
    </w:p>
    <w:p w14:paraId="6F56B35D">
      <w:pPr>
        <w:keepNext w:val="0"/>
        <w:keepLines w:val="0"/>
        <w:widowControl w:val="0"/>
        <w:suppressLineNumbers w:val="0"/>
        <w:spacing w:before="0" w:beforeAutospacing="0" w:after="0" w:afterAutospacing="0" w:line="420" w:lineRule="exact"/>
        <w:ind w:left="0" w:right="0" w:firstLine="220" w:firstLineChars="100"/>
        <w:jc w:val="both"/>
        <w:rPr>
          <w:rFonts w:hint="default" w:ascii="Times New Roman" w:hAnsi="Times New Roman" w:eastAsia="宋体" w:cs="Times New Roman"/>
          <w:color w:val="auto"/>
          <w:kern w:val="0"/>
          <w:sz w:val="22"/>
          <w:szCs w:val="22"/>
          <w:highlight w:val="none"/>
          <w:lang w:val="en-US"/>
        </w:rPr>
      </w:pPr>
      <w:r>
        <w:rPr>
          <w:rFonts w:hint="default" w:ascii="Times New Roman" w:hAnsi="Times New Roman" w:eastAsia="宋体" w:cs="Times New Roman"/>
          <w:color w:val="auto"/>
          <w:kern w:val="0"/>
          <w:sz w:val="22"/>
          <w:szCs w:val="22"/>
          <w:highlight w:val="none"/>
          <w:lang w:val="en-US" w:eastAsia="zh-CN" w:bidi="ar"/>
        </w:rPr>
        <w:t xml:space="preserve">□ </w:t>
      </w:r>
      <w:r>
        <w:rPr>
          <w:rFonts w:hint="default" w:ascii="Times New Roman" w:hAnsi="Times New Roman" w:cs="Times New Roman"/>
          <w:color w:val="auto"/>
          <w:kern w:val="0"/>
          <w:sz w:val="22"/>
          <w:szCs w:val="22"/>
          <w:highlight w:val="none"/>
          <w:lang w:val="en-US" w:eastAsia="zh-CN" w:bidi="ar"/>
        </w:rPr>
        <w:t>其他</w:t>
      </w:r>
      <w:r>
        <w:rPr>
          <w:rFonts w:hint="default" w:ascii="Times New Roman" w:hAnsi="Times New Roman" w:eastAsia="宋体" w:cs="Times New Roman"/>
          <w:color w:val="auto"/>
          <w:kern w:val="0"/>
          <w:sz w:val="22"/>
          <w:szCs w:val="22"/>
          <w:highlight w:val="none"/>
          <w:lang w:val="en-US" w:eastAsia="zh-CN" w:bidi="ar"/>
        </w:rPr>
        <w:t>：</w:t>
      </w:r>
      <w:r>
        <w:rPr>
          <w:rFonts w:hint="default" w:ascii="Times New Roman" w:hAnsi="Times New Roman" w:eastAsia="宋体" w:cs="Times New Roman"/>
          <w:color w:val="auto"/>
          <w:kern w:val="0"/>
          <w:sz w:val="22"/>
          <w:szCs w:val="22"/>
          <w:highlight w:val="none"/>
          <w:u w:val="single"/>
          <w:lang w:val="en-US" w:eastAsia="zh-CN" w:bidi="ar"/>
        </w:rPr>
        <w:t xml:space="preserve">                               </w:t>
      </w:r>
    </w:p>
    <w:p w14:paraId="7D91ACBA">
      <w:pPr>
        <w:keepNext w:val="0"/>
        <w:keepLines w:val="0"/>
        <w:widowControl w:val="0"/>
        <w:suppressLineNumbers w:val="0"/>
        <w:spacing w:before="0" w:beforeAutospacing="0" w:after="0" w:afterAutospacing="0" w:line="420" w:lineRule="exact"/>
        <w:ind w:left="0" w:right="0" w:firstLine="220" w:firstLineChars="100"/>
        <w:jc w:val="both"/>
        <w:rPr>
          <w:rFonts w:hint="default" w:ascii="Times New Roman" w:hAnsi="Times New Roman" w:eastAsia="宋体" w:cs="Times New Roman"/>
          <w:color w:val="auto"/>
          <w:sz w:val="22"/>
          <w:szCs w:val="22"/>
          <w:highlight w:val="none"/>
          <w:lang w:val="en-US"/>
        </w:rPr>
      </w:pPr>
      <w:r>
        <w:rPr>
          <w:rFonts w:hint="default" w:ascii="Times New Roman" w:hAnsi="Times New Roman" w:eastAsia="宋体" w:cs="Times New Roman"/>
          <w:color w:val="auto"/>
          <w:kern w:val="0"/>
          <w:sz w:val="22"/>
          <w:szCs w:val="22"/>
          <w:highlight w:val="none"/>
          <w:lang w:val="en-US" w:eastAsia="zh-CN" w:bidi="ar"/>
        </w:rPr>
        <w:t>3、</w:t>
      </w:r>
      <w:r>
        <w:rPr>
          <w:rFonts w:hint="default" w:ascii="Times New Roman" w:hAnsi="Times New Roman" w:eastAsia="宋体" w:cs="Times New Roman"/>
          <w:color w:val="auto"/>
          <w:kern w:val="2"/>
          <w:sz w:val="22"/>
          <w:szCs w:val="22"/>
          <w:highlight w:val="none"/>
          <w:lang w:val="en-US" w:eastAsia="zh-CN" w:bidi="ar"/>
        </w:rPr>
        <w:t>施工过程结算价款的编制与核对：</w:t>
      </w:r>
      <w:r>
        <w:rPr>
          <w:rFonts w:hint="default" w:ascii="Times New Roman" w:hAnsi="Times New Roman" w:eastAsia="宋体" w:cs="Times New Roman"/>
          <w:color w:val="auto"/>
          <w:kern w:val="0"/>
          <w:sz w:val="22"/>
          <w:szCs w:val="22"/>
          <w:highlight w:val="none"/>
          <w:u w:val="single"/>
          <w:lang w:val="en-US" w:eastAsia="zh-CN" w:bidi="ar"/>
        </w:rPr>
        <w:t xml:space="preserve">                               </w:t>
      </w:r>
    </w:p>
    <w:p w14:paraId="0E4FAC7F">
      <w:pPr>
        <w:keepNext w:val="0"/>
        <w:keepLines w:val="0"/>
        <w:widowControl w:val="0"/>
        <w:suppressLineNumbers w:val="0"/>
        <w:spacing w:before="0" w:beforeAutospacing="0" w:after="0" w:afterAutospacing="0" w:line="420" w:lineRule="exact"/>
        <w:ind w:left="0" w:right="0" w:firstLine="220" w:firstLineChars="100"/>
        <w:jc w:val="both"/>
        <w:rPr>
          <w:rFonts w:hint="default" w:ascii="Times New Roman" w:hAnsi="Times New Roman" w:eastAsia="宋体" w:cs="Times New Roman"/>
          <w:color w:val="auto"/>
          <w:sz w:val="22"/>
          <w:szCs w:val="22"/>
          <w:highlight w:val="none"/>
          <w:lang w:val="en-US"/>
        </w:rPr>
      </w:pPr>
      <w:r>
        <w:rPr>
          <w:rFonts w:hint="default" w:ascii="Times New Roman" w:hAnsi="Times New Roman" w:eastAsia="宋体" w:cs="Times New Roman"/>
          <w:color w:val="auto"/>
          <w:kern w:val="2"/>
          <w:sz w:val="22"/>
          <w:szCs w:val="22"/>
          <w:highlight w:val="none"/>
          <w:lang w:val="en-US" w:eastAsia="zh-CN" w:bidi="ar"/>
        </w:rPr>
        <w:t>4、采用施工过程结算方法时竣工结算价款的编制与核对：</w:t>
      </w:r>
      <w:r>
        <w:rPr>
          <w:rFonts w:hint="default" w:ascii="Times New Roman" w:hAnsi="Times New Roman" w:eastAsia="宋体" w:cs="Times New Roman"/>
          <w:color w:val="auto"/>
          <w:kern w:val="0"/>
          <w:sz w:val="22"/>
          <w:szCs w:val="22"/>
          <w:highlight w:val="none"/>
          <w:u w:val="single"/>
          <w:lang w:val="en-US" w:eastAsia="zh-CN" w:bidi="ar"/>
        </w:rPr>
        <w:t xml:space="preserve">                               </w:t>
      </w:r>
    </w:p>
    <w:p w14:paraId="3BEC25B3">
      <w:pPr>
        <w:keepNext w:val="0"/>
        <w:keepLines w:val="0"/>
        <w:widowControl w:val="0"/>
        <w:suppressLineNumbers w:val="0"/>
        <w:spacing w:before="0" w:beforeAutospacing="0" w:after="0" w:afterAutospacing="0" w:line="420" w:lineRule="exact"/>
        <w:ind w:left="0" w:right="0" w:firstLine="220" w:firstLineChars="100"/>
        <w:jc w:val="both"/>
        <w:rPr>
          <w:rFonts w:hint="default" w:ascii="Times New Roman" w:hAnsi="Times New Roman" w:eastAsia="宋体" w:cs="Times New Roman"/>
          <w:color w:val="auto"/>
          <w:kern w:val="0"/>
          <w:sz w:val="22"/>
          <w:szCs w:val="22"/>
          <w:highlight w:val="none"/>
          <w:u w:val="single"/>
          <w:lang w:val="en-US"/>
        </w:rPr>
      </w:pPr>
      <w:r>
        <w:rPr>
          <w:rFonts w:hint="default" w:ascii="Times New Roman" w:hAnsi="Times New Roman" w:eastAsia="宋体" w:cs="Times New Roman"/>
          <w:color w:val="auto"/>
          <w:kern w:val="0"/>
          <w:sz w:val="22"/>
          <w:szCs w:val="22"/>
          <w:highlight w:val="none"/>
          <w:lang w:val="en-US" w:eastAsia="zh-CN" w:bidi="ar"/>
        </w:rPr>
        <w:t>5、</w:t>
      </w:r>
      <w:r>
        <w:rPr>
          <w:rFonts w:hint="default" w:ascii="Times New Roman" w:hAnsi="Times New Roman" w:eastAsia="宋体" w:cs="Times New Roman"/>
          <w:color w:val="auto"/>
          <w:kern w:val="2"/>
          <w:sz w:val="22"/>
          <w:szCs w:val="22"/>
          <w:highlight w:val="none"/>
          <w:lang w:val="en-US" w:eastAsia="zh-CN" w:bidi="ar"/>
        </w:rPr>
        <w:t>施工过程结算支付时限</w:t>
      </w:r>
      <w:r>
        <w:rPr>
          <w:rFonts w:hint="default" w:ascii="Times New Roman" w:hAnsi="Times New Roman" w:eastAsia="宋体" w:cs="Times New Roman"/>
          <w:color w:val="auto"/>
          <w:kern w:val="0"/>
          <w:sz w:val="22"/>
          <w:szCs w:val="22"/>
          <w:highlight w:val="none"/>
          <w:lang w:val="en-US" w:eastAsia="zh-CN" w:bidi="ar"/>
        </w:rPr>
        <w:t>：</w:t>
      </w:r>
      <w:r>
        <w:rPr>
          <w:rFonts w:hint="default" w:ascii="Times New Roman" w:hAnsi="Times New Roman" w:eastAsia="宋体" w:cs="Times New Roman"/>
          <w:color w:val="auto"/>
          <w:kern w:val="0"/>
          <w:sz w:val="22"/>
          <w:szCs w:val="22"/>
          <w:highlight w:val="none"/>
          <w:u w:val="single"/>
          <w:lang w:val="en-US" w:eastAsia="zh-CN" w:bidi="ar"/>
        </w:rPr>
        <w:t xml:space="preserve"> </w:t>
      </w:r>
      <w:r>
        <w:rPr>
          <w:rFonts w:hint="default" w:ascii="Times New Roman" w:hAnsi="Times New Roman" w:eastAsia="宋体" w:cs="Times New Roman"/>
          <w:color w:val="auto"/>
          <w:kern w:val="2"/>
          <w:sz w:val="22"/>
          <w:szCs w:val="22"/>
          <w:highlight w:val="none"/>
          <w:u w:val="single"/>
          <w:lang w:val="en-US" w:eastAsia="zh-CN" w:bidi="ar"/>
        </w:rPr>
        <w:t>对周期内已完成且无争议的工程量（含变更、签证、索赔等）进行价款计算、确认和支付，支付金额不得超出已完工部分对应的批复概（预）算。</w:t>
      </w:r>
      <w:r>
        <w:rPr>
          <w:rFonts w:hint="default" w:ascii="Times New Roman" w:hAnsi="Times New Roman" w:eastAsia="宋体" w:cs="Times New Roman"/>
          <w:color w:val="auto"/>
          <w:kern w:val="0"/>
          <w:sz w:val="22"/>
          <w:szCs w:val="22"/>
          <w:highlight w:val="none"/>
          <w:u w:val="single"/>
          <w:lang w:val="en-US" w:eastAsia="zh-CN" w:bidi="ar"/>
        </w:rPr>
        <w:t xml:space="preserve">                                                             </w:t>
      </w:r>
    </w:p>
    <w:p w14:paraId="5095C9B6">
      <w:pPr>
        <w:keepNext w:val="0"/>
        <w:keepLines w:val="0"/>
        <w:widowControl w:val="0"/>
        <w:suppressLineNumbers w:val="0"/>
        <w:spacing w:before="0" w:beforeAutospacing="0" w:after="0" w:afterAutospacing="0" w:line="420" w:lineRule="exact"/>
        <w:ind w:left="0" w:right="0" w:firstLine="220" w:firstLineChars="100"/>
        <w:jc w:val="both"/>
        <w:rPr>
          <w:rFonts w:hint="default" w:ascii="Times New Roman" w:hAnsi="Times New Roman" w:eastAsia="宋体" w:cs="Times New Roman"/>
          <w:color w:val="auto"/>
          <w:kern w:val="2"/>
          <w:sz w:val="22"/>
          <w:szCs w:val="22"/>
          <w:highlight w:val="none"/>
          <w:u w:val="single"/>
          <w:lang w:val="en-US" w:eastAsia="zh-CN" w:bidi="ar"/>
        </w:rPr>
      </w:pPr>
      <w:r>
        <w:rPr>
          <w:rFonts w:hint="default" w:ascii="Times New Roman" w:hAnsi="Times New Roman" w:eastAsia="宋体" w:cs="Times New Roman"/>
          <w:color w:val="auto"/>
          <w:kern w:val="0"/>
          <w:sz w:val="22"/>
          <w:szCs w:val="22"/>
          <w:highlight w:val="none"/>
          <w:lang w:val="en-US" w:eastAsia="zh-CN" w:bidi="ar"/>
        </w:rPr>
        <w:t>6、</w:t>
      </w:r>
      <w:r>
        <w:rPr>
          <w:rFonts w:hint="default" w:ascii="Times New Roman" w:hAnsi="Times New Roman" w:eastAsia="宋体" w:cs="Times New Roman"/>
          <w:color w:val="auto"/>
          <w:kern w:val="2"/>
          <w:sz w:val="22"/>
          <w:szCs w:val="22"/>
          <w:highlight w:val="none"/>
          <w:lang w:val="en-US" w:eastAsia="zh-CN" w:bidi="ar"/>
        </w:rPr>
        <w:t>分段结算的其他约定</w:t>
      </w:r>
      <w:r>
        <w:rPr>
          <w:rFonts w:hint="default" w:ascii="Times New Roman" w:hAnsi="Times New Roman" w:eastAsia="宋体" w:cs="Times New Roman"/>
          <w:color w:val="auto"/>
          <w:kern w:val="0"/>
          <w:sz w:val="22"/>
          <w:szCs w:val="22"/>
          <w:highlight w:val="none"/>
          <w:lang w:val="en-US" w:eastAsia="zh-CN" w:bidi="ar"/>
        </w:rPr>
        <w:t>：</w:t>
      </w:r>
      <w:r>
        <w:rPr>
          <w:rFonts w:hint="default" w:ascii="Times New Roman" w:hAnsi="Times New Roman" w:eastAsia="宋体" w:cs="Times New Roman"/>
          <w:color w:val="auto"/>
          <w:kern w:val="0"/>
          <w:sz w:val="22"/>
          <w:szCs w:val="22"/>
          <w:highlight w:val="none"/>
          <w:u w:val="single"/>
          <w:lang w:val="en-US" w:eastAsia="zh-CN" w:bidi="ar"/>
        </w:rPr>
        <w:t xml:space="preserve">  </w:t>
      </w:r>
      <w:r>
        <w:rPr>
          <w:rFonts w:hint="default" w:ascii="Times New Roman" w:hAnsi="Times New Roman" w:eastAsia="宋体" w:cs="Times New Roman"/>
          <w:color w:val="auto"/>
          <w:kern w:val="2"/>
          <w:sz w:val="22"/>
          <w:szCs w:val="22"/>
          <w:highlight w:val="none"/>
          <w:u w:val="single"/>
          <w:lang w:val="en-US" w:eastAsia="zh-CN" w:bidi="ar"/>
        </w:rPr>
        <w:t xml:space="preserve">经双方确认的过程结算文件作为竣工结算文件的组成部分，竣工后原则上不再重复审核。                                               </w:t>
      </w:r>
    </w:p>
    <w:p w14:paraId="72D988FE">
      <w:pPr>
        <w:keepNext w:val="0"/>
        <w:keepLines w:val="0"/>
        <w:widowControl w:val="0"/>
        <w:suppressLineNumbers w:val="0"/>
        <w:spacing w:before="0" w:beforeAutospacing="0" w:after="0" w:afterAutospacing="0" w:line="420" w:lineRule="exact"/>
        <w:ind w:left="0" w:right="0" w:firstLine="220" w:firstLineChars="100"/>
        <w:jc w:val="both"/>
        <w:rPr>
          <w:rFonts w:hint="default" w:ascii="Times New Roman" w:hAnsi="Times New Roman" w:eastAsia="宋体" w:cs="Times New Roman"/>
          <w:color w:val="auto"/>
          <w:kern w:val="2"/>
          <w:sz w:val="22"/>
          <w:szCs w:val="22"/>
          <w:highlight w:val="none"/>
          <w:u w:val="none"/>
          <w:lang w:val="en-US" w:eastAsia="zh-CN" w:bidi="ar"/>
        </w:rPr>
      </w:pPr>
      <w:r>
        <w:rPr>
          <w:rFonts w:hint="default" w:ascii="Times New Roman" w:hAnsi="Times New Roman" w:cs="Times New Roman"/>
          <w:color w:val="auto"/>
          <w:kern w:val="2"/>
          <w:sz w:val="22"/>
          <w:szCs w:val="22"/>
          <w:highlight w:val="none"/>
          <w:u w:val="none"/>
          <w:lang w:val="en-US" w:eastAsia="zh-CN" w:bidi="ar"/>
        </w:rPr>
        <w:t>7.发包人有权采取约谈、通报等措施督促发包人在完成验收后加快工程结算进度。</w:t>
      </w:r>
    </w:p>
    <w:p w14:paraId="1F86854C">
      <w:pPr>
        <w:keepNext w:val="0"/>
        <w:keepLines w:val="0"/>
        <w:widowControl w:val="0"/>
        <w:suppressLineNumbers w:val="0"/>
        <w:spacing w:before="0" w:beforeAutospacing="0" w:after="0" w:afterAutospacing="0" w:line="420" w:lineRule="exact"/>
        <w:ind w:left="0" w:right="0" w:firstLine="220" w:firstLineChars="100"/>
        <w:jc w:val="both"/>
        <w:rPr>
          <w:rFonts w:hint="default" w:ascii="Times New Roman" w:hAnsi="Times New Roman" w:eastAsia="宋体" w:cs="Times New Roman"/>
          <w:color w:val="auto"/>
          <w:kern w:val="0"/>
          <w:sz w:val="22"/>
          <w:szCs w:val="22"/>
          <w:highlight w:val="none"/>
          <w:lang w:val="en-US"/>
        </w:rPr>
      </w:pPr>
      <w:r>
        <w:rPr>
          <w:rFonts w:hint="default" w:ascii="Times New Roman" w:hAnsi="Times New Roman" w:eastAsia="宋体" w:cs="Times New Roman"/>
          <w:color w:val="auto"/>
          <w:kern w:val="0"/>
          <w:sz w:val="22"/>
          <w:szCs w:val="22"/>
          <w:highlight w:val="none"/>
          <w:lang w:val="en-US" w:eastAsia="zh-CN" w:bidi="ar"/>
        </w:rPr>
        <w:t>82.2</w:t>
      </w:r>
    </w:p>
    <w:p w14:paraId="2FD6330B">
      <w:pPr>
        <w:keepNext w:val="0"/>
        <w:keepLines w:val="0"/>
        <w:widowControl w:val="0"/>
        <w:suppressLineNumbers w:val="0"/>
        <w:spacing w:before="0" w:beforeAutospacing="0" w:after="0" w:afterAutospacing="0" w:line="420" w:lineRule="exact"/>
        <w:ind w:left="0" w:right="0" w:firstLine="220" w:firstLineChars="100"/>
        <w:jc w:val="both"/>
        <w:rPr>
          <w:rFonts w:hint="default" w:ascii="Times New Roman" w:hAnsi="Times New Roman" w:eastAsia="宋体" w:cs="Times New Roman"/>
          <w:color w:val="auto"/>
          <w:sz w:val="22"/>
          <w:szCs w:val="22"/>
          <w:highlight w:val="none"/>
          <w:lang w:val="en-US"/>
        </w:rPr>
      </w:pPr>
      <w:r>
        <w:rPr>
          <w:rFonts w:hint="default" w:ascii="Times New Roman" w:hAnsi="Times New Roman" w:eastAsia="宋体" w:cs="Times New Roman"/>
          <w:color w:val="auto"/>
          <w:kern w:val="2"/>
          <w:sz w:val="22"/>
          <w:szCs w:val="22"/>
          <w:highlight w:val="none"/>
          <w:lang w:val="en-US" w:eastAsia="zh-CN" w:bidi="ar"/>
        </w:rPr>
        <w:t>（1）竣工结算文件清单：</w:t>
      </w:r>
    </w:p>
    <w:p w14:paraId="6E5783B7">
      <w:pPr>
        <w:keepNext w:val="0"/>
        <w:keepLines w:val="0"/>
        <w:widowControl w:val="0"/>
        <w:suppressLineNumbers w:val="0"/>
        <w:spacing w:before="0" w:beforeAutospacing="0" w:after="0" w:afterAutospacing="0" w:line="420" w:lineRule="exact"/>
        <w:ind w:left="0" w:right="0" w:firstLine="440" w:firstLineChars="200"/>
        <w:jc w:val="left"/>
        <w:rPr>
          <w:rFonts w:hint="default" w:ascii="Times New Roman" w:hAnsi="Times New Roman" w:eastAsia="宋体" w:cs="Times New Roman"/>
          <w:color w:val="auto"/>
          <w:sz w:val="22"/>
          <w:szCs w:val="22"/>
          <w:highlight w:val="none"/>
          <w:lang w:val="en-US"/>
        </w:rPr>
      </w:pPr>
      <w:r>
        <w:rPr>
          <w:rFonts w:hint="default" w:ascii="Times New Roman" w:hAnsi="Times New Roman" w:cs="Times New Roman"/>
          <w:color w:val="auto"/>
          <w:kern w:val="0"/>
          <w:sz w:val="22"/>
          <w:szCs w:val="22"/>
          <w:highlight w:val="none"/>
          <w:lang w:eastAsia="zh-CN"/>
        </w:rPr>
        <w:t>☑</w:t>
      </w:r>
      <w:r>
        <w:rPr>
          <w:rFonts w:hint="default" w:ascii="Times New Roman" w:hAnsi="Times New Roman" w:cs="Times New Roman"/>
          <w:color w:val="auto"/>
          <w:kern w:val="0"/>
          <w:sz w:val="22"/>
          <w:szCs w:val="22"/>
          <w:highlight w:val="none"/>
          <w:lang w:val="en-US" w:eastAsia="zh-CN"/>
        </w:rPr>
        <w:t xml:space="preserve"> </w:t>
      </w:r>
      <w:r>
        <w:rPr>
          <w:rFonts w:hint="default" w:ascii="Times New Roman" w:hAnsi="Times New Roman" w:eastAsia="宋体" w:cs="Times New Roman"/>
          <w:color w:val="auto"/>
          <w:kern w:val="2"/>
          <w:sz w:val="22"/>
          <w:szCs w:val="22"/>
          <w:highlight w:val="none"/>
          <w:lang w:val="en-US" w:eastAsia="zh-CN" w:bidi="ar"/>
        </w:rPr>
        <w:t>（1）工程结算书</w:t>
      </w:r>
    </w:p>
    <w:p w14:paraId="0639415B">
      <w:pPr>
        <w:keepNext w:val="0"/>
        <w:keepLines w:val="0"/>
        <w:widowControl w:val="0"/>
        <w:suppressLineNumbers w:val="0"/>
        <w:spacing w:before="0" w:beforeAutospacing="0" w:after="0" w:afterAutospacing="0" w:line="420" w:lineRule="exact"/>
        <w:ind w:left="0" w:right="0" w:firstLine="440" w:firstLineChars="200"/>
        <w:jc w:val="left"/>
        <w:rPr>
          <w:rFonts w:hint="default" w:ascii="Times New Roman" w:hAnsi="Times New Roman" w:eastAsia="宋体" w:cs="Times New Roman"/>
          <w:color w:val="auto"/>
          <w:sz w:val="22"/>
          <w:szCs w:val="22"/>
          <w:highlight w:val="none"/>
          <w:lang w:val="en-US"/>
        </w:rPr>
      </w:pPr>
      <w:r>
        <w:rPr>
          <w:rFonts w:hint="default" w:ascii="Times New Roman" w:hAnsi="Times New Roman" w:cs="Times New Roman"/>
          <w:color w:val="auto"/>
          <w:kern w:val="0"/>
          <w:sz w:val="22"/>
          <w:szCs w:val="22"/>
          <w:highlight w:val="none"/>
          <w:lang w:eastAsia="zh-CN"/>
        </w:rPr>
        <w:t>☑</w:t>
      </w:r>
      <w:r>
        <w:rPr>
          <w:rFonts w:hint="default" w:ascii="Times New Roman" w:hAnsi="Times New Roman" w:cs="Times New Roman"/>
          <w:color w:val="auto"/>
          <w:kern w:val="0"/>
          <w:sz w:val="22"/>
          <w:szCs w:val="22"/>
          <w:highlight w:val="none"/>
          <w:lang w:val="en-US" w:eastAsia="zh-CN"/>
        </w:rPr>
        <w:t xml:space="preserve"> </w:t>
      </w:r>
      <w:r>
        <w:rPr>
          <w:rFonts w:hint="default" w:ascii="Times New Roman" w:hAnsi="Times New Roman" w:eastAsia="宋体" w:cs="Times New Roman"/>
          <w:color w:val="auto"/>
          <w:kern w:val="2"/>
          <w:sz w:val="22"/>
          <w:szCs w:val="22"/>
          <w:highlight w:val="none"/>
          <w:lang w:val="en-US" w:eastAsia="zh-CN" w:bidi="ar"/>
        </w:rPr>
        <w:t>（2）工程量计算书</w:t>
      </w:r>
    </w:p>
    <w:p w14:paraId="48A3E202">
      <w:pPr>
        <w:keepNext w:val="0"/>
        <w:keepLines w:val="0"/>
        <w:widowControl w:val="0"/>
        <w:suppressLineNumbers w:val="0"/>
        <w:spacing w:before="0" w:beforeAutospacing="0" w:after="0" w:afterAutospacing="0" w:line="420" w:lineRule="exact"/>
        <w:ind w:left="0" w:right="0" w:firstLine="440" w:firstLineChars="200"/>
        <w:jc w:val="left"/>
        <w:rPr>
          <w:rFonts w:hint="default" w:ascii="Times New Roman" w:hAnsi="Times New Roman" w:eastAsia="宋体" w:cs="Times New Roman"/>
          <w:color w:val="auto"/>
          <w:sz w:val="22"/>
          <w:szCs w:val="22"/>
          <w:highlight w:val="none"/>
          <w:lang w:val="en-US"/>
        </w:rPr>
      </w:pPr>
      <w:r>
        <w:rPr>
          <w:rFonts w:hint="default" w:ascii="Times New Roman" w:hAnsi="Times New Roman" w:eastAsia="宋体" w:cs="Times New Roman"/>
          <w:color w:val="auto"/>
          <w:kern w:val="0"/>
          <w:sz w:val="22"/>
          <w:szCs w:val="22"/>
          <w:highlight w:val="none"/>
          <w:lang w:val="en-US" w:eastAsia="zh-CN" w:bidi="ar"/>
        </w:rPr>
        <w:t>□</w:t>
      </w:r>
      <w:r>
        <w:rPr>
          <w:rFonts w:hint="default" w:ascii="Times New Roman" w:hAnsi="Times New Roman" w:eastAsia="宋体" w:cs="Times New Roman"/>
          <w:color w:val="auto"/>
          <w:kern w:val="2"/>
          <w:sz w:val="22"/>
          <w:szCs w:val="22"/>
          <w:highlight w:val="none"/>
          <w:lang w:val="en-US" w:eastAsia="zh-CN" w:bidi="ar"/>
        </w:rPr>
        <w:t>（3）钢筋抽料表（如有）</w:t>
      </w:r>
    </w:p>
    <w:p w14:paraId="4F60B511">
      <w:pPr>
        <w:keepNext w:val="0"/>
        <w:keepLines w:val="0"/>
        <w:widowControl w:val="0"/>
        <w:suppressLineNumbers w:val="0"/>
        <w:spacing w:before="0" w:beforeAutospacing="0" w:after="0" w:afterAutospacing="0" w:line="420" w:lineRule="exact"/>
        <w:ind w:left="0" w:right="0" w:firstLine="440" w:firstLineChars="200"/>
        <w:jc w:val="left"/>
        <w:rPr>
          <w:rFonts w:hint="default" w:ascii="Times New Roman" w:hAnsi="Times New Roman" w:eastAsia="宋体" w:cs="Times New Roman"/>
          <w:color w:val="auto"/>
          <w:sz w:val="22"/>
          <w:szCs w:val="22"/>
          <w:highlight w:val="none"/>
          <w:lang w:val="en-US"/>
        </w:rPr>
      </w:pPr>
      <w:r>
        <w:rPr>
          <w:rFonts w:hint="default" w:ascii="Times New Roman" w:hAnsi="Times New Roman" w:cs="Times New Roman"/>
          <w:color w:val="auto"/>
          <w:kern w:val="0"/>
          <w:sz w:val="22"/>
          <w:szCs w:val="22"/>
          <w:highlight w:val="none"/>
          <w:lang w:eastAsia="zh-CN"/>
        </w:rPr>
        <w:t>☑</w:t>
      </w:r>
      <w:r>
        <w:rPr>
          <w:rFonts w:hint="default" w:ascii="Times New Roman" w:hAnsi="Times New Roman" w:cs="Times New Roman"/>
          <w:color w:val="auto"/>
          <w:kern w:val="0"/>
          <w:sz w:val="22"/>
          <w:szCs w:val="22"/>
          <w:highlight w:val="none"/>
          <w:lang w:val="en-US" w:eastAsia="zh-CN"/>
        </w:rPr>
        <w:t xml:space="preserve"> </w:t>
      </w:r>
      <w:r>
        <w:rPr>
          <w:rFonts w:hint="default" w:ascii="Times New Roman" w:hAnsi="Times New Roman" w:eastAsia="宋体" w:cs="Times New Roman"/>
          <w:color w:val="auto"/>
          <w:kern w:val="2"/>
          <w:sz w:val="22"/>
          <w:szCs w:val="22"/>
          <w:highlight w:val="none"/>
          <w:lang w:val="en-US" w:eastAsia="zh-CN" w:bidi="ar"/>
        </w:rPr>
        <w:t>（4）工程承包合同</w:t>
      </w:r>
    </w:p>
    <w:p w14:paraId="1C8CCA40">
      <w:pPr>
        <w:keepNext w:val="0"/>
        <w:keepLines w:val="0"/>
        <w:widowControl w:val="0"/>
        <w:suppressLineNumbers w:val="0"/>
        <w:spacing w:before="0" w:beforeAutospacing="0" w:after="0" w:afterAutospacing="0" w:line="420" w:lineRule="exact"/>
        <w:ind w:left="0" w:right="0" w:firstLine="440" w:firstLineChars="200"/>
        <w:jc w:val="left"/>
        <w:rPr>
          <w:rFonts w:hint="default" w:ascii="Times New Roman" w:hAnsi="Times New Roman" w:eastAsia="宋体" w:cs="Times New Roman"/>
          <w:color w:val="auto"/>
          <w:sz w:val="22"/>
          <w:szCs w:val="22"/>
          <w:highlight w:val="none"/>
          <w:lang w:val="en-US"/>
        </w:rPr>
      </w:pPr>
      <w:r>
        <w:rPr>
          <w:rFonts w:hint="default" w:ascii="Times New Roman" w:hAnsi="Times New Roman" w:cs="Times New Roman"/>
          <w:color w:val="auto"/>
          <w:kern w:val="0"/>
          <w:sz w:val="22"/>
          <w:szCs w:val="22"/>
          <w:highlight w:val="none"/>
          <w:lang w:eastAsia="zh-CN"/>
        </w:rPr>
        <w:t>☑</w:t>
      </w:r>
      <w:r>
        <w:rPr>
          <w:rFonts w:hint="default" w:ascii="Times New Roman" w:hAnsi="Times New Roman" w:cs="Times New Roman"/>
          <w:color w:val="auto"/>
          <w:kern w:val="0"/>
          <w:sz w:val="22"/>
          <w:szCs w:val="22"/>
          <w:highlight w:val="none"/>
          <w:lang w:val="en-US" w:eastAsia="zh-CN"/>
        </w:rPr>
        <w:t xml:space="preserve"> </w:t>
      </w:r>
      <w:r>
        <w:rPr>
          <w:rFonts w:hint="default" w:ascii="Times New Roman" w:hAnsi="Times New Roman" w:eastAsia="宋体" w:cs="Times New Roman"/>
          <w:color w:val="auto"/>
          <w:kern w:val="2"/>
          <w:sz w:val="22"/>
          <w:szCs w:val="22"/>
          <w:highlight w:val="none"/>
          <w:lang w:val="en-US" w:eastAsia="zh-CN" w:bidi="ar"/>
        </w:rPr>
        <w:t>（5）工程竣工图（含电子版和相关部门要求的专用软件版本）</w:t>
      </w:r>
    </w:p>
    <w:p w14:paraId="3EC79D93">
      <w:pPr>
        <w:keepNext w:val="0"/>
        <w:keepLines w:val="0"/>
        <w:widowControl w:val="0"/>
        <w:suppressLineNumbers w:val="0"/>
        <w:spacing w:before="0" w:beforeAutospacing="0" w:after="0" w:afterAutospacing="0" w:line="420" w:lineRule="exact"/>
        <w:ind w:left="587" w:leftChars="227" w:right="0" w:hanging="110" w:hangingChars="50"/>
        <w:jc w:val="left"/>
        <w:rPr>
          <w:rFonts w:hint="default" w:ascii="Times New Roman" w:hAnsi="Times New Roman" w:eastAsia="宋体" w:cs="Times New Roman"/>
          <w:color w:val="auto"/>
          <w:sz w:val="22"/>
          <w:szCs w:val="22"/>
          <w:highlight w:val="none"/>
          <w:lang w:val="en-US"/>
        </w:rPr>
      </w:pPr>
      <w:r>
        <w:rPr>
          <w:rFonts w:hint="default" w:ascii="Times New Roman" w:hAnsi="Times New Roman" w:cs="Times New Roman"/>
          <w:color w:val="auto"/>
          <w:kern w:val="0"/>
          <w:sz w:val="22"/>
          <w:szCs w:val="22"/>
          <w:highlight w:val="none"/>
          <w:lang w:eastAsia="zh-CN"/>
        </w:rPr>
        <w:t>☑</w:t>
      </w:r>
      <w:r>
        <w:rPr>
          <w:rFonts w:hint="default" w:ascii="Times New Roman" w:hAnsi="Times New Roman" w:cs="Times New Roman"/>
          <w:color w:val="auto"/>
          <w:kern w:val="0"/>
          <w:sz w:val="22"/>
          <w:szCs w:val="22"/>
          <w:highlight w:val="none"/>
          <w:lang w:val="en-US" w:eastAsia="zh-CN"/>
        </w:rPr>
        <w:t xml:space="preserve"> </w:t>
      </w:r>
      <w:r>
        <w:rPr>
          <w:rFonts w:hint="default" w:ascii="Times New Roman" w:hAnsi="Times New Roman" w:eastAsia="宋体" w:cs="Times New Roman"/>
          <w:color w:val="auto"/>
          <w:kern w:val="2"/>
          <w:sz w:val="22"/>
          <w:szCs w:val="22"/>
          <w:highlight w:val="none"/>
          <w:lang w:val="en-US" w:eastAsia="zh-CN" w:bidi="ar"/>
        </w:rPr>
        <w:t>（6）工程竣工资料（含电子版及相关部门要求的专用软件版本、单位工程开工申请报告、单位</w:t>
      </w:r>
      <w:r>
        <w:rPr>
          <w:rFonts w:hint="default" w:ascii="Times New Roman" w:hAnsi="Times New Roman" w:cs="Times New Roman"/>
          <w:color w:val="auto"/>
          <w:kern w:val="2"/>
          <w:sz w:val="22"/>
          <w:szCs w:val="22"/>
          <w:highlight w:val="none"/>
          <w:lang w:val="en-US" w:eastAsia="zh-CN" w:bidi="ar"/>
        </w:rPr>
        <w:t>工程</w:t>
      </w:r>
      <w:r>
        <w:rPr>
          <w:rFonts w:hint="default" w:ascii="Times New Roman" w:hAnsi="Times New Roman" w:eastAsia="宋体" w:cs="Times New Roman"/>
          <w:color w:val="auto"/>
          <w:kern w:val="2"/>
          <w:sz w:val="22"/>
          <w:szCs w:val="22"/>
          <w:highlight w:val="none"/>
          <w:lang w:val="en-US" w:eastAsia="zh-CN" w:bidi="ar"/>
        </w:rPr>
        <w:t>竣工验收报告）</w:t>
      </w:r>
    </w:p>
    <w:p w14:paraId="1AC3FD18">
      <w:pPr>
        <w:keepNext w:val="0"/>
        <w:keepLines w:val="0"/>
        <w:widowControl w:val="0"/>
        <w:suppressLineNumbers w:val="0"/>
        <w:spacing w:before="0" w:beforeAutospacing="0" w:after="0" w:afterAutospacing="0" w:line="420" w:lineRule="exact"/>
        <w:ind w:left="0" w:right="0" w:firstLine="440" w:firstLineChars="200"/>
        <w:jc w:val="left"/>
        <w:rPr>
          <w:rFonts w:hint="default" w:ascii="Times New Roman" w:hAnsi="Times New Roman" w:eastAsia="宋体" w:cs="Times New Roman"/>
          <w:color w:val="auto"/>
          <w:sz w:val="22"/>
          <w:szCs w:val="22"/>
          <w:highlight w:val="none"/>
          <w:lang w:val="en-US"/>
        </w:rPr>
      </w:pPr>
      <w:r>
        <w:rPr>
          <w:rFonts w:hint="default" w:ascii="Times New Roman" w:hAnsi="Times New Roman" w:cs="Times New Roman"/>
          <w:color w:val="auto"/>
          <w:kern w:val="0"/>
          <w:sz w:val="22"/>
          <w:szCs w:val="22"/>
          <w:highlight w:val="none"/>
          <w:lang w:eastAsia="zh-CN"/>
        </w:rPr>
        <w:t>☑</w:t>
      </w:r>
      <w:r>
        <w:rPr>
          <w:rFonts w:hint="default" w:ascii="Times New Roman" w:hAnsi="Times New Roman" w:cs="Times New Roman"/>
          <w:color w:val="auto"/>
          <w:kern w:val="0"/>
          <w:sz w:val="22"/>
          <w:szCs w:val="22"/>
          <w:highlight w:val="none"/>
          <w:lang w:val="en-US" w:eastAsia="zh-CN"/>
        </w:rPr>
        <w:t xml:space="preserve"> </w:t>
      </w:r>
      <w:r>
        <w:rPr>
          <w:rFonts w:hint="default" w:ascii="Times New Roman" w:hAnsi="Times New Roman" w:eastAsia="宋体" w:cs="Times New Roman"/>
          <w:color w:val="auto"/>
          <w:kern w:val="2"/>
          <w:sz w:val="22"/>
          <w:szCs w:val="22"/>
          <w:highlight w:val="none"/>
          <w:lang w:val="en-US" w:eastAsia="zh-CN" w:bidi="ar"/>
        </w:rPr>
        <w:t>（7）图纸会审记录</w:t>
      </w:r>
    </w:p>
    <w:p w14:paraId="7D40F760">
      <w:pPr>
        <w:keepNext w:val="0"/>
        <w:keepLines w:val="0"/>
        <w:widowControl w:val="0"/>
        <w:suppressLineNumbers w:val="0"/>
        <w:spacing w:before="0" w:beforeAutospacing="0" w:after="0" w:afterAutospacing="0" w:line="420" w:lineRule="exact"/>
        <w:ind w:left="0" w:right="0" w:firstLine="440" w:firstLineChars="200"/>
        <w:jc w:val="left"/>
        <w:rPr>
          <w:rFonts w:hint="default" w:ascii="Times New Roman" w:hAnsi="Times New Roman" w:eastAsia="宋体" w:cs="Times New Roman"/>
          <w:color w:val="auto"/>
          <w:sz w:val="22"/>
          <w:szCs w:val="22"/>
          <w:highlight w:val="none"/>
          <w:lang w:val="en-US"/>
        </w:rPr>
      </w:pPr>
      <w:r>
        <w:rPr>
          <w:rFonts w:hint="default" w:ascii="Times New Roman" w:hAnsi="Times New Roman" w:cs="Times New Roman"/>
          <w:color w:val="auto"/>
          <w:kern w:val="0"/>
          <w:sz w:val="22"/>
          <w:szCs w:val="22"/>
          <w:highlight w:val="none"/>
          <w:lang w:eastAsia="zh-CN"/>
        </w:rPr>
        <w:t>☑</w:t>
      </w:r>
      <w:r>
        <w:rPr>
          <w:rFonts w:hint="default" w:ascii="Times New Roman" w:hAnsi="Times New Roman" w:cs="Times New Roman"/>
          <w:color w:val="auto"/>
          <w:kern w:val="0"/>
          <w:sz w:val="22"/>
          <w:szCs w:val="22"/>
          <w:highlight w:val="none"/>
          <w:lang w:val="en-US" w:eastAsia="zh-CN"/>
        </w:rPr>
        <w:t xml:space="preserve"> </w:t>
      </w:r>
      <w:r>
        <w:rPr>
          <w:rFonts w:hint="default" w:ascii="Times New Roman" w:hAnsi="Times New Roman" w:eastAsia="宋体" w:cs="Times New Roman"/>
          <w:color w:val="auto"/>
          <w:kern w:val="2"/>
          <w:sz w:val="22"/>
          <w:szCs w:val="22"/>
          <w:highlight w:val="none"/>
          <w:lang w:val="en-US" w:eastAsia="zh-CN" w:bidi="ar"/>
        </w:rPr>
        <w:t>（8）设计变更单</w:t>
      </w:r>
    </w:p>
    <w:p w14:paraId="64537704">
      <w:pPr>
        <w:keepNext w:val="0"/>
        <w:keepLines w:val="0"/>
        <w:widowControl w:val="0"/>
        <w:suppressLineNumbers w:val="0"/>
        <w:spacing w:before="0" w:beforeAutospacing="0" w:after="0" w:afterAutospacing="0" w:line="420" w:lineRule="exact"/>
        <w:ind w:left="0" w:right="0" w:firstLine="440" w:firstLineChars="200"/>
        <w:jc w:val="left"/>
        <w:rPr>
          <w:rFonts w:hint="default" w:ascii="Times New Roman" w:hAnsi="Times New Roman" w:eastAsia="宋体" w:cs="Times New Roman"/>
          <w:color w:val="auto"/>
          <w:sz w:val="22"/>
          <w:szCs w:val="22"/>
          <w:highlight w:val="none"/>
          <w:lang w:val="en-US"/>
        </w:rPr>
      </w:pPr>
      <w:r>
        <w:rPr>
          <w:rFonts w:hint="default" w:ascii="Times New Roman" w:hAnsi="Times New Roman" w:cs="Times New Roman"/>
          <w:color w:val="auto"/>
          <w:kern w:val="0"/>
          <w:sz w:val="22"/>
          <w:szCs w:val="22"/>
          <w:highlight w:val="none"/>
          <w:lang w:eastAsia="zh-CN"/>
        </w:rPr>
        <w:t>☑</w:t>
      </w:r>
      <w:r>
        <w:rPr>
          <w:rFonts w:hint="default" w:ascii="Times New Roman" w:hAnsi="Times New Roman" w:cs="Times New Roman"/>
          <w:color w:val="auto"/>
          <w:kern w:val="0"/>
          <w:sz w:val="22"/>
          <w:szCs w:val="22"/>
          <w:highlight w:val="none"/>
          <w:lang w:val="en-US" w:eastAsia="zh-CN"/>
        </w:rPr>
        <w:t xml:space="preserve"> </w:t>
      </w:r>
      <w:r>
        <w:rPr>
          <w:rFonts w:hint="default" w:ascii="Times New Roman" w:hAnsi="Times New Roman" w:eastAsia="宋体" w:cs="Times New Roman"/>
          <w:color w:val="auto"/>
          <w:kern w:val="2"/>
          <w:sz w:val="22"/>
          <w:szCs w:val="22"/>
          <w:highlight w:val="none"/>
          <w:lang w:val="en-US" w:eastAsia="zh-CN" w:bidi="ar"/>
        </w:rPr>
        <w:t>（9）工程洽商记录</w:t>
      </w:r>
    </w:p>
    <w:p w14:paraId="34DB8BD5">
      <w:pPr>
        <w:keepNext w:val="0"/>
        <w:keepLines w:val="0"/>
        <w:widowControl w:val="0"/>
        <w:suppressLineNumbers w:val="0"/>
        <w:spacing w:before="0" w:beforeAutospacing="0" w:after="0" w:afterAutospacing="0" w:line="420" w:lineRule="exact"/>
        <w:ind w:left="0" w:right="0" w:firstLine="440" w:firstLineChars="200"/>
        <w:jc w:val="left"/>
        <w:rPr>
          <w:rFonts w:hint="default" w:ascii="Times New Roman" w:hAnsi="Times New Roman" w:eastAsia="宋体" w:cs="Times New Roman"/>
          <w:color w:val="auto"/>
          <w:sz w:val="22"/>
          <w:szCs w:val="22"/>
          <w:highlight w:val="none"/>
          <w:lang w:val="en-US"/>
        </w:rPr>
      </w:pPr>
      <w:r>
        <w:rPr>
          <w:rFonts w:hint="default" w:ascii="Times New Roman" w:hAnsi="Times New Roman" w:cs="Times New Roman"/>
          <w:color w:val="auto"/>
          <w:kern w:val="0"/>
          <w:sz w:val="22"/>
          <w:szCs w:val="22"/>
          <w:highlight w:val="none"/>
          <w:lang w:eastAsia="zh-CN"/>
        </w:rPr>
        <w:t>☑</w:t>
      </w:r>
      <w:r>
        <w:rPr>
          <w:rFonts w:hint="default" w:ascii="Times New Roman" w:hAnsi="Times New Roman" w:cs="Times New Roman"/>
          <w:color w:val="auto"/>
          <w:kern w:val="0"/>
          <w:sz w:val="22"/>
          <w:szCs w:val="22"/>
          <w:highlight w:val="none"/>
          <w:lang w:val="en-US" w:eastAsia="zh-CN"/>
        </w:rPr>
        <w:t xml:space="preserve"> </w:t>
      </w:r>
      <w:r>
        <w:rPr>
          <w:rFonts w:hint="default" w:ascii="Times New Roman" w:hAnsi="Times New Roman" w:eastAsia="宋体" w:cs="Times New Roman"/>
          <w:color w:val="auto"/>
          <w:kern w:val="2"/>
          <w:sz w:val="22"/>
          <w:szCs w:val="22"/>
          <w:highlight w:val="none"/>
          <w:lang w:val="en-US" w:eastAsia="zh-CN" w:bidi="ar"/>
        </w:rPr>
        <w:t>（10）监理工程师通知或发包人施工指令</w:t>
      </w:r>
    </w:p>
    <w:p w14:paraId="7DFA6BB4">
      <w:pPr>
        <w:keepNext w:val="0"/>
        <w:keepLines w:val="0"/>
        <w:widowControl w:val="0"/>
        <w:suppressLineNumbers w:val="0"/>
        <w:spacing w:before="0" w:beforeAutospacing="0" w:after="0" w:afterAutospacing="0" w:line="420" w:lineRule="exact"/>
        <w:ind w:left="0" w:right="0" w:firstLine="440" w:firstLineChars="200"/>
        <w:jc w:val="left"/>
        <w:rPr>
          <w:rFonts w:hint="default" w:ascii="Times New Roman" w:hAnsi="Times New Roman" w:eastAsia="宋体" w:cs="Times New Roman"/>
          <w:color w:val="auto"/>
          <w:sz w:val="22"/>
          <w:szCs w:val="22"/>
          <w:highlight w:val="none"/>
          <w:lang w:val="en-US"/>
        </w:rPr>
      </w:pPr>
      <w:r>
        <w:rPr>
          <w:rFonts w:hint="default" w:ascii="Times New Roman" w:hAnsi="Times New Roman" w:cs="Times New Roman"/>
          <w:color w:val="auto"/>
          <w:kern w:val="0"/>
          <w:sz w:val="22"/>
          <w:szCs w:val="22"/>
          <w:highlight w:val="none"/>
          <w:lang w:eastAsia="zh-CN"/>
        </w:rPr>
        <w:t>☑</w:t>
      </w:r>
      <w:r>
        <w:rPr>
          <w:rFonts w:hint="default" w:ascii="Times New Roman" w:hAnsi="Times New Roman" w:cs="Times New Roman"/>
          <w:color w:val="auto"/>
          <w:kern w:val="0"/>
          <w:sz w:val="22"/>
          <w:szCs w:val="22"/>
          <w:highlight w:val="none"/>
          <w:lang w:val="en-US" w:eastAsia="zh-CN"/>
        </w:rPr>
        <w:t xml:space="preserve"> </w:t>
      </w:r>
      <w:r>
        <w:rPr>
          <w:rFonts w:hint="default" w:ascii="Times New Roman" w:hAnsi="Times New Roman" w:eastAsia="宋体" w:cs="Times New Roman"/>
          <w:color w:val="auto"/>
          <w:kern w:val="2"/>
          <w:sz w:val="22"/>
          <w:szCs w:val="22"/>
          <w:highlight w:val="none"/>
          <w:lang w:val="en-US" w:eastAsia="zh-CN" w:bidi="ar"/>
        </w:rPr>
        <w:t>（11）会议纪要</w:t>
      </w:r>
    </w:p>
    <w:p w14:paraId="60B7A296">
      <w:pPr>
        <w:keepNext w:val="0"/>
        <w:keepLines w:val="0"/>
        <w:widowControl w:val="0"/>
        <w:suppressLineNumbers w:val="0"/>
        <w:spacing w:before="0" w:beforeAutospacing="0" w:after="0" w:afterAutospacing="0" w:line="420" w:lineRule="exact"/>
        <w:ind w:left="0" w:right="0" w:firstLine="440" w:firstLineChars="200"/>
        <w:jc w:val="left"/>
        <w:rPr>
          <w:rFonts w:hint="default" w:ascii="Times New Roman" w:hAnsi="Times New Roman" w:eastAsia="宋体" w:cs="Times New Roman"/>
          <w:color w:val="auto"/>
          <w:sz w:val="22"/>
          <w:szCs w:val="22"/>
          <w:highlight w:val="none"/>
          <w:lang w:val="en-US"/>
        </w:rPr>
      </w:pPr>
      <w:r>
        <w:rPr>
          <w:rFonts w:hint="default" w:ascii="Times New Roman" w:hAnsi="Times New Roman" w:cs="Times New Roman"/>
          <w:color w:val="auto"/>
          <w:kern w:val="0"/>
          <w:sz w:val="22"/>
          <w:szCs w:val="22"/>
          <w:highlight w:val="none"/>
          <w:lang w:eastAsia="zh-CN"/>
        </w:rPr>
        <w:t>☑</w:t>
      </w:r>
      <w:r>
        <w:rPr>
          <w:rFonts w:hint="default" w:ascii="Times New Roman" w:hAnsi="Times New Roman" w:cs="Times New Roman"/>
          <w:color w:val="auto"/>
          <w:kern w:val="0"/>
          <w:sz w:val="22"/>
          <w:szCs w:val="22"/>
          <w:highlight w:val="none"/>
          <w:lang w:val="en-US" w:eastAsia="zh-CN"/>
        </w:rPr>
        <w:t xml:space="preserve"> </w:t>
      </w:r>
      <w:r>
        <w:rPr>
          <w:rFonts w:hint="default" w:ascii="Times New Roman" w:hAnsi="Times New Roman" w:eastAsia="宋体" w:cs="Times New Roman"/>
          <w:color w:val="auto"/>
          <w:kern w:val="2"/>
          <w:sz w:val="22"/>
          <w:szCs w:val="22"/>
          <w:highlight w:val="none"/>
          <w:lang w:val="en-US" w:eastAsia="zh-CN" w:bidi="ar"/>
        </w:rPr>
        <w:t>（12）现场签证单</w:t>
      </w:r>
    </w:p>
    <w:p w14:paraId="00355516">
      <w:pPr>
        <w:keepNext w:val="0"/>
        <w:keepLines w:val="0"/>
        <w:widowControl w:val="0"/>
        <w:suppressLineNumbers w:val="0"/>
        <w:spacing w:before="0" w:beforeAutospacing="0" w:after="0" w:afterAutospacing="0" w:line="420" w:lineRule="exact"/>
        <w:ind w:left="0" w:right="0" w:firstLine="440" w:firstLineChars="200"/>
        <w:jc w:val="left"/>
        <w:rPr>
          <w:rFonts w:hint="default" w:ascii="Times New Roman" w:hAnsi="Times New Roman" w:eastAsia="宋体" w:cs="Times New Roman"/>
          <w:color w:val="auto"/>
          <w:sz w:val="22"/>
          <w:szCs w:val="22"/>
          <w:highlight w:val="none"/>
          <w:lang w:val="en-US"/>
        </w:rPr>
      </w:pPr>
      <w:r>
        <w:rPr>
          <w:rFonts w:hint="default" w:ascii="Times New Roman" w:hAnsi="Times New Roman" w:eastAsia="宋体" w:cs="Times New Roman"/>
          <w:color w:val="auto"/>
          <w:kern w:val="0"/>
          <w:sz w:val="22"/>
          <w:szCs w:val="22"/>
          <w:highlight w:val="none"/>
          <w:lang w:val="en-US" w:eastAsia="zh-CN" w:bidi="ar"/>
        </w:rPr>
        <w:sym w:font="Wingdings 2" w:char="00A3"/>
      </w:r>
      <w:r>
        <w:rPr>
          <w:rFonts w:hint="default" w:ascii="Times New Roman" w:hAnsi="Times New Roman" w:eastAsia="宋体" w:cs="Times New Roman"/>
          <w:color w:val="auto"/>
          <w:kern w:val="2"/>
          <w:sz w:val="22"/>
          <w:szCs w:val="22"/>
          <w:highlight w:val="none"/>
          <w:lang w:val="en-US" w:eastAsia="zh-CN" w:bidi="ar"/>
        </w:rPr>
        <w:t>（13）材料设备单价呈批审核单</w:t>
      </w:r>
    </w:p>
    <w:p w14:paraId="3094B979">
      <w:pPr>
        <w:keepNext w:val="0"/>
        <w:keepLines w:val="0"/>
        <w:widowControl w:val="0"/>
        <w:suppressLineNumbers w:val="0"/>
        <w:spacing w:before="0" w:beforeAutospacing="0" w:after="0" w:afterAutospacing="0" w:line="420" w:lineRule="exact"/>
        <w:ind w:left="0" w:right="0" w:firstLine="440" w:firstLineChars="200"/>
        <w:jc w:val="left"/>
        <w:rPr>
          <w:rFonts w:hint="default" w:ascii="Times New Roman" w:hAnsi="Times New Roman" w:eastAsia="宋体" w:cs="Times New Roman"/>
          <w:color w:val="auto"/>
          <w:sz w:val="22"/>
          <w:szCs w:val="22"/>
          <w:highlight w:val="none"/>
          <w:lang w:val="en-US"/>
        </w:rPr>
      </w:pPr>
      <w:r>
        <w:rPr>
          <w:rFonts w:hint="default" w:ascii="Times New Roman" w:hAnsi="Times New Roman" w:eastAsia="宋体" w:cs="Times New Roman"/>
          <w:color w:val="auto"/>
          <w:kern w:val="0"/>
          <w:sz w:val="22"/>
          <w:szCs w:val="22"/>
          <w:highlight w:val="none"/>
          <w:lang w:val="en-US" w:eastAsia="zh-CN" w:bidi="ar"/>
        </w:rPr>
        <w:sym w:font="Wingdings 2" w:char="00A3"/>
      </w:r>
      <w:r>
        <w:rPr>
          <w:rFonts w:hint="default" w:ascii="Times New Roman" w:hAnsi="Times New Roman" w:eastAsia="宋体" w:cs="Times New Roman"/>
          <w:color w:val="auto"/>
          <w:kern w:val="2"/>
          <w:sz w:val="22"/>
          <w:szCs w:val="22"/>
          <w:highlight w:val="none"/>
          <w:lang w:val="en-US" w:eastAsia="zh-CN" w:bidi="ar"/>
        </w:rPr>
        <w:t>（14）综合单价呈批审核单</w:t>
      </w:r>
    </w:p>
    <w:p w14:paraId="15EFB31F">
      <w:pPr>
        <w:keepNext w:val="0"/>
        <w:keepLines w:val="0"/>
        <w:widowControl w:val="0"/>
        <w:suppressLineNumbers w:val="0"/>
        <w:spacing w:before="0" w:beforeAutospacing="0" w:after="0" w:afterAutospacing="0" w:line="420" w:lineRule="exact"/>
        <w:ind w:left="0" w:right="0" w:firstLine="440" w:firstLineChars="200"/>
        <w:jc w:val="left"/>
        <w:rPr>
          <w:rFonts w:hint="default" w:ascii="Times New Roman" w:hAnsi="Times New Roman" w:eastAsia="宋体" w:cs="Times New Roman"/>
          <w:color w:val="auto"/>
          <w:sz w:val="22"/>
          <w:szCs w:val="22"/>
          <w:highlight w:val="none"/>
          <w:lang w:val="en-US"/>
        </w:rPr>
      </w:pPr>
      <w:r>
        <w:rPr>
          <w:rFonts w:hint="default" w:ascii="Times New Roman" w:hAnsi="Times New Roman" w:cs="Times New Roman"/>
          <w:color w:val="auto"/>
          <w:kern w:val="0"/>
          <w:sz w:val="22"/>
          <w:szCs w:val="22"/>
          <w:highlight w:val="none"/>
          <w:lang w:eastAsia="zh-CN"/>
        </w:rPr>
        <w:t>☑</w:t>
      </w:r>
      <w:r>
        <w:rPr>
          <w:rFonts w:hint="default" w:ascii="Times New Roman" w:hAnsi="Times New Roman" w:cs="Times New Roman"/>
          <w:color w:val="auto"/>
          <w:kern w:val="0"/>
          <w:sz w:val="22"/>
          <w:szCs w:val="22"/>
          <w:highlight w:val="none"/>
          <w:lang w:val="en-US" w:eastAsia="zh-CN"/>
        </w:rPr>
        <w:t xml:space="preserve"> </w:t>
      </w:r>
      <w:r>
        <w:rPr>
          <w:rFonts w:hint="default" w:ascii="Times New Roman" w:hAnsi="Times New Roman" w:eastAsia="宋体" w:cs="Times New Roman"/>
          <w:color w:val="auto"/>
          <w:kern w:val="2"/>
          <w:sz w:val="22"/>
          <w:szCs w:val="22"/>
          <w:highlight w:val="none"/>
          <w:lang w:val="en-US" w:eastAsia="zh-CN" w:bidi="ar"/>
        </w:rPr>
        <w:t>（15）招标文件、答疑纪要</w:t>
      </w:r>
    </w:p>
    <w:p w14:paraId="374A58BE">
      <w:pPr>
        <w:keepNext w:val="0"/>
        <w:keepLines w:val="0"/>
        <w:widowControl w:val="0"/>
        <w:suppressLineNumbers w:val="0"/>
        <w:spacing w:before="0" w:beforeAutospacing="0" w:after="0" w:afterAutospacing="0" w:line="420" w:lineRule="exact"/>
        <w:ind w:left="0" w:right="0" w:firstLine="440" w:firstLineChars="200"/>
        <w:jc w:val="left"/>
        <w:rPr>
          <w:rFonts w:hint="default" w:ascii="Times New Roman" w:hAnsi="Times New Roman" w:eastAsia="宋体" w:cs="Times New Roman"/>
          <w:color w:val="auto"/>
          <w:sz w:val="22"/>
          <w:szCs w:val="22"/>
          <w:highlight w:val="none"/>
          <w:lang w:val="en-US"/>
        </w:rPr>
      </w:pPr>
      <w:r>
        <w:rPr>
          <w:rFonts w:hint="default" w:ascii="Times New Roman" w:hAnsi="Times New Roman" w:cs="Times New Roman"/>
          <w:color w:val="auto"/>
          <w:kern w:val="0"/>
          <w:sz w:val="22"/>
          <w:szCs w:val="22"/>
          <w:highlight w:val="none"/>
          <w:lang w:eastAsia="zh-CN"/>
        </w:rPr>
        <w:t>☑</w:t>
      </w:r>
      <w:r>
        <w:rPr>
          <w:rFonts w:hint="default" w:ascii="Times New Roman" w:hAnsi="Times New Roman" w:cs="Times New Roman"/>
          <w:color w:val="auto"/>
          <w:kern w:val="0"/>
          <w:sz w:val="22"/>
          <w:szCs w:val="22"/>
          <w:highlight w:val="none"/>
          <w:lang w:val="en-US" w:eastAsia="zh-CN"/>
        </w:rPr>
        <w:t xml:space="preserve"> </w:t>
      </w:r>
      <w:r>
        <w:rPr>
          <w:rFonts w:hint="default" w:ascii="Times New Roman" w:hAnsi="Times New Roman" w:eastAsia="宋体" w:cs="Times New Roman"/>
          <w:color w:val="auto"/>
          <w:kern w:val="2"/>
          <w:sz w:val="22"/>
          <w:szCs w:val="22"/>
          <w:highlight w:val="none"/>
          <w:lang w:val="en-US" w:eastAsia="zh-CN" w:bidi="ar"/>
        </w:rPr>
        <w:t>（16）投标文件（含经济标软件版）、中标通知书</w:t>
      </w:r>
    </w:p>
    <w:p w14:paraId="0262C576">
      <w:pPr>
        <w:keepNext w:val="0"/>
        <w:keepLines w:val="0"/>
        <w:widowControl w:val="0"/>
        <w:suppressLineNumbers w:val="0"/>
        <w:spacing w:before="0" w:beforeAutospacing="0" w:after="0" w:afterAutospacing="0" w:line="420" w:lineRule="exact"/>
        <w:ind w:left="0" w:right="0" w:firstLine="440" w:firstLineChars="200"/>
        <w:jc w:val="left"/>
        <w:rPr>
          <w:rFonts w:hint="default" w:ascii="Times New Roman" w:hAnsi="Times New Roman" w:eastAsia="宋体" w:cs="Times New Roman"/>
          <w:color w:val="auto"/>
          <w:sz w:val="22"/>
          <w:szCs w:val="22"/>
          <w:highlight w:val="none"/>
          <w:lang w:val="en-US"/>
        </w:rPr>
      </w:pPr>
      <w:r>
        <w:rPr>
          <w:rFonts w:hint="default" w:ascii="Times New Roman" w:hAnsi="Times New Roman" w:cs="Times New Roman"/>
          <w:color w:val="auto"/>
          <w:kern w:val="0"/>
          <w:sz w:val="22"/>
          <w:szCs w:val="22"/>
          <w:highlight w:val="none"/>
          <w:lang w:eastAsia="zh-CN"/>
        </w:rPr>
        <w:t>☑</w:t>
      </w:r>
      <w:r>
        <w:rPr>
          <w:rFonts w:hint="default" w:ascii="Times New Roman" w:hAnsi="Times New Roman" w:cs="Times New Roman"/>
          <w:color w:val="auto"/>
          <w:kern w:val="0"/>
          <w:sz w:val="22"/>
          <w:szCs w:val="22"/>
          <w:highlight w:val="none"/>
          <w:lang w:val="en-US" w:eastAsia="zh-CN"/>
        </w:rPr>
        <w:t xml:space="preserve"> </w:t>
      </w:r>
      <w:r>
        <w:rPr>
          <w:rFonts w:hint="default" w:ascii="Times New Roman" w:hAnsi="Times New Roman" w:eastAsia="宋体" w:cs="Times New Roman"/>
          <w:color w:val="auto"/>
          <w:kern w:val="2"/>
          <w:sz w:val="22"/>
          <w:szCs w:val="22"/>
          <w:highlight w:val="none"/>
          <w:lang w:val="en-US" w:eastAsia="zh-CN" w:bidi="ar"/>
        </w:rPr>
        <w:t>（17）发包人供应材料收货验收签收单</w:t>
      </w:r>
    </w:p>
    <w:p w14:paraId="1E8CD08B">
      <w:pPr>
        <w:keepNext w:val="0"/>
        <w:keepLines w:val="0"/>
        <w:widowControl w:val="0"/>
        <w:suppressLineNumbers w:val="0"/>
        <w:spacing w:before="0" w:beforeAutospacing="0" w:after="0" w:afterAutospacing="0" w:line="420" w:lineRule="exact"/>
        <w:ind w:left="0" w:right="0" w:firstLine="440" w:firstLineChars="200"/>
        <w:jc w:val="left"/>
        <w:rPr>
          <w:rFonts w:hint="default" w:ascii="Times New Roman" w:hAnsi="Times New Roman" w:eastAsia="宋体" w:cs="Times New Roman"/>
          <w:color w:val="auto"/>
          <w:sz w:val="22"/>
          <w:szCs w:val="22"/>
          <w:highlight w:val="none"/>
          <w:lang w:val="en-US"/>
        </w:rPr>
      </w:pPr>
      <w:r>
        <w:rPr>
          <w:rFonts w:hint="default" w:ascii="Times New Roman" w:hAnsi="Times New Roman" w:cs="Times New Roman"/>
          <w:color w:val="auto"/>
          <w:kern w:val="0"/>
          <w:sz w:val="22"/>
          <w:szCs w:val="22"/>
          <w:highlight w:val="none"/>
          <w:lang w:eastAsia="zh-CN"/>
        </w:rPr>
        <w:t>☑</w:t>
      </w:r>
      <w:r>
        <w:rPr>
          <w:rFonts w:hint="default" w:ascii="Times New Roman" w:hAnsi="Times New Roman" w:cs="Times New Roman"/>
          <w:color w:val="auto"/>
          <w:kern w:val="0"/>
          <w:sz w:val="22"/>
          <w:szCs w:val="22"/>
          <w:highlight w:val="none"/>
          <w:lang w:val="en-US" w:eastAsia="zh-CN"/>
        </w:rPr>
        <w:t xml:space="preserve"> </w:t>
      </w:r>
      <w:r>
        <w:rPr>
          <w:rFonts w:hint="default" w:ascii="Times New Roman" w:hAnsi="Times New Roman" w:eastAsia="宋体" w:cs="Times New Roman"/>
          <w:color w:val="auto"/>
          <w:kern w:val="2"/>
          <w:sz w:val="22"/>
          <w:szCs w:val="22"/>
          <w:highlight w:val="none"/>
          <w:lang w:val="en-US" w:eastAsia="zh-CN" w:bidi="ar"/>
        </w:rPr>
        <w:t>（18）其他结算资料</w:t>
      </w:r>
    </w:p>
    <w:p w14:paraId="7AD1D550">
      <w:pPr>
        <w:keepNext w:val="0"/>
        <w:keepLines w:val="0"/>
        <w:widowControl w:val="0"/>
        <w:suppressLineNumbers w:val="0"/>
        <w:spacing w:before="0" w:beforeAutospacing="0" w:after="0" w:afterAutospacing="0" w:line="420" w:lineRule="exact"/>
        <w:ind w:left="0" w:right="0" w:firstLine="440" w:firstLineChars="200"/>
        <w:jc w:val="left"/>
        <w:rPr>
          <w:rFonts w:hint="default" w:ascii="Times New Roman" w:hAnsi="Times New Roman" w:eastAsia="宋体" w:cs="Times New Roman"/>
          <w:color w:val="auto"/>
          <w:sz w:val="22"/>
          <w:szCs w:val="22"/>
          <w:highlight w:val="none"/>
          <w:lang w:val="en-US"/>
        </w:rPr>
      </w:pPr>
      <w:r>
        <w:rPr>
          <w:rFonts w:hint="default" w:ascii="Times New Roman" w:hAnsi="Times New Roman" w:cs="Times New Roman"/>
          <w:color w:val="auto"/>
          <w:kern w:val="0"/>
          <w:sz w:val="22"/>
          <w:szCs w:val="22"/>
          <w:highlight w:val="none"/>
          <w:lang w:eastAsia="zh-CN"/>
        </w:rPr>
        <w:t>☑</w:t>
      </w:r>
      <w:r>
        <w:rPr>
          <w:rFonts w:hint="default" w:ascii="Times New Roman" w:hAnsi="Times New Roman" w:cs="Times New Roman"/>
          <w:color w:val="auto"/>
          <w:kern w:val="0"/>
          <w:sz w:val="22"/>
          <w:szCs w:val="22"/>
          <w:highlight w:val="none"/>
          <w:lang w:val="en-US" w:eastAsia="zh-CN"/>
        </w:rPr>
        <w:t xml:space="preserve"> </w:t>
      </w:r>
      <w:r>
        <w:rPr>
          <w:rFonts w:hint="default" w:ascii="Times New Roman" w:hAnsi="Times New Roman" w:eastAsia="宋体" w:cs="Times New Roman"/>
          <w:color w:val="auto"/>
          <w:kern w:val="2"/>
          <w:sz w:val="22"/>
          <w:szCs w:val="22"/>
          <w:highlight w:val="none"/>
          <w:lang w:val="en-US" w:eastAsia="zh-CN" w:bidi="ar"/>
        </w:rPr>
        <w:t>（19）工期履行审核表</w:t>
      </w:r>
    </w:p>
    <w:p w14:paraId="23C8A826">
      <w:pPr>
        <w:keepNext w:val="0"/>
        <w:keepLines w:val="0"/>
        <w:widowControl w:val="0"/>
        <w:suppressLineNumbers w:val="0"/>
        <w:spacing w:before="0" w:beforeAutospacing="0" w:after="0" w:afterAutospacing="0" w:line="420" w:lineRule="exact"/>
        <w:ind w:left="0" w:right="0" w:firstLine="440" w:firstLineChars="200"/>
        <w:jc w:val="left"/>
        <w:rPr>
          <w:rFonts w:hint="default" w:ascii="Times New Roman" w:hAnsi="Times New Roman" w:eastAsia="宋体" w:cs="Times New Roman"/>
          <w:color w:val="auto"/>
          <w:sz w:val="22"/>
          <w:szCs w:val="22"/>
          <w:highlight w:val="none"/>
          <w:u w:val="single"/>
          <w:lang w:val="en-US"/>
        </w:rPr>
      </w:pPr>
      <w:r>
        <w:rPr>
          <w:rFonts w:hint="default" w:ascii="Times New Roman" w:hAnsi="Times New Roman" w:cs="Times New Roman"/>
          <w:color w:val="auto"/>
          <w:kern w:val="0"/>
          <w:sz w:val="22"/>
          <w:szCs w:val="22"/>
          <w:highlight w:val="none"/>
          <w:lang w:eastAsia="zh-CN"/>
        </w:rPr>
        <w:t>☑</w:t>
      </w:r>
      <w:r>
        <w:rPr>
          <w:rFonts w:hint="default" w:ascii="Times New Roman" w:hAnsi="Times New Roman" w:cs="Times New Roman"/>
          <w:color w:val="auto"/>
          <w:kern w:val="0"/>
          <w:sz w:val="22"/>
          <w:szCs w:val="22"/>
          <w:highlight w:val="none"/>
          <w:lang w:val="en-US" w:eastAsia="zh-CN"/>
        </w:rPr>
        <w:t xml:space="preserve"> </w:t>
      </w:r>
      <w:r>
        <w:rPr>
          <w:rFonts w:hint="default" w:ascii="Times New Roman" w:hAnsi="Times New Roman" w:eastAsia="宋体" w:cs="Times New Roman"/>
          <w:color w:val="auto"/>
          <w:kern w:val="2"/>
          <w:sz w:val="22"/>
          <w:szCs w:val="22"/>
          <w:highlight w:val="none"/>
          <w:lang w:val="en-US" w:eastAsia="zh-CN" w:bidi="ar"/>
        </w:rPr>
        <w:t>（20）移交资料签收表</w:t>
      </w:r>
    </w:p>
    <w:p w14:paraId="1246E999">
      <w:pPr>
        <w:keepNext w:val="0"/>
        <w:keepLines w:val="0"/>
        <w:widowControl w:val="0"/>
        <w:suppressLineNumbers w:val="0"/>
        <w:spacing w:before="0" w:beforeAutospacing="0" w:after="0" w:afterAutospacing="0" w:line="420" w:lineRule="exact"/>
        <w:ind w:left="0" w:right="0" w:firstLine="440" w:firstLineChars="200"/>
        <w:jc w:val="left"/>
        <w:rPr>
          <w:rFonts w:hint="default" w:ascii="Times New Roman" w:hAnsi="Times New Roman" w:eastAsia="宋体" w:cs="Times New Roman"/>
          <w:color w:val="auto"/>
          <w:sz w:val="22"/>
          <w:szCs w:val="22"/>
          <w:highlight w:val="none"/>
          <w:u w:val="single"/>
          <w:lang w:val="en-US"/>
        </w:rPr>
      </w:pPr>
      <w:r>
        <w:rPr>
          <w:rFonts w:hint="default" w:ascii="Times New Roman" w:hAnsi="Times New Roman" w:eastAsia="宋体" w:cs="Times New Roman"/>
          <w:color w:val="auto"/>
          <w:kern w:val="0"/>
          <w:sz w:val="22"/>
          <w:szCs w:val="22"/>
          <w:highlight w:val="none"/>
          <w:lang w:val="en-US" w:eastAsia="zh-CN" w:bidi="ar"/>
        </w:rPr>
        <w:sym w:font="Wingdings 2" w:char="00A3"/>
      </w:r>
      <w:r>
        <w:rPr>
          <w:rFonts w:hint="default" w:ascii="Times New Roman" w:hAnsi="Times New Roman" w:eastAsia="宋体" w:cs="Times New Roman"/>
          <w:color w:val="auto"/>
          <w:kern w:val="2"/>
          <w:sz w:val="22"/>
          <w:szCs w:val="22"/>
          <w:highlight w:val="none"/>
          <w:lang w:val="en-US" w:eastAsia="zh-CN" w:bidi="ar"/>
        </w:rPr>
        <w:t>（21）</w:t>
      </w:r>
      <w:r>
        <w:rPr>
          <w:rFonts w:hint="default" w:ascii="Times New Roman" w:hAnsi="Times New Roman" w:cs="Times New Roman"/>
          <w:color w:val="auto"/>
          <w:kern w:val="2"/>
          <w:sz w:val="22"/>
          <w:szCs w:val="22"/>
          <w:highlight w:val="none"/>
          <w:lang w:val="en-US" w:eastAsia="zh-CN" w:bidi="ar"/>
        </w:rPr>
        <w:t>其他</w:t>
      </w:r>
    </w:p>
    <w:p w14:paraId="414254DB">
      <w:pPr>
        <w:keepNext w:val="0"/>
        <w:keepLines w:val="0"/>
        <w:widowControl w:val="0"/>
        <w:suppressLineNumbers w:val="0"/>
        <w:spacing w:before="0" w:beforeAutospacing="0" w:after="0" w:afterAutospacing="0" w:line="420" w:lineRule="exact"/>
        <w:ind w:left="0" w:right="0" w:firstLine="440" w:firstLineChars="200"/>
        <w:jc w:val="left"/>
        <w:rPr>
          <w:rFonts w:hint="default" w:ascii="Times New Roman" w:hAnsi="Times New Roman" w:eastAsia="宋体" w:cs="Times New Roman"/>
          <w:color w:val="auto"/>
          <w:kern w:val="0"/>
          <w:sz w:val="22"/>
          <w:szCs w:val="22"/>
          <w:highlight w:val="none"/>
          <w:u w:val="single"/>
          <w:lang w:val="en-US"/>
        </w:rPr>
      </w:pPr>
      <w:r>
        <w:rPr>
          <w:rFonts w:hint="default" w:ascii="Times New Roman" w:hAnsi="Times New Roman" w:eastAsia="宋体" w:cs="Times New Roman"/>
          <w:color w:val="auto"/>
          <w:kern w:val="0"/>
          <w:sz w:val="22"/>
          <w:szCs w:val="22"/>
          <w:highlight w:val="none"/>
          <w:lang w:val="en-US" w:eastAsia="zh-CN" w:bidi="ar"/>
        </w:rPr>
        <w:t>（2）发包人对送审结算资料的具体要求：</w:t>
      </w:r>
      <w:r>
        <w:rPr>
          <w:rFonts w:hint="default" w:ascii="Times New Roman" w:hAnsi="Times New Roman" w:eastAsia="宋体" w:cs="Times New Roman"/>
          <w:color w:val="auto"/>
          <w:kern w:val="0"/>
          <w:sz w:val="22"/>
          <w:szCs w:val="22"/>
          <w:highlight w:val="none"/>
          <w:u w:val="single"/>
          <w:lang w:val="en-US" w:eastAsia="zh-CN" w:bidi="ar"/>
        </w:rPr>
        <w:t xml:space="preserve">                            </w:t>
      </w:r>
    </w:p>
    <w:p w14:paraId="7F04D98C">
      <w:pPr>
        <w:spacing w:line="360" w:lineRule="auto"/>
        <w:rPr>
          <w:rFonts w:hint="default" w:ascii="Times New Roman" w:hAnsi="Times New Roman" w:cs="Times New Roman"/>
          <w:color w:val="auto"/>
          <w:kern w:val="0"/>
          <w:sz w:val="22"/>
          <w:szCs w:val="22"/>
          <w:highlight w:val="none"/>
          <w:u w:val="single"/>
        </w:rPr>
      </w:pPr>
    </w:p>
    <w:p w14:paraId="7B19DA0C">
      <w:pPr>
        <w:pStyle w:val="4"/>
        <w:numPr>
          <w:ilvl w:val="0"/>
          <w:numId w:val="0"/>
        </w:numPr>
        <w:tabs>
          <w:tab w:val="left" w:pos="360"/>
          <w:tab w:val="left" w:pos="420"/>
          <w:tab w:val="left" w:pos="576"/>
        </w:tabs>
        <w:spacing w:line="420" w:lineRule="exact"/>
        <w:rPr>
          <w:rFonts w:hint="default" w:ascii="Times New Roman" w:hAnsi="Times New Roman" w:cs="Times New Roman"/>
          <w:b/>
          <w:bCs/>
          <w:color w:val="auto"/>
          <w:sz w:val="22"/>
          <w:szCs w:val="22"/>
          <w:highlight w:val="none"/>
        </w:rPr>
      </w:pPr>
      <w:bookmarkStart w:id="460" w:name="_Toc1687317442"/>
      <w:bookmarkStart w:id="461" w:name="_Toc469384132"/>
      <w:bookmarkStart w:id="462" w:name="_Toc32300"/>
      <w:r>
        <w:rPr>
          <w:rFonts w:hint="default" w:ascii="Times New Roman" w:hAnsi="Times New Roman" w:cs="Times New Roman"/>
          <w:b/>
          <w:bCs/>
          <w:color w:val="auto"/>
          <w:sz w:val="22"/>
          <w:szCs w:val="22"/>
          <w:highlight w:val="none"/>
        </w:rPr>
        <w:t>★83. 结算款</w:t>
      </w:r>
      <w:bookmarkEnd w:id="460"/>
      <w:bookmarkEnd w:id="461"/>
      <w:bookmarkEnd w:id="462"/>
    </w:p>
    <w:p w14:paraId="5F946D09">
      <w:pPr>
        <w:spacing w:line="420" w:lineRule="exact"/>
        <w:rPr>
          <w:rFonts w:hint="default" w:ascii="Times New Roman" w:hAnsi="Times New Roman" w:cs="Times New Roman"/>
          <w:color w:val="auto"/>
          <w:kern w:val="0"/>
          <w:sz w:val="22"/>
          <w:szCs w:val="22"/>
          <w:highlight w:val="none"/>
        </w:rPr>
      </w:pPr>
    </w:p>
    <w:p w14:paraId="5E108E76">
      <w:pPr>
        <w:spacing w:line="360" w:lineRule="auto"/>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83.1 提交竣工支付申请</w:t>
      </w:r>
    </w:p>
    <w:p w14:paraId="6E5D724D">
      <w:pPr>
        <w:spacing w:line="360" w:lineRule="auto"/>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（1）竣工支付期限</w:t>
      </w:r>
    </w:p>
    <w:p w14:paraId="65D16F9E">
      <w:pPr>
        <w:spacing w:line="360" w:lineRule="auto"/>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□按通用条款的规定，在造价工程师签发竣工结算支付证书后的28天内。</w:t>
      </w:r>
    </w:p>
    <w:p w14:paraId="199AA58D">
      <w:pPr>
        <w:spacing w:line="360" w:lineRule="auto"/>
        <w:rPr>
          <w:rFonts w:hint="default" w:ascii="Times New Roman" w:hAnsi="Times New Roman" w:eastAsia="宋体" w:cs="Times New Roman"/>
          <w:b w:val="0"/>
          <w:bCs w:val="0"/>
          <w:color w:val="auto"/>
          <w:kern w:val="0"/>
          <w:sz w:val="24"/>
          <w:highlight w:val="none"/>
          <w:lang w:eastAsia="zh-CN"/>
        </w:rPr>
      </w:pPr>
      <w:r>
        <w:rPr>
          <w:rFonts w:hint="default" w:ascii="Times New Roman" w:hAnsi="Times New Roman" w:cs="Times New Roman"/>
          <w:color w:val="auto"/>
          <w:kern w:val="0"/>
          <w:sz w:val="22"/>
          <w:szCs w:val="22"/>
          <w:highlight w:val="none"/>
          <w:lang w:eastAsia="zh-CN"/>
        </w:rPr>
        <w:t>☑</w:t>
      </w:r>
      <w:r>
        <w:rPr>
          <w:rFonts w:hint="default" w:ascii="Times New Roman" w:hAnsi="Times New Roman" w:cs="Times New Roman"/>
          <w:color w:val="auto"/>
          <w:kern w:val="0"/>
          <w:sz w:val="22"/>
          <w:szCs w:val="22"/>
          <w:highlight w:val="none"/>
        </w:rPr>
        <w:t>另有约定</w:t>
      </w:r>
      <w:r>
        <w:rPr>
          <w:rFonts w:hint="default" w:ascii="Times New Roman" w:hAnsi="Times New Roman" w:cs="Times New Roman"/>
          <w:color w:val="auto"/>
          <w:kern w:val="0"/>
          <w:sz w:val="22"/>
          <w:szCs w:val="22"/>
          <w:highlight w:val="none"/>
          <w:lang w:eastAsia="zh-CN"/>
        </w:rPr>
        <w:t>：</w:t>
      </w:r>
      <w:r>
        <w:rPr>
          <w:rFonts w:hint="default" w:ascii="Times New Roman" w:hAnsi="Times New Roman" w:cs="Times New Roman"/>
          <w:color w:val="auto"/>
          <w:kern w:val="0"/>
          <w:sz w:val="22"/>
          <w:szCs w:val="22"/>
          <w:highlight w:val="none"/>
          <w:u w:val="single"/>
          <w:lang w:eastAsia="zh-CN"/>
        </w:rPr>
        <w:t>发包方在收到承包方提交的完整请款文件（</w:t>
      </w:r>
      <w:r>
        <w:rPr>
          <w:rFonts w:hint="default" w:ascii="Times New Roman" w:hAnsi="Times New Roman" w:cs="Times New Roman"/>
          <w:b w:val="0"/>
          <w:bCs w:val="0"/>
          <w:color w:val="auto"/>
          <w:kern w:val="0"/>
          <w:sz w:val="22"/>
          <w:szCs w:val="22"/>
          <w:highlight w:val="none"/>
          <w:u w:val="single"/>
          <w:lang w:eastAsia="zh-CN"/>
        </w:rPr>
        <w:t>请款报告、支付依据等）后15天内向上申报支付相应阶段的费用。发包方因自身原因迟延向承包方支付鉴定服务费的，以未付的款项为本金按合同订立时1年期贷款市场报价利率向承包方支付违约金，违约金最高不超过未付款项的</w:t>
      </w:r>
      <w:r>
        <w:rPr>
          <w:rFonts w:hint="default" w:ascii="Times New Roman" w:hAnsi="Times New Roman" w:cs="Times New Roman"/>
          <w:b w:val="0"/>
          <w:bCs w:val="0"/>
          <w:color w:val="auto"/>
          <w:kern w:val="0"/>
          <w:sz w:val="22"/>
          <w:szCs w:val="22"/>
          <w:highlight w:val="none"/>
          <w:u w:val="single"/>
          <w:lang w:val="en-US" w:eastAsia="zh-CN"/>
        </w:rPr>
        <w:t xml:space="preserve">     </w:t>
      </w:r>
      <w:r>
        <w:rPr>
          <w:rFonts w:hint="default" w:ascii="Times New Roman" w:hAnsi="Times New Roman" w:cs="Times New Roman"/>
          <w:b w:val="0"/>
          <w:bCs w:val="0"/>
          <w:color w:val="auto"/>
          <w:kern w:val="0"/>
          <w:sz w:val="22"/>
          <w:szCs w:val="22"/>
          <w:highlight w:val="none"/>
          <w:u w:val="single"/>
          <w:lang w:eastAsia="zh-CN"/>
        </w:rPr>
        <w:t>%。</w:t>
      </w:r>
      <w:r>
        <w:rPr>
          <w:rFonts w:hint="default" w:ascii="Times New Roman" w:hAnsi="Times New Roman" w:eastAsia="宋体" w:cs="Times New Roman"/>
          <w:b w:val="0"/>
          <w:bCs w:val="0"/>
          <w:color w:val="auto"/>
          <w:kern w:val="0"/>
          <w:sz w:val="22"/>
          <w:szCs w:val="22"/>
          <w:highlight w:val="none"/>
          <w:u w:val="single"/>
          <w:lang w:val="en-US" w:eastAsia="zh-CN" w:bidi="ar"/>
        </w:rPr>
        <w:t>本项目为财政资金，均须遵守财政国库集中支付制度，在发包人完成各项支付手续报财政审批时，财政部门审批导致支付时间延长的，不属发包人违约。</w:t>
      </w:r>
      <w:r>
        <w:rPr>
          <w:rFonts w:hint="default" w:ascii="Times New Roman" w:hAnsi="Times New Roman" w:eastAsia="宋体" w:cs="Times New Roman"/>
          <w:color w:val="auto"/>
          <w:kern w:val="0"/>
          <w:sz w:val="22"/>
          <w:szCs w:val="22"/>
          <w:highlight w:val="none"/>
          <w:u w:val="single"/>
          <w:lang w:val="en-US" w:eastAsia="zh-CN" w:bidi="ar"/>
        </w:rPr>
        <w:t>承包人不得要求发包人支付违约金，不得要求发包人赔偿或补偿。</w:t>
      </w:r>
    </w:p>
    <w:p w14:paraId="52563B70">
      <w:pPr>
        <w:spacing w:line="360" w:lineRule="auto"/>
        <w:rPr>
          <w:rFonts w:hint="default" w:ascii="Times New Roman" w:hAnsi="Times New Roman" w:eastAsia="宋体" w:cs="Times New Roman"/>
          <w:color w:val="auto"/>
          <w:kern w:val="0"/>
          <w:sz w:val="22"/>
          <w:szCs w:val="22"/>
          <w:highlight w:val="none"/>
          <w:lang w:eastAsia="zh-CN"/>
        </w:rPr>
      </w:pPr>
    </w:p>
    <w:p w14:paraId="042402F6">
      <w:pPr>
        <w:spacing w:line="360" w:lineRule="auto"/>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（2）政府资金投资工程的支付期、支付办法</w:t>
      </w:r>
    </w:p>
    <w:p w14:paraId="01E32F47">
      <w:pPr>
        <w:spacing w:line="360" w:lineRule="auto"/>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lang w:eastAsia="zh-CN"/>
        </w:rPr>
        <w:t>☑</w:t>
      </w:r>
      <w:r>
        <w:rPr>
          <w:rFonts w:hint="default" w:ascii="Times New Roman" w:hAnsi="Times New Roman" w:cs="Times New Roman"/>
          <w:color w:val="auto"/>
          <w:kern w:val="0"/>
          <w:sz w:val="22"/>
          <w:szCs w:val="22"/>
          <w:highlight w:val="none"/>
        </w:rPr>
        <w:t>按通用条款的规定。</w:t>
      </w:r>
    </w:p>
    <w:p w14:paraId="6D51AAC4">
      <w:pPr>
        <w:spacing w:line="360" w:lineRule="auto"/>
        <w:rPr>
          <w:rFonts w:hint="default" w:ascii="Times New Roman" w:hAnsi="Times New Roman" w:cs="Times New Roman"/>
          <w:color w:val="auto"/>
          <w:kern w:val="0"/>
          <w:sz w:val="24"/>
          <w:highlight w:val="none"/>
          <w:u w:val="single"/>
        </w:rPr>
      </w:pPr>
      <w:bookmarkStart w:id="463" w:name="_Toc18241"/>
      <w:bookmarkStart w:id="464" w:name="_Toc469384133"/>
      <w:r>
        <w:rPr>
          <w:rFonts w:hint="default" w:ascii="Times New Roman" w:hAnsi="Times New Roman" w:cs="Times New Roman"/>
          <w:color w:val="auto"/>
          <w:kern w:val="0"/>
          <w:sz w:val="24"/>
          <w:highlight w:val="none"/>
        </w:rPr>
        <w:t>□另作约定：</w:t>
      </w:r>
      <w:r>
        <w:rPr>
          <w:rFonts w:hint="default" w:ascii="Times New Roman" w:hAnsi="Times New Roman" w:cs="Times New Roman"/>
          <w:color w:val="auto"/>
          <w:kern w:val="0"/>
          <w:sz w:val="24"/>
          <w:highlight w:val="none"/>
          <w:u w:val="single"/>
        </w:rPr>
        <w:t xml:space="preserve">                               /                              </w:t>
      </w:r>
    </w:p>
    <w:p w14:paraId="1F680400">
      <w:pPr>
        <w:pStyle w:val="4"/>
        <w:numPr>
          <w:ilvl w:val="0"/>
          <w:numId w:val="0"/>
        </w:numPr>
        <w:tabs>
          <w:tab w:val="left" w:pos="360"/>
          <w:tab w:val="left" w:pos="420"/>
          <w:tab w:val="left" w:pos="576"/>
        </w:tabs>
        <w:spacing w:line="420" w:lineRule="exact"/>
        <w:rPr>
          <w:rFonts w:hint="default" w:ascii="Times New Roman" w:hAnsi="Times New Roman" w:eastAsia="宋体" w:cs="Times New Roman"/>
          <w:color w:val="auto"/>
          <w:kern w:val="0"/>
          <w:sz w:val="22"/>
          <w:szCs w:val="22"/>
          <w:highlight w:val="none"/>
          <w:u w:val="single"/>
          <w:lang w:val="en-US" w:eastAsia="zh-CN" w:bidi="ar"/>
        </w:rPr>
      </w:pPr>
      <w:bookmarkStart w:id="465" w:name="_Toc1514906277"/>
      <w:r>
        <w:rPr>
          <w:rFonts w:hint="default" w:ascii="Times New Roman" w:hAnsi="Times New Roman" w:eastAsia="宋体" w:cs="Times New Roman"/>
          <w:color w:val="auto"/>
          <w:kern w:val="0"/>
          <w:sz w:val="22"/>
          <w:szCs w:val="22"/>
          <w:highlight w:val="none"/>
          <w:lang w:val="en-US" w:eastAsia="zh-CN" w:bidi="ar"/>
        </w:rPr>
        <w:t>（3）实施</w:t>
      </w:r>
      <w:r>
        <w:rPr>
          <w:rFonts w:hint="default" w:ascii="Times New Roman" w:hAnsi="Times New Roman" w:eastAsia="宋体" w:cs="Times New Roman"/>
          <w:color w:val="auto"/>
          <w:kern w:val="2"/>
          <w:sz w:val="22"/>
          <w:szCs w:val="22"/>
          <w:highlight w:val="none"/>
          <w:lang w:val="en-US" w:eastAsia="zh-CN" w:bidi="ar"/>
        </w:rPr>
        <w:t>施工过程结算</w:t>
      </w:r>
      <w:r>
        <w:rPr>
          <w:rFonts w:hint="default" w:ascii="Times New Roman" w:hAnsi="Times New Roman" w:eastAsia="宋体" w:cs="Times New Roman"/>
          <w:color w:val="auto"/>
          <w:kern w:val="0"/>
          <w:sz w:val="22"/>
          <w:szCs w:val="22"/>
          <w:highlight w:val="none"/>
          <w:lang w:val="en-US" w:eastAsia="zh-CN" w:bidi="ar"/>
        </w:rPr>
        <w:t>的，其竣工结算支付方法：</w:t>
      </w:r>
      <w:r>
        <w:rPr>
          <w:rFonts w:hint="default" w:ascii="Times New Roman" w:hAnsi="Times New Roman" w:eastAsia="宋体" w:cs="Times New Roman"/>
          <w:color w:val="auto"/>
          <w:kern w:val="0"/>
          <w:sz w:val="22"/>
          <w:szCs w:val="22"/>
          <w:highlight w:val="none"/>
          <w:u w:val="single"/>
          <w:lang w:val="en-US" w:eastAsia="zh-CN" w:bidi="ar"/>
        </w:rPr>
        <w:t xml:space="preserve">       </w:t>
      </w:r>
      <w:r>
        <w:rPr>
          <w:rFonts w:hint="default" w:ascii="Times New Roman" w:hAnsi="Times New Roman" w:cs="Times New Roman"/>
          <w:color w:val="auto"/>
          <w:kern w:val="0"/>
          <w:sz w:val="22"/>
          <w:szCs w:val="22"/>
          <w:highlight w:val="none"/>
          <w:u w:val="single"/>
          <w:lang w:val="en-US" w:eastAsia="zh-CN" w:bidi="ar"/>
        </w:rPr>
        <w:t>按专用条款82.1执行</w:t>
      </w:r>
      <w:bookmarkEnd w:id="465"/>
      <w:r>
        <w:rPr>
          <w:rFonts w:hint="default" w:ascii="Times New Roman" w:hAnsi="Times New Roman" w:eastAsia="宋体" w:cs="Times New Roman"/>
          <w:color w:val="auto"/>
          <w:kern w:val="0"/>
          <w:sz w:val="22"/>
          <w:szCs w:val="22"/>
          <w:highlight w:val="none"/>
          <w:u w:val="single"/>
          <w:lang w:val="en-US" w:eastAsia="zh-CN" w:bidi="ar"/>
        </w:rPr>
        <w:t xml:space="preserve">                  </w:t>
      </w:r>
    </w:p>
    <w:p w14:paraId="4C777207">
      <w:pPr>
        <w:pStyle w:val="4"/>
        <w:numPr>
          <w:ilvl w:val="0"/>
          <w:numId w:val="0"/>
        </w:numPr>
        <w:tabs>
          <w:tab w:val="left" w:pos="360"/>
          <w:tab w:val="left" w:pos="420"/>
          <w:tab w:val="left" w:pos="576"/>
        </w:tabs>
        <w:spacing w:line="420" w:lineRule="exact"/>
        <w:rPr>
          <w:rFonts w:hint="default" w:ascii="Times New Roman" w:hAnsi="Times New Roman" w:cs="Times New Roman"/>
          <w:b/>
          <w:bCs/>
          <w:color w:val="auto"/>
          <w:sz w:val="22"/>
          <w:szCs w:val="22"/>
          <w:highlight w:val="none"/>
        </w:rPr>
      </w:pPr>
      <w:bookmarkStart w:id="466" w:name="_Toc1790475358"/>
      <w:r>
        <w:rPr>
          <w:rFonts w:hint="default" w:ascii="Times New Roman" w:hAnsi="Times New Roman" w:cs="Times New Roman"/>
          <w:b/>
          <w:bCs/>
          <w:color w:val="auto"/>
          <w:sz w:val="22"/>
          <w:szCs w:val="22"/>
          <w:highlight w:val="none"/>
        </w:rPr>
        <w:t>★84. 质量保证金</w:t>
      </w:r>
      <w:bookmarkEnd w:id="463"/>
      <w:bookmarkEnd w:id="464"/>
      <w:bookmarkEnd w:id="466"/>
    </w:p>
    <w:p w14:paraId="0BFA6D48">
      <w:pPr>
        <w:spacing w:line="420" w:lineRule="exact"/>
        <w:rPr>
          <w:rFonts w:hint="default" w:ascii="Times New Roman" w:hAnsi="Times New Roman" w:cs="Times New Roman"/>
          <w:color w:val="auto"/>
          <w:kern w:val="0"/>
          <w:sz w:val="22"/>
          <w:szCs w:val="22"/>
          <w:highlight w:val="none"/>
        </w:rPr>
      </w:pPr>
    </w:p>
    <w:p w14:paraId="58F9C3CF">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84.2 质量保证金的约定与扣留</w:t>
      </w:r>
    </w:p>
    <w:p w14:paraId="4D7EB47E">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（1） 质量保证金的约定</w:t>
      </w:r>
    </w:p>
    <w:p w14:paraId="0302020C">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 按通用条款规定为合同条款的3%</w:t>
      </w:r>
      <w:r>
        <w:rPr>
          <w:rFonts w:hint="default" w:ascii="Times New Roman" w:hAnsi="Times New Roman" w:cs="Times New Roman"/>
          <w:color w:val="auto"/>
          <w:kern w:val="0"/>
          <w:sz w:val="22"/>
          <w:szCs w:val="22"/>
          <w:highlight w:val="none"/>
          <w:lang w:eastAsia="zh-CN"/>
        </w:rPr>
        <w:t>（</w:t>
      </w:r>
      <w:r>
        <w:rPr>
          <w:rFonts w:hint="default" w:ascii="Times New Roman" w:hAnsi="Times New Roman" w:cs="Times New Roman"/>
          <w:color w:val="auto"/>
          <w:kern w:val="0"/>
          <w:sz w:val="22"/>
          <w:szCs w:val="22"/>
          <w:highlight w:val="none"/>
        </w:rPr>
        <w:t>采用银行保函</w:t>
      </w:r>
      <w:r>
        <w:rPr>
          <w:rFonts w:hint="default" w:ascii="Times New Roman" w:hAnsi="Times New Roman" w:cs="Times New Roman"/>
          <w:color w:val="auto"/>
          <w:kern w:val="0"/>
          <w:sz w:val="22"/>
          <w:szCs w:val="22"/>
          <w:highlight w:val="none"/>
          <w:lang w:eastAsia="zh-CN"/>
        </w:rPr>
        <w:t>）</w:t>
      </w:r>
      <w:r>
        <w:rPr>
          <w:rFonts w:hint="default" w:ascii="Times New Roman" w:hAnsi="Times New Roman" w:cs="Times New Roman"/>
          <w:color w:val="auto"/>
          <w:kern w:val="0"/>
          <w:sz w:val="22"/>
          <w:szCs w:val="22"/>
          <w:highlight w:val="none"/>
        </w:rPr>
        <w:t xml:space="preserve">，即 </w:t>
      </w:r>
      <w:r>
        <w:rPr>
          <w:rFonts w:hint="default" w:ascii="Times New Roman" w:hAnsi="Times New Roman" w:cs="Times New Roman"/>
          <w:color w:val="auto"/>
          <w:kern w:val="0"/>
          <w:sz w:val="22"/>
          <w:szCs w:val="22"/>
          <w:highlight w:val="none"/>
          <w:u w:val="single"/>
        </w:rPr>
        <w:t xml:space="preserve">          /          </w:t>
      </w:r>
      <w:r>
        <w:rPr>
          <w:rFonts w:hint="default" w:ascii="Times New Roman" w:hAnsi="Times New Roman" w:cs="Times New Roman"/>
          <w:color w:val="auto"/>
          <w:kern w:val="0"/>
          <w:sz w:val="22"/>
          <w:szCs w:val="22"/>
          <w:highlight w:val="none"/>
        </w:rPr>
        <w:t>元。</w:t>
      </w:r>
    </w:p>
    <w:p w14:paraId="53B92C91">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w:t>
      </w:r>
      <w:r>
        <w:rPr>
          <w:rFonts w:hint="default" w:ascii="Times New Roman" w:hAnsi="Times New Roman" w:cs="Times New Roman"/>
          <w:color w:val="auto"/>
          <w:kern w:val="0"/>
          <w:sz w:val="22"/>
          <w:szCs w:val="22"/>
          <w:highlight w:val="none"/>
          <w:lang w:eastAsia="zh-CN"/>
        </w:rPr>
        <w:t>☑</w:t>
      </w:r>
      <w:r>
        <w:rPr>
          <w:rFonts w:hint="default" w:ascii="Times New Roman" w:hAnsi="Times New Roman" w:cs="Times New Roman"/>
          <w:color w:val="auto"/>
          <w:kern w:val="0"/>
          <w:sz w:val="22"/>
          <w:szCs w:val="22"/>
          <w:highlight w:val="none"/>
        </w:rPr>
        <w:t xml:space="preserve"> 另有约定：</w:t>
      </w:r>
      <w:r>
        <w:rPr>
          <w:rFonts w:hint="default" w:ascii="Times New Roman" w:hAnsi="Times New Roman" w:cs="Times New Roman"/>
          <w:color w:val="auto"/>
          <w:kern w:val="0"/>
          <w:sz w:val="22"/>
          <w:szCs w:val="22"/>
          <w:highlight w:val="none"/>
          <w:u w:val="single"/>
        </w:rPr>
        <w:t xml:space="preserve">经财政部门审定后结算价的3%  </w:t>
      </w:r>
    </w:p>
    <w:p w14:paraId="19D1DF7D">
      <w:pPr>
        <w:spacing w:line="420" w:lineRule="exact"/>
        <w:rPr>
          <w:rFonts w:hint="default" w:ascii="Times New Roman" w:hAnsi="Times New Roman" w:cs="Times New Roman"/>
          <w:color w:val="auto"/>
          <w:kern w:val="0"/>
          <w:sz w:val="22"/>
          <w:szCs w:val="22"/>
          <w:highlight w:val="none"/>
        </w:rPr>
      </w:pPr>
    </w:p>
    <w:p w14:paraId="4161C032">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（2） 质量保证金的扣留</w:t>
      </w:r>
    </w:p>
    <w:p w14:paraId="766BB6EC">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 按通用条款的规定，按每支付期应支付给承包人的进度款和结算款的3%扣留。</w:t>
      </w:r>
    </w:p>
    <w:p w14:paraId="078208D1">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w:t>
      </w:r>
      <w:r>
        <w:rPr>
          <w:rFonts w:hint="default" w:ascii="Times New Roman" w:hAnsi="Times New Roman" w:cs="Times New Roman"/>
          <w:color w:val="auto"/>
          <w:kern w:val="0"/>
          <w:sz w:val="22"/>
          <w:szCs w:val="22"/>
          <w:highlight w:val="none"/>
          <w:lang w:val="en-US" w:eastAsia="zh-CN" w:bidi="ar"/>
        </w:rPr>
        <w:t>☑</w:t>
      </w:r>
      <w:r>
        <w:rPr>
          <w:rFonts w:hint="default" w:ascii="Times New Roman" w:hAnsi="Times New Roman" w:cs="Times New Roman"/>
          <w:color w:val="auto"/>
          <w:kern w:val="0"/>
          <w:sz w:val="22"/>
          <w:szCs w:val="22"/>
          <w:highlight w:val="none"/>
        </w:rPr>
        <w:t xml:space="preserve"> 另有约定：</w:t>
      </w:r>
      <w:r>
        <w:rPr>
          <w:rFonts w:hint="default" w:ascii="Times New Roman" w:hAnsi="Times New Roman" w:cs="Times New Roman"/>
          <w:color w:val="auto"/>
          <w:kern w:val="0"/>
          <w:sz w:val="22"/>
          <w:szCs w:val="22"/>
          <w:highlight w:val="none"/>
          <w:u w:val="single"/>
          <w:lang w:eastAsia="zh-CN"/>
        </w:rPr>
        <w:t>经</w:t>
      </w:r>
      <w:r>
        <w:rPr>
          <w:rFonts w:hint="default" w:ascii="Times New Roman" w:hAnsi="Times New Roman" w:cs="Times New Roman"/>
          <w:color w:val="auto"/>
          <w:kern w:val="0"/>
          <w:sz w:val="22"/>
          <w:szCs w:val="22"/>
          <w:highlight w:val="none"/>
          <w:u w:val="single"/>
        </w:rPr>
        <w:t>财政局审定结算价后支付至总结算价的97％，余下的3％作为质量保修金</w:t>
      </w:r>
      <w:r>
        <w:rPr>
          <w:rFonts w:hint="default" w:ascii="Times New Roman" w:hAnsi="Times New Roman" w:cs="Times New Roman"/>
          <w:color w:val="auto"/>
          <w:kern w:val="0"/>
          <w:sz w:val="22"/>
          <w:szCs w:val="22"/>
          <w:highlight w:val="none"/>
          <w:u w:val="single"/>
          <w:lang w:eastAsia="zh-CN"/>
        </w:rPr>
        <w:t>。</w:t>
      </w:r>
      <w:r>
        <w:rPr>
          <w:rFonts w:hint="default" w:ascii="Times New Roman" w:hAnsi="Times New Roman" w:cs="Times New Roman"/>
          <w:color w:val="auto"/>
          <w:kern w:val="0"/>
          <w:sz w:val="22"/>
          <w:szCs w:val="22"/>
          <w:highlight w:val="none"/>
          <w:u w:val="single"/>
        </w:rPr>
        <w:t>待</w:t>
      </w:r>
      <w:r>
        <w:rPr>
          <w:rFonts w:hint="default" w:ascii="Times New Roman" w:hAnsi="Times New Roman" w:cs="Times New Roman"/>
          <w:color w:val="auto"/>
          <w:kern w:val="0"/>
          <w:sz w:val="22"/>
          <w:szCs w:val="22"/>
          <w:highlight w:val="none"/>
          <w:u w:val="single"/>
          <w:lang w:val="en-US" w:eastAsia="zh-CN"/>
        </w:rPr>
        <w:t>竣工验收</w:t>
      </w:r>
      <w:r>
        <w:rPr>
          <w:rFonts w:hint="default" w:ascii="Times New Roman" w:hAnsi="Times New Roman" w:cs="Times New Roman"/>
          <w:color w:val="auto"/>
          <w:kern w:val="0"/>
          <w:sz w:val="22"/>
          <w:szCs w:val="22"/>
          <w:highlight w:val="none"/>
          <w:u w:val="single"/>
        </w:rPr>
        <w:t>后，经</w:t>
      </w:r>
      <w:r>
        <w:rPr>
          <w:rFonts w:hint="default" w:ascii="Times New Roman" w:hAnsi="Times New Roman" w:cs="Times New Roman"/>
          <w:color w:val="auto"/>
          <w:kern w:val="0"/>
          <w:sz w:val="22"/>
          <w:szCs w:val="22"/>
          <w:highlight w:val="none"/>
          <w:u w:val="single"/>
          <w:lang w:eastAsia="zh-CN"/>
        </w:rPr>
        <w:t>承包人</w:t>
      </w:r>
      <w:r>
        <w:rPr>
          <w:rFonts w:hint="default" w:ascii="Times New Roman" w:hAnsi="Times New Roman" w:cs="Times New Roman"/>
          <w:color w:val="auto"/>
          <w:kern w:val="0"/>
          <w:sz w:val="22"/>
          <w:szCs w:val="22"/>
          <w:highlight w:val="none"/>
          <w:u w:val="single"/>
        </w:rPr>
        <w:t>申请后30天内按照合同的约定返还</w:t>
      </w:r>
      <w:r>
        <w:rPr>
          <w:rFonts w:hint="default" w:ascii="Times New Roman" w:hAnsi="Times New Roman" w:cs="Times New Roman"/>
          <w:color w:val="auto"/>
          <w:kern w:val="0"/>
          <w:sz w:val="22"/>
          <w:szCs w:val="22"/>
          <w:highlight w:val="none"/>
          <w:u w:val="single"/>
          <w:lang w:eastAsia="zh-CN"/>
        </w:rPr>
        <w:t>承包人</w:t>
      </w:r>
      <w:r>
        <w:rPr>
          <w:rFonts w:hint="default" w:ascii="Times New Roman" w:hAnsi="Times New Roman" w:cs="Times New Roman"/>
          <w:color w:val="auto"/>
          <w:kern w:val="0"/>
          <w:sz w:val="22"/>
          <w:szCs w:val="22"/>
          <w:highlight w:val="none"/>
          <w:u w:val="single"/>
        </w:rPr>
        <w:t>。</w:t>
      </w:r>
      <w:r>
        <w:rPr>
          <w:rFonts w:hint="default" w:ascii="Times New Roman" w:hAnsi="Times New Roman" w:cs="Times New Roman"/>
          <w:color w:val="auto"/>
          <w:kern w:val="0"/>
          <w:sz w:val="22"/>
          <w:szCs w:val="22"/>
          <w:highlight w:val="none"/>
        </w:rPr>
        <w:t xml:space="preserve">  </w:t>
      </w:r>
    </w:p>
    <w:p w14:paraId="2636FD09">
      <w:pPr>
        <w:spacing w:line="420" w:lineRule="exact"/>
        <w:rPr>
          <w:rFonts w:hint="default" w:ascii="Times New Roman" w:hAnsi="Times New Roman" w:cs="Times New Roman"/>
          <w:color w:val="auto"/>
          <w:kern w:val="0"/>
          <w:sz w:val="22"/>
          <w:szCs w:val="22"/>
          <w:highlight w:val="none"/>
        </w:rPr>
      </w:pPr>
    </w:p>
    <w:p w14:paraId="14097462">
      <w:pPr>
        <w:pStyle w:val="4"/>
        <w:numPr>
          <w:ilvl w:val="0"/>
          <w:numId w:val="0"/>
        </w:numPr>
        <w:tabs>
          <w:tab w:val="left" w:pos="360"/>
          <w:tab w:val="left" w:pos="420"/>
          <w:tab w:val="left" w:pos="576"/>
        </w:tabs>
        <w:spacing w:line="420" w:lineRule="exact"/>
        <w:rPr>
          <w:rFonts w:hint="default" w:ascii="Times New Roman" w:hAnsi="Times New Roman" w:cs="Times New Roman"/>
          <w:b/>
          <w:bCs/>
          <w:color w:val="auto"/>
          <w:sz w:val="22"/>
          <w:szCs w:val="22"/>
          <w:highlight w:val="none"/>
        </w:rPr>
      </w:pPr>
      <w:bookmarkStart w:id="467" w:name="_Toc469384134"/>
      <w:bookmarkStart w:id="468" w:name="_Toc25752"/>
      <w:bookmarkStart w:id="469" w:name="_Toc1287381810"/>
      <w:r>
        <w:rPr>
          <w:rFonts w:hint="default" w:ascii="Times New Roman" w:hAnsi="Times New Roman" w:cs="Times New Roman"/>
          <w:b/>
          <w:bCs/>
          <w:color w:val="auto"/>
          <w:sz w:val="22"/>
          <w:szCs w:val="22"/>
          <w:highlight w:val="none"/>
        </w:rPr>
        <w:t>85. 最终清算款</w:t>
      </w:r>
      <w:bookmarkEnd w:id="467"/>
      <w:bookmarkEnd w:id="468"/>
      <w:bookmarkEnd w:id="469"/>
    </w:p>
    <w:p w14:paraId="5CF1C21D">
      <w:pPr>
        <w:spacing w:line="420" w:lineRule="exact"/>
        <w:rPr>
          <w:rFonts w:hint="default" w:ascii="Times New Roman" w:hAnsi="Times New Roman" w:cs="Times New Roman"/>
          <w:color w:val="auto"/>
          <w:kern w:val="0"/>
          <w:sz w:val="22"/>
          <w:szCs w:val="22"/>
          <w:highlight w:val="none"/>
        </w:rPr>
      </w:pPr>
    </w:p>
    <w:p w14:paraId="229926A5">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85.1 提交最终清算支付申请</w:t>
      </w:r>
    </w:p>
    <w:p w14:paraId="42C4912F">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（1） 最终清算支付申请</w:t>
      </w:r>
    </w:p>
    <w:p w14:paraId="669BEFB8">
      <w:pPr>
        <w:spacing w:line="420" w:lineRule="exact"/>
        <w:ind w:firstLine="480"/>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提交份数：</w:t>
      </w:r>
      <w:r>
        <w:rPr>
          <w:rFonts w:hint="default" w:ascii="Times New Roman" w:hAnsi="Times New Roman" w:cs="Times New Roman"/>
          <w:color w:val="auto"/>
          <w:kern w:val="0"/>
          <w:sz w:val="22"/>
          <w:szCs w:val="22"/>
          <w:highlight w:val="none"/>
          <w:u w:val="single"/>
        </w:rPr>
        <w:t xml:space="preserve">    3      </w:t>
      </w:r>
    </w:p>
    <w:p w14:paraId="18B133C8">
      <w:pPr>
        <w:spacing w:line="420" w:lineRule="exact"/>
        <w:ind w:firstLine="480"/>
        <w:rPr>
          <w:rFonts w:hint="default" w:ascii="Times New Roman" w:hAnsi="Times New Roman" w:cs="Times New Roman"/>
          <w:color w:val="auto"/>
          <w:kern w:val="0"/>
          <w:sz w:val="22"/>
          <w:szCs w:val="22"/>
          <w:highlight w:val="none"/>
          <w:u w:val="single"/>
        </w:rPr>
      </w:pPr>
      <w:r>
        <w:rPr>
          <w:rFonts w:hint="default" w:ascii="Times New Roman" w:hAnsi="Times New Roman" w:cs="Times New Roman"/>
          <w:color w:val="auto"/>
          <w:kern w:val="0"/>
          <w:sz w:val="22"/>
          <w:szCs w:val="22"/>
          <w:highlight w:val="none"/>
        </w:rPr>
        <w:t>提交期限：</w:t>
      </w:r>
      <w:r>
        <w:rPr>
          <w:rFonts w:hint="default" w:ascii="Times New Roman" w:hAnsi="Times New Roman" w:cs="Times New Roman"/>
          <w:color w:val="auto"/>
          <w:kern w:val="0"/>
          <w:sz w:val="22"/>
          <w:szCs w:val="22"/>
          <w:highlight w:val="none"/>
          <w:u w:val="single"/>
        </w:rPr>
        <w:t xml:space="preserve">           </w:t>
      </w:r>
    </w:p>
    <w:p w14:paraId="266EAAA5">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(2)  最终清算支付时限</w:t>
      </w:r>
    </w:p>
    <w:p w14:paraId="05ADBB29">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w:t>
      </w:r>
      <w:r>
        <w:rPr>
          <w:rFonts w:hint="default" w:ascii="Times New Roman" w:hAnsi="Times New Roman" w:cs="Times New Roman"/>
          <w:color w:val="auto"/>
          <w:kern w:val="0"/>
          <w:sz w:val="22"/>
          <w:szCs w:val="22"/>
          <w:highlight w:val="none"/>
          <w:lang w:eastAsia="zh-CN"/>
        </w:rPr>
        <w:t>☑</w:t>
      </w:r>
      <w:r>
        <w:rPr>
          <w:rFonts w:hint="default" w:ascii="Times New Roman" w:hAnsi="Times New Roman" w:cs="Times New Roman"/>
          <w:color w:val="auto"/>
          <w:kern w:val="0"/>
          <w:sz w:val="22"/>
          <w:szCs w:val="22"/>
          <w:highlight w:val="none"/>
        </w:rPr>
        <w:t xml:space="preserve"> 按通用条款的规定，在造价工程师签发最终清算支付证书后的14天内。</w:t>
      </w:r>
    </w:p>
    <w:p w14:paraId="10741945">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 另有约定：</w:t>
      </w:r>
      <w:r>
        <w:rPr>
          <w:rFonts w:hint="default" w:ascii="Times New Roman" w:hAnsi="Times New Roman" w:cs="Times New Roman"/>
          <w:color w:val="auto"/>
          <w:kern w:val="0"/>
          <w:sz w:val="22"/>
          <w:szCs w:val="22"/>
          <w:highlight w:val="none"/>
          <w:u w:val="single"/>
        </w:rPr>
        <w:t xml:space="preserve">                             /                                               </w:t>
      </w:r>
      <w:r>
        <w:rPr>
          <w:rFonts w:hint="default" w:ascii="Times New Roman" w:hAnsi="Times New Roman" w:cs="Times New Roman"/>
          <w:color w:val="auto"/>
          <w:kern w:val="0"/>
          <w:sz w:val="22"/>
          <w:szCs w:val="22"/>
          <w:highlight w:val="none"/>
        </w:rPr>
        <w:t xml:space="preserve">             </w:t>
      </w:r>
    </w:p>
    <w:p w14:paraId="0B672A90">
      <w:pPr>
        <w:pStyle w:val="4"/>
        <w:numPr>
          <w:ilvl w:val="0"/>
          <w:numId w:val="0"/>
        </w:numPr>
        <w:tabs>
          <w:tab w:val="left" w:pos="360"/>
          <w:tab w:val="left" w:pos="420"/>
          <w:tab w:val="left" w:pos="576"/>
        </w:tabs>
        <w:spacing w:line="420" w:lineRule="exact"/>
        <w:rPr>
          <w:rFonts w:hint="default" w:ascii="Times New Roman" w:hAnsi="Times New Roman" w:cs="Times New Roman"/>
          <w:b/>
          <w:bCs/>
          <w:color w:val="auto"/>
          <w:sz w:val="22"/>
          <w:szCs w:val="22"/>
          <w:highlight w:val="none"/>
        </w:rPr>
      </w:pPr>
      <w:bookmarkStart w:id="470" w:name="_Toc469384135"/>
      <w:bookmarkStart w:id="471" w:name="_Toc2688"/>
      <w:bookmarkStart w:id="472" w:name="_Toc543275588"/>
      <w:r>
        <w:rPr>
          <w:rFonts w:hint="default" w:ascii="Times New Roman" w:hAnsi="Times New Roman" w:cs="Times New Roman"/>
          <w:b/>
          <w:bCs/>
          <w:color w:val="auto"/>
          <w:sz w:val="22"/>
          <w:szCs w:val="22"/>
          <w:highlight w:val="none"/>
        </w:rPr>
        <w:t>86. 合同争议</w:t>
      </w:r>
      <w:bookmarkEnd w:id="470"/>
      <w:bookmarkEnd w:id="471"/>
      <w:bookmarkEnd w:id="472"/>
    </w:p>
    <w:p w14:paraId="71ECB5FE">
      <w:pPr>
        <w:spacing w:line="420" w:lineRule="exact"/>
        <w:rPr>
          <w:rFonts w:hint="default" w:ascii="Times New Roman" w:hAnsi="Times New Roman" w:cs="Times New Roman"/>
          <w:color w:val="auto"/>
          <w:kern w:val="0"/>
          <w:sz w:val="22"/>
          <w:szCs w:val="22"/>
          <w:highlight w:val="none"/>
        </w:rPr>
      </w:pPr>
    </w:p>
    <w:p w14:paraId="3A01E332">
      <w:pPr>
        <w:spacing w:line="360" w:lineRule="auto"/>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86.4 调解或认定</w:t>
      </w:r>
    </w:p>
    <w:p w14:paraId="0D482775">
      <w:pPr>
        <w:spacing w:line="360" w:lineRule="auto"/>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争议调解或认定机构：</w:t>
      </w:r>
    </w:p>
    <w:p w14:paraId="6B5DC2FA">
      <w:pPr>
        <w:spacing w:line="360" w:lineRule="auto"/>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□按通用条款的规定。</w:t>
      </w:r>
    </w:p>
    <w:p w14:paraId="7163C2C5">
      <w:pPr>
        <w:spacing w:line="360" w:lineRule="auto"/>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另有约定：</w:t>
      </w:r>
    </w:p>
    <w:p w14:paraId="1B64B925">
      <w:pPr>
        <w:keepNext w:val="0"/>
        <w:keepLines w:val="0"/>
        <w:widowControl w:val="0"/>
        <w:suppressLineNumbers w:val="0"/>
        <w:spacing w:before="0" w:beforeAutospacing="0" w:after="0" w:afterAutospacing="0" w:line="420" w:lineRule="exact"/>
        <w:ind w:left="0" w:right="0"/>
        <w:jc w:val="both"/>
        <w:rPr>
          <w:rFonts w:hint="default" w:ascii="Times New Roman" w:hAnsi="Times New Roman" w:eastAsia="宋体" w:cs="Times New Roman"/>
          <w:color w:val="auto"/>
          <w:kern w:val="0"/>
          <w:sz w:val="22"/>
          <w:szCs w:val="22"/>
          <w:highlight w:val="none"/>
          <w:lang w:val="en-US"/>
        </w:rPr>
      </w:pPr>
      <w:r>
        <w:rPr>
          <w:rFonts w:hint="default" w:ascii="Times New Roman" w:hAnsi="Times New Roman" w:cs="Times New Roman"/>
          <w:color w:val="auto"/>
          <w:kern w:val="0"/>
          <w:sz w:val="22"/>
          <w:szCs w:val="22"/>
          <w:highlight w:val="none"/>
          <w:lang w:val="en-US" w:eastAsia="zh-CN" w:bidi="ar"/>
        </w:rPr>
        <w:t>(</w:t>
      </w:r>
      <w:r>
        <w:rPr>
          <w:rFonts w:hint="default" w:ascii="Times New Roman" w:hAnsi="Times New Roman" w:eastAsia="宋体" w:cs="Times New Roman"/>
          <w:color w:val="auto"/>
          <w:kern w:val="0"/>
          <w:sz w:val="22"/>
          <w:szCs w:val="22"/>
          <w:highlight w:val="none"/>
          <w:lang w:val="en-US" w:eastAsia="zh-CN" w:bidi="ar"/>
        </w:rPr>
        <w:t>1</w:t>
      </w:r>
      <w:r>
        <w:rPr>
          <w:rFonts w:hint="default" w:ascii="Times New Roman" w:hAnsi="Times New Roman" w:cs="Times New Roman"/>
          <w:color w:val="auto"/>
          <w:kern w:val="0"/>
          <w:sz w:val="22"/>
          <w:szCs w:val="22"/>
          <w:highlight w:val="none"/>
          <w:lang w:val="en-US" w:eastAsia="zh-CN" w:bidi="ar"/>
        </w:rPr>
        <w:t>)</w:t>
      </w:r>
      <w:r>
        <w:rPr>
          <w:rFonts w:hint="default" w:ascii="Times New Roman" w:hAnsi="Times New Roman" w:eastAsia="宋体" w:cs="Times New Roman"/>
          <w:color w:val="auto"/>
          <w:kern w:val="0"/>
          <w:sz w:val="22"/>
          <w:szCs w:val="22"/>
          <w:highlight w:val="none"/>
          <w:u w:val="single"/>
          <w:lang w:val="en-US" w:eastAsia="zh-CN" w:bidi="ar"/>
        </w:rPr>
        <w:t xml:space="preserve">                                                                                 </w:t>
      </w:r>
      <w:r>
        <w:rPr>
          <w:rFonts w:hint="default" w:ascii="Times New Roman" w:hAnsi="Times New Roman" w:eastAsia="宋体" w:cs="Times New Roman"/>
          <w:color w:val="auto"/>
          <w:kern w:val="0"/>
          <w:sz w:val="22"/>
          <w:szCs w:val="22"/>
          <w:highlight w:val="none"/>
          <w:lang w:val="en-US" w:eastAsia="zh-CN" w:bidi="ar"/>
        </w:rPr>
        <w:t xml:space="preserve">      </w:t>
      </w:r>
    </w:p>
    <w:p w14:paraId="09A4AF10">
      <w:pPr>
        <w:keepNext w:val="0"/>
        <w:keepLines w:val="0"/>
        <w:widowControl w:val="0"/>
        <w:suppressLineNumbers w:val="0"/>
        <w:spacing w:before="0" w:beforeAutospacing="0" w:after="0" w:afterAutospacing="0" w:line="420" w:lineRule="exact"/>
        <w:ind w:left="0" w:right="0"/>
        <w:jc w:val="both"/>
        <w:rPr>
          <w:rFonts w:hint="default" w:ascii="Times New Roman" w:hAnsi="Times New Roman" w:eastAsia="宋体" w:cs="Times New Roman"/>
          <w:color w:val="auto"/>
          <w:kern w:val="0"/>
          <w:sz w:val="22"/>
          <w:szCs w:val="22"/>
          <w:highlight w:val="none"/>
          <w:lang w:val="en-US"/>
        </w:rPr>
      </w:pPr>
      <w:r>
        <w:rPr>
          <w:rFonts w:hint="default" w:ascii="Times New Roman" w:hAnsi="Times New Roman" w:cs="Times New Roman"/>
          <w:color w:val="auto"/>
          <w:kern w:val="0"/>
          <w:sz w:val="22"/>
          <w:szCs w:val="22"/>
          <w:highlight w:val="none"/>
          <w:lang w:val="en-US" w:eastAsia="zh-CN" w:bidi="ar"/>
        </w:rPr>
        <w:t>(</w:t>
      </w:r>
      <w:r>
        <w:rPr>
          <w:rFonts w:hint="default" w:ascii="Times New Roman" w:hAnsi="Times New Roman" w:eastAsia="宋体" w:cs="Times New Roman"/>
          <w:color w:val="auto"/>
          <w:kern w:val="0"/>
          <w:sz w:val="22"/>
          <w:szCs w:val="22"/>
          <w:highlight w:val="none"/>
          <w:lang w:val="en-US" w:eastAsia="zh-CN" w:bidi="ar"/>
        </w:rPr>
        <w:t>2</w:t>
      </w:r>
      <w:r>
        <w:rPr>
          <w:rFonts w:hint="default" w:ascii="Times New Roman" w:hAnsi="Times New Roman" w:cs="Times New Roman"/>
          <w:color w:val="auto"/>
          <w:kern w:val="0"/>
          <w:sz w:val="22"/>
          <w:szCs w:val="22"/>
          <w:highlight w:val="none"/>
          <w:lang w:val="en-US" w:eastAsia="zh-CN" w:bidi="ar"/>
        </w:rPr>
        <w:t>)</w:t>
      </w:r>
      <w:r>
        <w:rPr>
          <w:rFonts w:hint="default" w:ascii="Times New Roman" w:hAnsi="Times New Roman" w:eastAsia="宋体" w:cs="Times New Roman"/>
          <w:color w:val="auto"/>
          <w:kern w:val="0"/>
          <w:sz w:val="22"/>
          <w:szCs w:val="22"/>
          <w:highlight w:val="none"/>
          <w:u w:val="single"/>
          <w:lang w:val="en-US" w:eastAsia="zh-CN" w:bidi="ar"/>
        </w:rPr>
        <w:t xml:space="preserve">                                                                                 </w:t>
      </w:r>
      <w:r>
        <w:rPr>
          <w:rFonts w:hint="default" w:ascii="Times New Roman" w:hAnsi="Times New Roman" w:eastAsia="宋体" w:cs="Times New Roman"/>
          <w:color w:val="auto"/>
          <w:kern w:val="0"/>
          <w:sz w:val="22"/>
          <w:szCs w:val="22"/>
          <w:highlight w:val="none"/>
          <w:lang w:val="en-US" w:eastAsia="zh-CN" w:bidi="ar"/>
        </w:rPr>
        <w:t xml:space="preserve">            </w:t>
      </w:r>
    </w:p>
    <w:p w14:paraId="30466B1F">
      <w:pPr>
        <w:spacing w:line="360" w:lineRule="auto"/>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2"/>
          <w:sz w:val="22"/>
          <w:szCs w:val="22"/>
          <w:highlight w:val="none"/>
          <w:lang w:val="en-US" w:eastAsia="zh-CN" w:bidi="ar"/>
        </w:rPr>
        <w:t>(</w:t>
      </w:r>
      <w:r>
        <w:rPr>
          <w:rFonts w:hint="default" w:ascii="Times New Roman" w:hAnsi="Times New Roman" w:eastAsia="宋体" w:cs="Times New Roman"/>
          <w:color w:val="auto"/>
          <w:kern w:val="2"/>
          <w:sz w:val="22"/>
          <w:szCs w:val="22"/>
          <w:highlight w:val="none"/>
          <w:lang w:val="en-US" w:eastAsia="zh-CN" w:bidi="ar"/>
        </w:rPr>
        <w:t>3</w:t>
      </w:r>
      <w:r>
        <w:rPr>
          <w:rFonts w:hint="default" w:ascii="Times New Roman" w:hAnsi="Times New Roman" w:cs="Times New Roman"/>
          <w:color w:val="auto"/>
          <w:kern w:val="2"/>
          <w:sz w:val="22"/>
          <w:szCs w:val="22"/>
          <w:highlight w:val="none"/>
          <w:lang w:val="en-US" w:eastAsia="zh-CN" w:bidi="ar"/>
        </w:rPr>
        <w:t>)</w:t>
      </w:r>
      <w:r>
        <w:rPr>
          <w:rFonts w:hint="default" w:ascii="Times New Roman" w:hAnsi="Times New Roman" w:eastAsia="宋体" w:cs="Times New Roman"/>
          <w:color w:val="auto"/>
          <w:kern w:val="2"/>
          <w:sz w:val="22"/>
          <w:szCs w:val="22"/>
          <w:highlight w:val="none"/>
          <w:u w:val="single"/>
          <w:lang w:val="en-US" w:eastAsia="zh-CN" w:bidi="ar"/>
        </w:rPr>
        <w:t xml:space="preserve">                                                                                 </w:t>
      </w:r>
      <w:r>
        <w:rPr>
          <w:rFonts w:hint="default" w:ascii="Times New Roman" w:hAnsi="Times New Roman" w:eastAsia="宋体" w:cs="Times New Roman"/>
          <w:color w:val="auto"/>
          <w:kern w:val="2"/>
          <w:sz w:val="22"/>
          <w:szCs w:val="22"/>
          <w:highlight w:val="none"/>
          <w:lang w:val="en-US" w:eastAsia="zh-CN" w:bidi="ar"/>
        </w:rPr>
        <w:t xml:space="preserve">    </w:t>
      </w:r>
    </w:p>
    <w:p w14:paraId="108646FE">
      <w:pPr>
        <w:spacing w:line="360" w:lineRule="auto"/>
        <w:rPr>
          <w:rFonts w:hint="default" w:ascii="Times New Roman" w:hAnsi="Times New Roman" w:cs="Times New Roman"/>
          <w:color w:val="auto"/>
          <w:kern w:val="0"/>
          <w:sz w:val="22"/>
          <w:szCs w:val="22"/>
          <w:highlight w:val="none"/>
        </w:rPr>
      </w:pPr>
    </w:p>
    <w:p w14:paraId="74BF7FF3">
      <w:pPr>
        <w:spacing w:line="360" w:lineRule="auto"/>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86.6 仲裁或诉讼</w:t>
      </w:r>
    </w:p>
    <w:p w14:paraId="58C2ACF6">
      <w:pPr>
        <w:spacing w:line="360" w:lineRule="auto"/>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解决争议的最终方式：</w:t>
      </w:r>
    </w:p>
    <w:p w14:paraId="6D0F2978">
      <w:pPr>
        <w:spacing w:line="360" w:lineRule="auto"/>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□向广州仲裁委员会申请仲裁。</w:t>
      </w:r>
    </w:p>
    <w:p w14:paraId="0767D094">
      <w:pPr>
        <w:spacing w:line="360" w:lineRule="auto"/>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lang w:eastAsia="zh-CN"/>
        </w:rPr>
        <w:t>☑</w:t>
      </w:r>
      <w:r>
        <w:rPr>
          <w:rFonts w:hint="default" w:ascii="Times New Roman" w:hAnsi="Times New Roman" w:cs="Times New Roman"/>
          <w:color w:val="auto"/>
          <w:kern w:val="0"/>
          <w:sz w:val="22"/>
          <w:szCs w:val="22"/>
          <w:highlight w:val="none"/>
        </w:rPr>
        <w:t>向发包人所在地的人民法院提起诉讼。</w:t>
      </w:r>
    </w:p>
    <w:p w14:paraId="6CE8D04D">
      <w:pPr>
        <w:pStyle w:val="4"/>
        <w:numPr>
          <w:ilvl w:val="0"/>
          <w:numId w:val="0"/>
        </w:numPr>
        <w:tabs>
          <w:tab w:val="left" w:pos="360"/>
          <w:tab w:val="left" w:pos="420"/>
          <w:tab w:val="left" w:pos="576"/>
        </w:tabs>
        <w:spacing w:line="420" w:lineRule="exact"/>
        <w:rPr>
          <w:rFonts w:hint="default" w:ascii="Times New Roman" w:hAnsi="Times New Roman" w:cs="Times New Roman"/>
          <w:b/>
          <w:bCs/>
          <w:color w:val="auto"/>
          <w:sz w:val="22"/>
          <w:szCs w:val="22"/>
          <w:highlight w:val="none"/>
        </w:rPr>
      </w:pPr>
      <w:bookmarkStart w:id="473" w:name="_Toc10224"/>
      <w:bookmarkStart w:id="474" w:name="_Toc207241243"/>
      <w:bookmarkStart w:id="475" w:name="_Toc469384136"/>
      <w:r>
        <w:rPr>
          <w:rFonts w:hint="default" w:ascii="Times New Roman" w:hAnsi="Times New Roman" w:cs="Times New Roman"/>
          <w:b/>
          <w:bCs/>
          <w:color w:val="auto"/>
          <w:sz w:val="22"/>
          <w:szCs w:val="22"/>
          <w:highlight w:val="none"/>
        </w:rPr>
        <w:t>94. 保密要求</w:t>
      </w:r>
      <w:bookmarkEnd w:id="473"/>
      <w:bookmarkEnd w:id="474"/>
      <w:bookmarkEnd w:id="475"/>
    </w:p>
    <w:p w14:paraId="2120716C">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94.1 提供保密信息的期限：</w:t>
      </w:r>
    </w:p>
    <w:p w14:paraId="678607CB">
      <w:pPr>
        <w:pStyle w:val="4"/>
        <w:numPr>
          <w:ilvl w:val="0"/>
          <w:numId w:val="0"/>
        </w:numPr>
        <w:tabs>
          <w:tab w:val="left" w:pos="360"/>
          <w:tab w:val="left" w:pos="420"/>
          <w:tab w:val="left" w:pos="576"/>
        </w:tabs>
        <w:spacing w:line="420" w:lineRule="exact"/>
        <w:rPr>
          <w:rFonts w:hint="default" w:ascii="Times New Roman" w:hAnsi="Times New Roman" w:cs="Times New Roman"/>
          <w:b/>
          <w:bCs/>
          <w:color w:val="auto"/>
          <w:sz w:val="22"/>
          <w:szCs w:val="22"/>
          <w:highlight w:val="none"/>
        </w:rPr>
      </w:pPr>
      <w:bookmarkStart w:id="476" w:name="_Toc18264"/>
      <w:bookmarkStart w:id="477" w:name="_Toc565608494"/>
      <w:bookmarkStart w:id="478" w:name="_Toc469384137"/>
      <w:r>
        <w:rPr>
          <w:rFonts w:hint="default" w:ascii="Times New Roman" w:hAnsi="Times New Roman" w:cs="Times New Roman"/>
          <w:b/>
          <w:bCs/>
          <w:color w:val="auto"/>
          <w:sz w:val="22"/>
          <w:szCs w:val="22"/>
          <w:highlight w:val="none"/>
        </w:rPr>
        <w:t>97. 合同份数</w:t>
      </w:r>
      <w:bookmarkEnd w:id="476"/>
      <w:bookmarkEnd w:id="477"/>
      <w:bookmarkEnd w:id="478"/>
    </w:p>
    <w:p w14:paraId="38ACD34F">
      <w:pPr>
        <w:spacing w:line="420" w:lineRule="exact"/>
        <w:rPr>
          <w:rFonts w:hint="default" w:ascii="Times New Roman" w:hAnsi="Times New Roman" w:cs="Times New Roman"/>
          <w:color w:val="auto"/>
          <w:kern w:val="0"/>
          <w:sz w:val="22"/>
          <w:szCs w:val="22"/>
          <w:highlight w:val="none"/>
        </w:rPr>
      </w:pPr>
    </w:p>
    <w:p w14:paraId="0050DEAA">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97.1 约定提供合同文件</w:t>
      </w:r>
    </w:p>
    <w:p w14:paraId="0CEB9D2A">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提供合同文本：</w:t>
      </w:r>
    </w:p>
    <w:p w14:paraId="52E175CE">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 按通用条款的规定，由发包人向承包人提供。</w:t>
      </w:r>
    </w:p>
    <w:p w14:paraId="5DEC0A38">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 另有约定：</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rPr>
        <w:t xml:space="preserve">           </w:t>
      </w:r>
    </w:p>
    <w:p w14:paraId="02447A15">
      <w:pPr>
        <w:spacing w:line="420" w:lineRule="exact"/>
        <w:rPr>
          <w:rFonts w:hint="default" w:ascii="Times New Roman" w:hAnsi="Times New Roman" w:cs="Times New Roman"/>
          <w:color w:val="auto"/>
          <w:kern w:val="0"/>
          <w:sz w:val="22"/>
          <w:szCs w:val="22"/>
          <w:highlight w:val="none"/>
        </w:rPr>
      </w:pPr>
    </w:p>
    <w:p w14:paraId="23D016CF">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97.2 正副本效力</w:t>
      </w:r>
    </w:p>
    <w:p w14:paraId="3D2A67C8">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合同的份数：</w:t>
      </w:r>
    </w:p>
    <w:p w14:paraId="11AD8537">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正本</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u w:val="single"/>
          <w:lang w:val="en-US" w:eastAsia="zh-CN"/>
        </w:rPr>
        <w:t xml:space="preserve">  </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rPr>
        <w:t>份，副本</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u w:val="single"/>
          <w:lang w:val="en-US" w:eastAsia="zh-CN"/>
        </w:rPr>
        <w:t xml:space="preserve">  </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rPr>
        <w:t>份。</w:t>
      </w:r>
    </w:p>
    <w:p w14:paraId="3010DE32">
      <w:pPr>
        <w:spacing w:line="420" w:lineRule="exact"/>
        <w:rPr>
          <w:rFonts w:hint="default" w:ascii="Times New Roman" w:hAnsi="Times New Roman" w:cs="Times New Roman"/>
          <w:color w:val="auto"/>
          <w:kern w:val="0"/>
          <w:sz w:val="22"/>
          <w:szCs w:val="22"/>
          <w:highlight w:val="none"/>
        </w:rPr>
      </w:pPr>
      <w:r>
        <w:rPr>
          <w:rFonts w:hint="default" w:ascii="Times New Roman" w:hAnsi="Times New Roman" w:cs="Times New Roman"/>
          <w:color w:val="auto"/>
          <w:kern w:val="0"/>
          <w:sz w:val="22"/>
          <w:szCs w:val="22"/>
          <w:highlight w:val="none"/>
        </w:rPr>
        <w:t xml:space="preserve">   其中：发包人正本</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rPr>
        <w:t xml:space="preserve">份，副本 </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rPr>
        <w:t>份；</w:t>
      </w:r>
    </w:p>
    <w:p w14:paraId="527C354D">
      <w:pPr>
        <w:spacing w:line="420" w:lineRule="exact"/>
        <w:rPr>
          <w:rFonts w:hint="default" w:ascii="Times New Roman" w:hAnsi="Times New Roman" w:eastAsia="宋体" w:cs="Times New Roman"/>
          <w:color w:val="auto"/>
          <w:kern w:val="0"/>
          <w:sz w:val="22"/>
          <w:szCs w:val="22"/>
          <w:highlight w:val="none"/>
          <w:u w:val="none"/>
          <w:lang w:eastAsia="zh-CN"/>
        </w:rPr>
      </w:pPr>
      <w:r>
        <w:rPr>
          <w:rFonts w:hint="default" w:ascii="Times New Roman" w:hAnsi="Times New Roman" w:cs="Times New Roman"/>
          <w:color w:val="auto"/>
          <w:kern w:val="0"/>
          <w:sz w:val="22"/>
          <w:szCs w:val="22"/>
          <w:highlight w:val="none"/>
        </w:rPr>
        <w:t xml:space="preserve">         承包人正本</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rPr>
        <w:t xml:space="preserve">份，副本 </w:t>
      </w:r>
      <w:r>
        <w:rPr>
          <w:rFonts w:hint="default" w:ascii="Times New Roman" w:hAnsi="Times New Roman" w:cs="Times New Roman"/>
          <w:color w:val="auto"/>
          <w:kern w:val="0"/>
          <w:sz w:val="22"/>
          <w:szCs w:val="22"/>
          <w:highlight w:val="none"/>
          <w:u w:val="single"/>
        </w:rPr>
        <w:t xml:space="preserve">          </w:t>
      </w:r>
      <w:r>
        <w:rPr>
          <w:rFonts w:hint="default" w:ascii="Times New Roman" w:hAnsi="Times New Roman" w:cs="Times New Roman"/>
          <w:color w:val="auto"/>
          <w:kern w:val="0"/>
          <w:sz w:val="22"/>
          <w:szCs w:val="22"/>
          <w:highlight w:val="none"/>
          <w:u w:val="none"/>
          <w:lang w:eastAsia="zh-CN"/>
        </w:rPr>
        <w:t>份</w:t>
      </w:r>
    </w:p>
    <w:p w14:paraId="1DFF2D2A">
      <w:pPr>
        <w:spacing w:line="420" w:lineRule="exact"/>
        <w:rPr>
          <w:rFonts w:hint="default" w:ascii="Times New Roman" w:hAnsi="Times New Roman" w:cs="Times New Roman"/>
          <w:b/>
          <w:color w:val="auto"/>
          <w:kern w:val="0"/>
          <w:sz w:val="24"/>
          <w:highlight w:val="none"/>
        </w:rPr>
      </w:pPr>
      <w:r>
        <w:rPr>
          <w:rFonts w:hint="default" w:ascii="Times New Roman" w:hAnsi="Times New Roman" w:cs="Times New Roman"/>
          <w:b/>
          <w:color w:val="auto"/>
          <w:kern w:val="0"/>
          <w:sz w:val="24"/>
          <w:highlight w:val="none"/>
          <w:lang w:val="en-US" w:eastAsia="zh-CN"/>
        </w:rPr>
        <w:t>99</w:t>
      </w:r>
      <w:r>
        <w:rPr>
          <w:rFonts w:hint="default" w:ascii="Times New Roman" w:hAnsi="Times New Roman" w:cs="Times New Roman"/>
          <w:b/>
          <w:color w:val="auto"/>
          <w:kern w:val="0"/>
          <w:sz w:val="24"/>
          <w:highlight w:val="none"/>
        </w:rPr>
        <w:t>．其他</w:t>
      </w:r>
    </w:p>
    <w:p w14:paraId="6479AB11">
      <w:pPr>
        <w:keepNext w:val="0"/>
        <w:keepLines w:val="0"/>
        <w:pageBreakBefore w:val="0"/>
        <w:widowControl w:val="0"/>
        <w:kinsoku/>
        <w:wordWrap/>
        <w:overflowPunct/>
        <w:topLinePunct w:val="0"/>
        <w:autoSpaceDE/>
        <w:autoSpaceDN/>
        <w:bidi w:val="0"/>
        <w:adjustRightInd/>
        <w:snapToGrid/>
        <w:spacing w:line="360" w:lineRule="auto"/>
        <w:ind w:firstLine="440" w:firstLineChars="200"/>
        <w:textAlignment w:val="auto"/>
        <w:rPr>
          <w:rFonts w:hint="default" w:ascii="Times New Roman" w:hAnsi="Times New Roman" w:cs="Times New Roman"/>
          <w:color w:val="auto"/>
          <w:kern w:val="0"/>
          <w:sz w:val="22"/>
          <w:szCs w:val="22"/>
          <w:highlight w:val="none"/>
          <w:u w:val="none"/>
        </w:rPr>
      </w:pPr>
      <w:r>
        <w:rPr>
          <w:rFonts w:hint="default" w:ascii="Times New Roman" w:hAnsi="Times New Roman" w:cs="Times New Roman"/>
          <w:color w:val="auto"/>
          <w:kern w:val="0"/>
          <w:sz w:val="22"/>
          <w:szCs w:val="22"/>
          <w:highlight w:val="none"/>
          <w:u w:val="none"/>
        </w:rPr>
        <w:t>9</w:t>
      </w:r>
      <w:r>
        <w:rPr>
          <w:rFonts w:hint="default" w:ascii="Times New Roman" w:hAnsi="Times New Roman" w:cs="Times New Roman"/>
          <w:color w:val="auto"/>
          <w:kern w:val="0"/>
          <w:sz w:val="22"/>
          <w:szCs w:val="22"/>
          <w:highlight w:val="none"/>
          <w:u w:val="none"/>
          <w:lang w:val="en-US" w:eastAsia="zh-CN"/>
        </w:rPr>
        <w:t>9</w:t>
      </w:r>
      <w:r>
        <w:rPr>
          <w:rFonts w:hint="default" w:ascii="Times New Roman" w:hAnsi="Times New Roman" w:cs="Times New Roman"/>
          <w:color w:val="auto"/>
          <w:kern w:val="0"/>
          <w:sz w:val="22"/>
          <w:szCs w:val="22"/>
          <w:highlight w:val="none"/>
          <w:u w:val="none"/>
        </w:rPr>
        <w:t>.1 工程设计变更要求：</w:t>
      </w:r>
    </w:p>
    <w:p w14:paraId="6EF4B5C9">
      <w:pPr>
        <w:pStyle w:val="25"/>
        <w:adjustRightInd w:val="0"/>
        <w:snapToGrid w:val="0"/>
        <w:spacing w:line="360" w:lineRule="auto"/>
        <w:ind w:firstLine="440" w:firstLineChars="200"/>
        <w:rPr>
          <w:rFonts w:hint="default" w:ascii="Times New Roman" w:hAnsi="Times New Roman" w:cs="Times New Roman"/>
          <w:color w:val="auto"/>
          <w:sz w:val="22"/>
          <w:szCs w:val="22"/>
          <w:highlight w:val="none"/>
          <w:u w:val="single"/>
        </w:rPr>
      </w:pPr>
      <w:r>
        <w:rPr>
          <w:rFonts w:hint="default" w:ascii="Times New Roman" w:hAnsi="Times New Roman" w:cs="Times New Roman"/>
          <w:color w:val="auto"/>
          <w:sz w:val="22"/>
          <w:szCs w:val="22"/>
          <w:highlight w:val="none"/>
          <w:u w:val="single"/>
          <w:lang w:eastAsia="zh-CN"/>
        </w:rPr>
        <w:t>（</w:t>
      </w:r>
      <w:r>
        <w:rPr>
          <w:rFonts w:hint="default" w:ascii="Times New Roman" w:hAnsi="Times New Roman" w:cs="Times New Roman"/>
          <w:color w:val="auto"/>
          <w:sz w:val="22"/>
          <w:szCs w:val="22"/>
          <w:highlight w:val="none"/>
          <w:u w:val="single"/>
          <w:lang w:val="en-US" w:eastAsia="zh-CN"/>
        </w:rPr>
        <w:t>1</w:t>
      </w:r>
      <w:r>
        <w:rPr>
          <w:rFonts w:hint="default" w:ascii="Times New Roman" w:hAnsi="Times New Roman" w:cs="Times New Roman"/>
          <w:color w:val="auto"/>
          <w:sz w:val="22"/>
          <w:szCs w:val="22"/>
          <w:highlight w:val="none"/>
          <w:u w:val="single"/>
          <w:lang w:eastAsia="zh-CN"/>
        </w:rPr>
        <w:t>）</w:t>
      </w:r>
      <w:r>
        <w:rPr>
          <w:rFonts w:hint="default" w:ascii="Times New Roman" w:hAnsi="Times New Roman" w:cs="Times New Roman"/>
          <w:color w:val="auto"/>
          <w:sz w:val="22"/>
          <w:szCs w:val="22"/>
          <w:highlight w:val="none"/>
          <w:u w:val="single"/>
        </w:rPr>
        <w:t>由于承包人的成果文件的完整性及有效性问题、设计错误、对设计基础资料选用不当、专业间接口出现矛盾等造成的设计更改（包括因此而发生的发包人另外发包的专项工程设计变更），承包人应按照发包人规定的时间提交设计变更。</w:t>
      </w:r>
    </w:p>
    <w:p w14:paraId="74289828">
      <w:pPr>
        <w:pStyle w:val="25"/>
        <w:adjustRightInd w:val="0"/>
        <w:snapToGrid w:val="0"/>
        <w:spacing w:line="360" w:lineRule="auto"/>
        <w:ind w:firstLine="440" w:firstLineChars="200"/>
        <w:rPr>
          <w:rFonts w:hint="default" w:ascii="Times New Roman" w:hAnsi="Times New Roman" w:cs="Times New Roman"/>
          <w:color w:val="auto"/>
          <w:sz w:val="22"/>
          <w:szCs w:val="22"/>
          <w:highlight w:val="none"/>
          <w:u w:val="single"/>
        </w:rPr>
      </w:pPr>
      <w:r>
        <w:rPr>
          <w:rFonts w:hint="default" w:ascii="Times New Roman" w:hAnsi="Times New Roman" w:cs="Times New Roman"/>
          <w:color w:val="auto"/>
          <w:sz w:val="22"/>
          <w:szCs w:val="22"/>
          <w:highlight w:val="none"/>
          <w:u w:val="single"/>
          <w:lang w:eastAsia="zh-CN"/>
        </w:rPr>
        <w:t>（</w:t>
      </w:r>
      <w:r>
        <w:rPr>
          <w:rFonts w:hint="default" w:ascii="Times New Roman" w:hAnsi="Times New Roman" w:cs="Times New Roman"/>
          <w:color w:val="auto"/>
          <w:sz w:val="22"/>
          <w:szCs w:val="22"/>
          <w:highlight w:val="none"/>
          <w:u w:val="single"/>
          <w:lang w:val="en-US" w:eastAsia="zh-CN"/>
        </w:rPr>
        <w:t>2</w:t>
      </w:r>
      <w:r>
        <w:rPr>
          <w:rFonts w:hint="default" w:ascii="Times New Roman" w:hAnsi="Times New Roman" w:cs="Times New Roman"/>
          <w:color w:val="auto"/>
          <w:sz w:val="22"/>
          <w:szCs w:val="22"/>
          <w:highlight w:val="none"/>
          <w:u w:val="single"/>
          <w:lang w:eastAsia="zh-CN"/>
        </w:rPr>
        <w:t>）</w:t>
      </w:r>
      <w:r>
        <w:rPr>
          <w:rFonts w:hint="default" w:ascii="Times New Roman" w:hAnsi="Times New Roman" w:cs="Times New Roman"/>
          <w:color w:val="auto"/>
          <w:sz w:val="22"/>
          <w:szCs w:val="22"/>
          <w:highlight w:val="none"/>
          <w:u w:val="single"/>
        </w:rPr>
        <w:t>承包人应充分考虑现场的施工安装条件和水平、材料供应的条件（即充分考虑设计与施工的衔接），若由于设计错误导致无法施工或采购材料，承包人应无条件修改或重新设计。</w:t>
      </w:r>
    </w:p>
    <w:p w14:paraId="203AE75D">
      <w:pPr>
        <w:spacing w:line="360" w:lineRule="auto"/>
        <w:ind w:firstLine="440" w:firstLineChars="200"/>
        <w:rPr>
          <w:rFonts w:hint="default" w:ascii="Times New Roman" w:hAnsi="Times New Roman" w:cs="Times New Roman"/>
          <w:color w:val="auto"/>
          <w:kern w:val="0"/>
          <w:sz w:val="22"/>
          <w:szCs w:val="22"/>
          <w:highlight w:val="none"/>
          <w:u w:val="single"/>
        </w:rPr>
      </w:pPr>
      <w:r>
        <w:rPr>
          <w:rFonts w:hint="default" w:ascii="Times New Roman" w:hAnsi="Times New Roman" w:cs="Times New Roman"/>
          <w:color w:val="auto"/>
          <w:kern w:val="0"/>
          <w:sz w:val="22"/>
          <w:szCs w:val="22"/>
          <w:highlight w:val="none"/>
          <w:u w:val="single"/>
          <w:lang w:eastAsia="zh-CN"/>
        </w:rPr>
        <w:t>（</w:t>
      </w:r>
      <w:r>
        <w:rPr>
          <w:rFonts w:hint="default" w:ascii="Times New Roman" w:hAnsi="Times New Roman" w:cs="Times New Roman"/>
          <w:color w:val="auto"/>
          <w:kern w:val="0"/>
          <w:sz w:val="22"/>
          <w:szCs w:val="22"/>
          <w:highlight w:val="none"/>
          <w:u w:val="single"/>
          <w:lang w:val="en-US" w:eastAsia="zh-CN"/>
        </w:rPr>
        <w:t>3</w:t>
      </w:r>
      <w:r>
        <w:rPr>
          <w:rFonts w:hint="default" w:ascii="Times New Roman" w:hAnsi="Times New Roman" w:cs="Times New Roman"/>
          <w:color w:val="auto"/>
          <w:kern w:val="0"/>
          <w:sz w:val="22"/>
          <w:szCs w:val="22"/>
          <w:highlight w:val="none"/>
          <w:u w:val="single"/>
          <w:lang w:eastAsia="zh-CN"/>
        </w:rPr>
        <w:t>）</w:t>
      </w:r>
      <w:r>
        <w:rPr>
          <w:rFonts w:hint="default" w:ascii="Times New Roman" w:hAnsi="Times New Roman" w:cs="Times New Roman"/>
          <w:color w:val="auto"/>
          <w:kern w:val="0"/>
          <w:sz w:val="22"/>
          <w:szCs w:val="22"/>
          <w:highlight w:val="none"/>
          <w:u w:val="single"/>
        </w:rPr>
        <w:t>承包人应在设计变更正式发出前对可能的方案进行比选，综合考虑工期、质量、造价等方面的因素，确保设计变更的经济性及有效性。</w:t>
      </w:r>
    </w:p>
    <w:p w14:paraId="6757CA83">
      <w:pPr>
        <w:pStyle w:val="25"/>
        <w:adjustRightInd w:val="0"/>
        <w:snapToGrid w:val="0"/>
        <w:spacing w:line="360" w:lineRule="auto"/>
        <w:ind w:firstLine="440" w:firstLineChars="200"/>
        <w:rPr>
          <w:rFonts w:hint="default" w:ascii="Times New Roman" w:hAnsi="Times New Roman" w:cs="Times New Roman"/>
          <w:color w:val="auto"/>
          <w:sz w:val="22"/>
          <w:szCs w:val="22"/>
          <w:highlight w:val="none"/>
          <w:u w:val="single"/>
        </w:rPr>
      </w:pPr>
      <w:r>
        <w:rPr>
          <w:rFonts w:hint="default" w:ascii="Times New Roman" w:hAnsi="Times New Roman" w:cs="Times New Roman"/>
          <w:color w:val="auto"/>
          <w:sz w:val="22"/>
          <w:szCs w:val="22"/>
          <w:highlight w:val="none"/>
          <w:u w:val="single"/>
          <w:lang w:eastAsia="zh-CN"/>
        </w:rPr>
        <w:t>（</w:t>
      </w:r>
      <w:r>
        <w:rPr>
          <w:rFonts w:hint="default" w:ascii="Times New Roman" w:hAnsi="Times New Roman" w:cs="Times New Roman"/>
          <w:color w:val="auto"/>
          <w:sz w:val="22"/>
          <w:szCs w:val="22"/>
          <w:highlight w:val="none"/>
          <w:u w:val="single"/>
          <w:lang w:val="en-US" w:eastAsia="zh-CN"/>
        </w:rPr>
        <w:t>4</w:t>
      </w:r>
      <w:r>
        <w:rPr>
          <w:rFonts w:hint="default" w:ascii="Times New Roman" w:hAnsi="Times New Roman" w:cs="Times New Roman"/>
          <w:color w:val="auto"/>
          <w:sz w:val="22"/>
          <w:szCs w:val="22"/>
          <w:highlight w:val="none"/>
          <w:u w:val="single"/>
          <w:lang w:eastAsia="zh-CN"/>
        </w:rPr>
        <w:t>）</w:t>
      </w:r>
      <w:r>
        <w:rPr>
          <w:rFonts w:hint="default" w:ascii="Times New Roman" w:hAnsi="Times New Roman" w:cs="Times New Roman"/>
          <w:color w:val="auto"/>
          <w:sz w:val="22"/>
          <w:szCs w:val="22"/>
          <w:highlight w:val="none"/>
          <w:u w:val="single"/>
        </w:rPr>
        <w:t>承包人应对本合同范围内的设计变更（包括由发包人另行发包的专项工程设计的设计变更和承包人分包的设计部分的设计变更）的完整性、有效性、正确性、可靠性、可操作性、经济性负总体责任，承包人应按相关要求对设计变更进行管理，不得随意分拆、合并设计变更。</w:t>
      </w:r>
    </w:p>
    <w:p w14:paraId="77890127">
      <w:pPr>
        <w:spacing w:line="360" w:lineRule="auto"/>
        <w:ind w:firstLine="440" w:firstLineChars="200"/>
        <w:rPr>
          <w:rFonts w:hint="default" w:ascii="Times New Roman" w:hAnsi="Times New Roman" w:cs="Times New Roman"/>
          <w:color w:val="auto"/>
          <w:kern w:val="0"/>
          <w:sz w:val="22"/>
          <w:szCs w:val="22"/>
          <w:highlight w:val="none"/>
          <w:u w:val="single"/>
        </w:rPr>
      </w:pPr>
      <w:r>
        <w:rPr>
          <w:rFonts w:hint="default" w:ascii="Times New Roman" w:hAnsi="Times New Roman" w:cs="Times New Roman"/>
          <w:color w:val="auto"/>
          <w:kern w:val="0"/>
          <w:sz w:val="22"/>
          <w:szCs w:val="22"/>
          <w:highlight w:val="none"/>
          <w:u w:val="single"/>
          <w:lang w:eastAsia="zh-CN"/>
        </w:rPr>
        <w:t>（</w:t>
      </w:r>
      <w:r>
        <w:rPr>
          <w:rFonts w:hint="default" w:ascii="Times New Roman" w:hAnsi="Times New Roman" w:cs="Times New Roman"/>
          <w:color w:val="auto"/>
          <w:kern w:val="0"/>
          <w:sz w:val="22"/>
          <w:szCs w:val="22"/>
          <w:highlight w:val="none"/>
          <w:u w:val="single"/>
          <w:lang w:val="en-US" w:eastAsia="zh-CN"/>
        </w:rPr>
        <w:t>5</w:t>
      </w:r>
      <w:r>
        <w:rPr>
          <w:rFonts w:hint="default" w:ascii="Times New Roman" w:hAnsi="Times New Roman" w:cs="Times New Roman"/>
          <w:color w:val="auto"/>
          <w:kern w:val="0"/>
          <w:sz w:val="22"/>
          <w:szCs w:val="22"/>
          <w:highlight w:val="none"/>
          <w:u w:val="single"/>
          <w:lang w:eastAsia="zh-CN"/>
        </w:rPr>
        <w:t>）</w:t>
      </w:r>
      <w:r>
        <w:rPr>
          <w:rFonts w:hint="default" w:ascii="Times New Roman" w:hAnsi="Times New Roman" w:cs="Times New Roman"/>
          <w:color w:val="auto"/>
          <w:kern w:val="0"/>
          <w:sz w:val="22"/>
          <w:szCs w:val="22"/>
          <w:highlight w:val="none"/>
          <w:u w:val="single"/>
        </w:rPr>
        <w:t>承包人应准确判定设计变更的类别，对因设计变更而引起的工程造价变化须提出预算造价分析，提交设计变更对工期影响评估的书面意见。</w:t>
      </w:r>
    </w:p>
    <w:p w14:paraId="29A40CE9">
      <w:pPr>
        <w:spacing w:line="360" w:lineRule="auto"/>
        <w:ind w:firstLine="440" w:firstLineChars="200"/>
        <w:rPr>
          <w:rFonts w:hint="default" w:ascii="Times New Roman" w:hAnsi="Times New Roman" w:cs="Times New Roman"/>
          <w:color w:val="auto"/>
          <w:kern w:val="0"/>
          <w:sz w:val="22"/>
          <w:szCs w:val="22"/>
          <w:highlight w:val="none"/>
          <w:u w:val="single"/>
        </w:rPr>
      </w:pPr>
      <w:r>
        <w:rPr>
          <w:rFonts w:hint="default" w:ascii="Times New Roman" w:hAnsi="Times New Roman" w:cs="Times New Roman"/>
          <w:color w:val="auto"/>
          <w:kern w:val="0"/>
          <w:sz w:val="22"/>
          <w:szCs w:val="22"/>
          <w:highlight w:val="none"/>
          <w:u w:val="single"/>
          <w:lang w:eastAsia="zh-CN"/>
        </w:rPr>
        <w:t>（</w:t>
      </w:r>
      <w:r>
        <w:rPr>
          <w:rFonts w:hint="default" w:ascii="Times New Roman" w:hAnsi="Times New Roman" w:cs="Times New Roman"/>
          <w:color w:val="auto"/>
          <w:kern w:val="0"/>
          <w:sz w:val="22"/>
          <w:szCs w:val="22"/>
          <w:highlight w:val="none"/>
          <w:u w:val="single"/>
          <w:lang w:val="en-US" w:eastAsia="zh-CN"/>
        </w:rPr>
        <w:t>6</w:t>
      </w:r>
      <w:r>
        <w:rPr>
          <w:rFonts w:hint="default" w:ascii="Times New Roman" w:hAnsi="Times New Roman" w:cs="Times New Roman"/>
          <w:color w:val="auto"/>
          <w:kern w:val="0"/>
          <w:sz w:val="22"/>
          <w:szCs w:val="22"/>
          <w:highlight w:val="none"/>
          <w:u w:val="single"/>
          <w:lang w:eastAsia="zh-CN"/>
        </w:rPr>
        <w:t>）</w:t>
      </w:r>
      <w:r>
        <w:rPr>
          <w:rFonts w:hint="default" w:ascii="Times New Roman" w:hAnsi="Times New Roman" w:cs="Times New Roman"/>
          <w:color w:val="auto"/>
          <w:kern w:val="0"/>
          <w:sz w:val="22"/>
          <w:szCs w:val="22"/>
          <w:highlight w:val="none"/>
          <w:u w:val="single"/>
        </w:rPr>
        <w:t>承包人有关设计的任何修改、变动或由于修改设计所引起的工艺、技术、材料、设备的变更均须经过发包人的同意。</w:t>
      </w:r>
    </w:p>
    <w:p w14:paraId="750AAC85">
      <w:pPr>
        <w:spacing w:line="360" w:lineRule="auto"/>
        <w:ind w:firstLine="440" w:firstLineChars="200"/>
        <w:rPr>
          <w:rFonts w:hint="default" w:ascii="Times New Roman" w:hAnsi="Times New Roman" w:cs="Times New Roman"/>
          <w:color w:val="auto"/>
          <w:kern w:val="0"/>
          <w:sz w:val="22"/>
          <w:szCs w:val="22"/>
          <w:highlight w:val="none"/>
          <w:u w:val="single"/>
        </w:rPr>
      </w:pPr>
      <w:r>
        <w:rPr>
          <w:rFonts w:hint="default" w:ascii="Times New Roman" w:hAnsi="Times New Roman" w:cs="Times New Roman"/>
          <w:color w:val="auto"/>
          <w:kern w:val="0"/>
          <w:sz w:val="22"/>
          <w:szCs w:val="22"/>
          <w:highlight w:val="none"/>
          <w:u w:val="single"/>
          <w:lang w:eastAsia="zh-CN"/>
        </w:rPr>
        <w:t>（</w:t>
      </w:r>
      <w:r>
        <w:rPr>
          <w:rFonts w:hint="default" w:ascii="Times New Roman" w:hAnsi="Times New Roman" w:cs="Times New Roman"/>
          <w:color w:val="auto"/>
          <w:kern w:val="0"/>
          <w:sz w:val="22"/>
          <w:szCs w:val="22"/>
          <w:highlight w:val="none"/>
          <w:u w:val="single"/>
          <w:lang w:val="en-US" w:eastAsia="zh-CN"/>
        </w:rPr>
        <w:t>7</w:t>
      </w:r>
      <w:r>
        <w:rPr>
          <w:rFonts w:hint="default" w:ascii="Times New Roman" w:hAnsi="Times New Roman" w:cs="Times New Roman"/>
          <w:color w:val="auto"/>
          <w:kern w:val="0"/>
          <w:sz w:val="22"/>
          <w:szCs w:val="22"/>
          <w:highlight w:val="none"/>
          <w:u w:val="single"/>
          <w:lang w:eastAsia="zh-CN"/>
        </w:rPr>
        <w:t>）</w:t>
      </w:r>
      <w:r>
        <w:rPr>
          <w:rFonts w:hint="default" w:ascii="Times New Roman" w:hAnsi="Times New Roman" w:cs="Times New Roman"/>
          <w:color w:val="auto"/>
          <w:kern w:val="0"/>
          <w:sz w:val="22"/>
          <w:szCs w:val="22"/>
          <w:highlight w:val="none"/>
          <w:u w:val="single"/>
        </w:rPr>
        <w:t>施工中如发包人需对原工程设计进行变更，应提前14天以书面形式向承包人发出变更通知。变更超过原设计标准或批准的建设规模时，发包人应报规划管理部门和其它有关部门重新审查批准，并由原设计单位提供变更的相应图纸和说明。</w:t>
      </w:r>
    </w:p>
    <w:p w14:paraId="5B9BE86A">
      <w:pPr>
        <w:adjustRightInd w:val="0"/>
        <w:snapToGrid w:val="0"/>
        <w:spacing w:line="360" w:lineRule="auto"/>
        <w:ind w:firstLine="440" w:firstLineChars="200"/>
        <w:rPr>
          <w:rFonts w:hint="default" w:ascii="Times New Roman" w:hAnsi="Times New Roman" w:cs="Times New Roman"/>
          <w:color w:val="auto"/>
          <w:kern w:val="0"/>
          <w:sz w:val="22"/>
          <w:szCs w:val="22"/>
          <w:highlight w:val="none"/>
          <w:u w:val="single"/>
        </w:rPr>
      </w:pPr>
      <w:r>
        <w:rPr>
          <w:rFonts w:hint="default" w:ascii="Times New Roman" w:hAnsi="Times New Roman" w:cs="Times New Roman"/>
          <w:color w:val="auto"/>
          <w:kern w:val="0"/>
          <w:sz w:val="22"/>
          <w:szCs w:val="22"/>
          <w:highlight w:val="none"/>
          <w:u w:val="single"/>
          <w:lang w:eastAsia="zh-CN"/>
        </w:rPr>
        <w:t>（</w:t>
      </w:r>
      <w:r>
        <w:rPr>
          <w:rFonts w:hint="default" w:ascii="Times New Roman" w:hAnsi="Times New Roman" w:cs="Times New Roman"/>
          <w:color w:val="auto"/>
          <w:kern w:val="0"/>
          <w:sz w:val="22"/>
          <w:szCs w:val="22"/>
          <w:highlight w:val="none"/>
          <w:u w:val="single"/>
          <w:lang w:val="en-US" w:eastAsia="zh-CN"/>
        </w:rPr>
        <w:t>8</w:t>
      </w:r>
      <w:r>
        <w:rPr>
          <w:rFonts w:hint="default" w:ascii="Times New Roman" w:hAnsi="Times New Roman" w:cs="Times New Roman"/>
          <w:color w:val="auto"/>
          <w:kern w:val="0"/>
          <w:sz w:val="22"/>
          <w:szCs w:val="22"/>
          <w:highlight w:val="none"/>
          <w:u w:val="single"/>
          <w:lang w:eastAsia="zh-CN"/>
        </w:rPr>
        <w:t>）</w:t>
      </w:r>
      <w:r>
        <w:rPr>
          <w:rFonts w:hint="default" w:ascii="Times New Roman" w:hAnsi="Times New Roman" w:cs="Times New Roman"/>
          <w:color w:val="auto"/>
          <w:kern w:val="0"/>
          <w:sz w:val="22"/>
          <w:szCs w:val="22"/>
          <w:highlight w:val="none"/>
          <w:u w:val="single"/>
        </w:rPr>
        <w:t>施工中承包人不得擅自对已经施工图审查确认的施工设计图纸进行重大设计变更。因承包人擅自变更设计发生的费用和由此导致发包人的直接损失，由承包人承担，延误的工期不予顺延。重大设计变更须由承包人负责及时申请变更的施工图审查手续。</w:t>
      </w:r>
    </w:p>
    <w:p w14:paraId="62E3A513">
      <w:pPr>
        <w:adjustRightInd w:val="0"/>
        <w:snapToGrid w:val="0"/>
        <w:spacing w:line="360" w:lineRule="auto"/>
        <w:ind w:firstLine="440" w:firstLineChars="200"/>
        <w:rPr>
          <w:rFonts w:hint="default" w:ascii="Times New Roman" w:hAnsi="Times New Roman" w:cs="Times New Roman"/>
          <w:color w:val="auto"/>
          <w:kern w:val="0"/>
          <w:sz w:val="22"/>
          <w:szCs w:val="22"/>
          <w:highlight w:val="none"/>
          <w:u w:val="single"/>
        </w:rPr>
      </w:pPr>
      <w:r>
        <w:rPr>
          <w:rFonts w:hint="default" w:ascii="Times New Roman" w:hAnsi="Times New Roman" w:cs="Times New Roman"/>
          <w:color w:val="auto"/>
          <w:kern w:val="0"/>
          <w:sz w:val="22"/>
          <w:szCs w:val="22"/>
          <w:highlight w:val="none"/>
          <w:u w:val="single"/>
          <w:lang w:eastAsia="zh-CN"/>
        </w:rPr>
        <w:t>（</w:t>
      </w:r>
      <w:r>
        <w:rPr>
          <w:rFonts w:hint="default" w:ascii="Times New Roman" w:hAnsi="Times New Roman" w:cs="Times New Roman"/>
          <w:color w:val="auto"/>
          <w:kern w:val="0"/>
          <w:sz w:val="22"/>
          <w:szCs w:val="22"/>
          <w:highlight w:val="none"/>
          <w:u w:val="single"/>
          <w:lang w:val="en-US" w:eastAsia="zh-CN"/>
        </w:rPr>
        <w:t>9</w:t>
      </w:r>
      <w:r>
        <w:rPr>
          <w:rFonts w:hint="default" w:ascii="Times New Roman" w:hAnsi="Times New Roman" w:cs="Times New Roman"/>
          <w:color w:val="auto"/>
          <w:kern w:val="0"/>
          <w:sz w:val="22"/>
          <w:szCs w:val="22"/>
          <w:highlight w:val="none"/>
          <w:u w:val="single"/>
          <w:lang w:eastAsia="zh-CN"/>
        </w:rPr>
        <w:t>）</w:t>
      </w:r>
      <w:r>
        <w:rPr>
          <w:rFonts w:hint="default" w:ascii="Times New Roman" w:hAnsi="Times New Roman" w:cs="Times New Roman"/>
          <w:color w:val="auto"/>
          <w:kern w:val="0"/>
          <w:sz w:val="22"/>
          <w:szCs w:val="22"/>
          <w:highlight w:val="none"/>
          <w:u w:val="single"/>
        </w:rPr>
        <w:t>承包人在施工中提出的合理化建议涉及到对设计图纸或施工组织设计的更改及对材料、设备的换用，须经发包人同意。未经同意擅自更改或换用时，承包人承担由此发生的费用，并赔偿发包人的有关损失，延误的工期不予顺延。</w:t>
      </w:r>
    </w:p>
    <w:p w14:paraId="43BA21DE">
      <w:pPr>
        <w:spacing w:line="360" w:lineRule="auto"/>
        <w:ind w:firstLine="440" w:firstLineChars="200"/>
        <w:rPr>
          <w:rFonts w:hint="default" w:ascii="Times New Roman" w:hAnsi="Times New Roman" w:cs="Times New Roman"/>
          <w:color w:val="auto"/>
          <w:kern w:val="0"/>
          <w:sz w:val="22"/>
          <w:szCs w:val="22"/>
          <w:highlight w:val="none"/>
          <w:u w:val="single"/>
        </w:rPr>
      </w:pPr>
      <w:r>
        <w:rPr>
          <w:rFonts w:hint="default" w:ascii="Times New Roman" w:hAnsi="Times New Roman" w:cs="Times New Roman"/>
          <w:color w:val="auto"/>
          <w:kern w:val="0"/>
          <w:sz w:val="22"/>
          <w:szCs w:val="22"/>
          <w:highlight w:val="none"/>
          <w:u w:val="single"/>
          <w:lang w:eastAsia="zh-CN"/>
        </w:rPr>
        <w:t>（</w:t>
      </w:r>
      <w:r>
        <w:rPr>
          <w:rFonts w:hint="default" w:ascii="Times New Roman" w:hAnsi="Times New Roman" w:cs="Times New Roman"/>
          <w:color w:val="auto"/>
          <w:kern w:val="0"/>
          <w:sz w:val="22"/>
          <w:szCs w:val="22"/>
          <w:highlight w:val="none"/>
          <w:u w:val="single"/>
          <w:lang w:val="en-US" w:eastAsia="zh-CN"/>
        </w:rPr>
        <w:t>10</w:t>
      </w:r>
      <w:r>
        <w:rPr>
          <w:rFonts w:hint="default" w:ascii="Times New Roman" w:hAnsi="Times New Roman" w:cs="Times New Roman"/>
          <w:color w:val="auto"/>
          <w:kern w:val="0"/>
          <w:sz w:val="22"/>
          <w:szCs w:val="22"/>
          <w:highlight w:val="none"/>
          <w:u w:val="single"/>
          <w:lang w:eastAsia="zh-CN"/>
        </w:rPr>
        <w:t>）</w:t>
      </w:r>
      <w:r>
        <w:rPr>
          <w:rFonts w:hint="default" w:ascii="Times New Roman" w:hAnsi="Times New Roman" w:cs="Times New Roman"/>
          <w:color w:val="auto"/>
          <w:kern w:val="0"/>
          <w:sz w:val="22"/>
          <w:szCs w:val="22"/>
          <w:highlight w:val="none"/>
          <w:u w:val="single"/>
        </w:rPr>
        <w:t>如承包人在实施过程中发现设计上有错误或严重不合理，应以书面形式通知发包人，由发包人与承包人商定修改或变更设计方案进行实施。</w:t>
      </w:r>
    </w:p>
    <w:p w14:paraId="59D58AF6">
      <w:pPr>
        <w:spacing w:line="360" w:lineRule="auto"/>
        <w:ind w:firstLine="440" w:firstLineChars="200"/>
        <w:rPr>
          <w:rFonts w:hint="default" w:ascii="Times New Roman" w:hAnsi="Times New Roman" w:cs="Times New Roman"/>
          <w:color w:val="auto"/>
          <w:kern w:val="0"/>
          <w:sz w:val="22"/>
          <w:szCs w:val="22"/>
          <w:highlight w:val="none"/>
          <w:u w:val="single"/>
        </w:rPr>
      </w:pPr>
      <w:r>
        <w:rPr>
          <w:rFonts w:hint="default" w:ascii="Times New Roman" w:hAnsi="Times New Roman" w:cs="Times New Roman"/>
          <w:color w:val="auto"/>
          <w:kern w:val="0"/>
          <w:sz w:val="22"/>
          <w:szCs w:val="22"/>
          <w:highlight w:val="none"/>
          <w:u w:val="single"/>
        </w:rPr>
        <w:t>（11）所有设计变更，必须经过发包人确认，向承包人发出设计变更通知书后方能实施。</w:t>
      </w:r>
    </w:p>
    <w:p w14:paraId="6515FB1E">
      <w:pPr>
        <w:keepNext w:val="0"/>
        <w:keepLines w:val="0"/>
        <w:pageBreakBefore w:val="0"/>
        <w:widowControl w:val="0"/>
        <w:kinsoku/>
        <w:wordWrap/>
        <w:overflowPunct/>
        <w:topLinePunct w:val="0"/>
        <w:autoSpaceDE/>
        <w:autoSpaceDN/>
        <w:bidi w:val="0"/>
        <w:adjustRightInd/>
        <w:snapToGrid/>
        <w:spacing w:line="360" w:lineRule="auto"/>
        <w:ind w:firstLine="440" w:firstLineChars="200"/>
        <w:textAlignment w:val="auto"/>
        <w:rPr>
          <w:rFonts w:hint="default" w:ascii="Times New Roman" w:hAnsi="Times New Roman" w:cs="Times New Roman"/>
          <w:color w:val="auto"/>
          <w:kern w:val="0"/>
          <w:sz w:val="22"/>
          <w:szCs w:val="22"/>
          <w:highlight w:val="none"/>
          <w:u w:val="none"/>
        </w:rPr>
      </w:pPr>
      <w:r>
        <w:rPr>
          <w:rFonts w:hint="default" w:ascii="Times New Roman" w:hAnsi="Times New Roman" w:cs="Times New Roman"/>
          <w:color w:val="auto"/>
          <w:kern w:val="0"/>
          <w:sz w:val="22"/>
          <w:szCs w:val="22"/>
          <w:highlight w:val="none"/>
          <w:u w:val="none"/>
        </w:rPr>
        <w:t>9</w:t>
      </w:r>
      <w:r>
        <w:rPr>
          <w:rFonts w:hint="default" w:ascii="Times New Roman" w:hAnsi="Times New Roman" w:cs="Times New Roman"/>
          <w:color w:val="auto"/>
          <w:kern w:val="0"/>
          <w:sz w:val="22"/>
          <w:szCs w:val="22"/>
          <w:highlight w:val="none"/>
          <w:u w:val="none"/>
          <w:lang w:val="en-US" w:eastAsia="zh-CN"/>
        </w:rPr>
        <w:t>9</w:t>
      </w:r>
      <w:r>
        <w:rPr>
          <w:rFonts w:hint="default" w:ascii="Times New Roman" w:hAnsi="Times New Roman" w:cs="Times New Roman"/>
          <w:color w:val="auto"/>
          <w:kern w:val="0"/>
          <w:sz w:val="22"/>
          <w:szCs w:val="22"/>
          <w:highlight w:val="none"/>
          <w:u w:val="none"/>
        </w:rPr>
        <w:t>.2工期延误方面的违约责任：</w:t>
      </w:r>
    </w:p>
    <w:p w14:paraId="7BAF854B">
      <w:pPr>
        <w:spacing w:line="360" w:lineRule="auto"/>
        <w:ind w:firstLine="418" w:firstLineChars="190"/>
        <w:rPr>
          <w:rFonts w:hint="default" w:ascii="Times New Roman" w:hAnsi="Times New Roman" w:cs="Times New Roman"/>
          <w:color w:val="auto"/>
          <w:kern w:val="0"/>
          <w:sz w:val="22"/>
          <w:szCs w:val="22"/>
          <w:highlight w:val="none"/>
          <w:u w:val="single"/>
        </w:rPr>
      </w:pPr>
      <w:r>
        <w:rPr>
          <w:rFonts w:hint="default" w:ascii="Times New Roman" w:hAnsi="Times New Roman" w:cs="Times New Roman"/>
          <w:color w:val="auto"/>
          <w:kern w:val="0"/>
          <w:sz w:val="22"/>
          <w:szCs w:val="22"/>
          <w:highlight w:val="none"/>
          <w:u w:val="single"/>
        </w:rPr>
        <w:t>（1）承包人不能按照协议书约定的竣工日期或工程师同意顺延的工期竣工，延误的工期每延误1天（日历天），应向发包人支付本工程合同暂定总价款的0.5‰作为违约金，且不低于每天1万元，发包人有权在应付工程款中予以扣除。</w:t>
      </w:r>
    </w:p>
    <w:p w14:paraId="479C22AA">
      <w:pPr>
        <w:spacing w:line="360" w:lineRule="auto"/>
        <w:ind w:firstLine="418" w:firstLineChars="190"/>
        <w:rPr>
          <w:rFonts w:hint="default" w:ascii="Times New Roman" w:hAnsi="Times New Roman" w:cs="Times New Roman"/>
          <w:color w:val="auto"/>
          <w:kern w:val="0"/>
          <w:sz w:val="22"/>
          <w:szCs w:val="22"/>
          <w:highlight w:val="none"/>
          <w:u w:val="single"/>
        </w:rPr>
      </w:pPr>
      <w:r>
        <w:rPr>
          <w:rFonts w:hint="default" w:ascii="Times New Roman" w:hAnsi="Times New Roman" w:cs="Times New Roman"/>
          <w:color w:val="auto"/>
          <w:kern w:val="0"/>
          <w:sz w:val="22"/>
          <w:szCs w:val="22"/>
          <w:highlight w:val="none"/>
          <w:u w:val="single"/>
        </w:rPr>
        <w:t>（2）工程竣工验收达不到合同约定的质量标准的，承包人向发包人交纳审定结算总价2%的违约金，且仍应无偿进行施工直至质量合格，由此导致的逾期完工依据本条款第（1）项承担延误工期的违约金。若承包人怠于继续施工、拒绝施工或施工后仍达不到竣工验收质量标准的，发包人有权委托第三方予以施工直至质量合格，所需费用由承包人全额承担，并有权在应付工程款中予以扣除。</w:t>
      </w:r>
    </w:p>
    <w:p w14:paraId="6301077C">
      <w:pPr>
        <w:spacing w:line="360" w:lineRule="auto"/>
        <w:ind w:firstLine="440" w:firstLineChars="200"/>
        <w:rPr>
          <w:rFonts w:hint="default" w:ascii="Times New Roman" w:hAnsi="Times New Roman" w:cs="Times New Roman"/>
          <w:color w:val="auto"/>
          <w:kern w:val="0"/>
          <w:sz w:val="22"/>
          <w:szCs w:val="22"/>
          <w:highlight w:val="none"/>
          <w:u w:val="single"/>
        </w:rPr>
      </w:pPr>
      <w:r>
        <w:rPr>
          <w:rFonts w:hint="default" w:ascii="Times New Roman" w:hAnsi="Times New Roman" w:cs="Times New Roman"/>
          <w:color w:val="auto"/>
          <w:kern w:val="0"/>
          <w:sz w:val="22"/>
          <w:szCs w:val="22"/>
          <w:highlight w:val="none"/>
          <w:u w:val="single"/>
        </w:rPr>
        <w:t>9</w:t>
      </w:r>
      <w:r>
        <w:rPr>
          <w:rFonts w:hint="default" w:ascii="Times New Roman" w:hAnsi="Times New Roman" w:cs="Times New Roman"/>
          <w:color w:val="auto"/>
          <w:kern w:val="0"/>
          <w:sz w:val="22"/>
          <w:szCs w:val="22"/>
          <w:highlight w:val="none"/>
          <w:u w:val="single"/>
          <w:lang w:val="en-US" w:eastAsia="zh-CN"/>
        </w:rPr>
        <w:t>9</w:t>
      </w:r>
      <w:r>
        <w:rPr>
          <w:rFonts w:hint="default" w:ascii="Times New Roman" w:hAnsi="Times New Roman" w:cs="Times New Roman"/>
          <w:color w:val="auto"/>
          <w:kern w:val="0"/>
          <w:sz w:val="22"/>
          <w:szCs w:val="22"/>
          <w:highlight w:val="none"/>
          <w:u w:val="single"/>
        </w:rPr>
        <w:t>.3根据国家和省市的有关规定，承包人自工程竣工验收合格之日起（或工程未验收之前由发包人通知交付使用之日起）对工程质量实施保修。发包人扣留该工程造价的3%作为保修期的保证金，待</w:t>
      </w:r>
      <w:r>
        <w:rPr>
          <w:rFonts w:hint="default" w:ascii="Times New Roman" w:hAnsi="Times New Roman" w:cs="Times New Roman"/>
          <w:color w:val="auto"/>
          <w:sz w:val="22"/>
          <w:szCs w:val="22"/>
          <w:highlight w:val="none"/>
          <w:u w:val="single"/>
        </w:rPr>
        <w:t>工</w:t>
      </w:r>
      <w:r>
        <w:rPr>
          <w:rFonts w:hint="default" w:ascii="Times New Roman" w:hAnsi="Times New Roman" w:cs="Times New Roman"/>
          <w:color w:val="auto"/>
          <w:kern w:val="0"/>
          <w:sz w:val="22"/>
          <w:szCs w:val="22"/>
          <w:highlight w:val="none"/>
          <w:u w:val="single"/>
        </w:rPr>
        <w:t>程竣工验收合格满二年后30天内按照合同的约定返还乙方。保修期内在正常使用的条件下，确因施工方面的原因而发生的工程质量问题，其返修工作及修复费均由承包人负责，为了保证设施的正常使用功能，避免发生事故，承包人在接到返修通知后一星期内必须进场返修，否则，发包人有权安排</w:t>
      </w:r>
      <w:r>
        <w:rPr>
          <w:rFonts w:hint="default" w:ascii="Times New Roman" w:hAnsi="Times New Roman" w:cs="Times New Roman"/>
          <w:color w:val="auto"/>
          <w:kern w:val="0"/>
          <w:sz w:val="22"/>
          <w:szCs w:val="22"/>
          <w:highlight w:val="none"/>
          <w:u w:val="single"/>
          <w:lang w:eastAsia="zh-CN"/>
        </w:rPr>
        <w:t>其他</w:t>
      </w:r>
      <w:r>
        <w:rPr>
          <w:rFonts w:hint="default" w:ascii="Times New Roman" w:hAnsi="Times New Roman" w:cs="Times New Roman"/>
          <w:color w:val="auto"/>
          <w:kern w:val="0"/>
          <w:sz w:val="22"/>
          <w:szCs w:val="22"/>
          <w:highlight w:val="none"/>
          <w:u w:val="single"/>
        </w:rPr>
        <w:t>施工单位进场返修，所发生的费用由承包人负责支付，发包人有权自行在保证金自行抵扣。</w:t>
      </w:r>
    </w:p>
    <w:p w14:paraId="6A76B18A">
      <w:pPr>
        <w:spacing w:line="360" w:lineRule="auto"/>
        <w:ind w:firstLine="440" w:firstLineChars="200"/>
        <w:rPr>
          <w:rFonts w:hint="default" w:ascii="Times New Roman" w:hAnsi="Times New Roman" w:cs="Times New Roman"/>
          <w:color w:val="auto"/>
          <w:kern w:val="0"/>
          <w:sz w:val="22"/>
          <w:szCs w:val="22"/>
          <w:highlight w:val="none"/>
          <w:u w:val="single"/>
        </w:rPr>
      </w:pPr>
      <w:r>
        <w:rPr>
          <w:rFonts w:hint="default" w:ascii="Times New Roman" w:hAnsi="Times New Roman" w:cs="Times New Roman"/>
          <w:color w:val="auto"/>
          <w:kern w:val="0"/>
          <w:sz w:val="22"/>
          <w:szCs w:val="22"/>
          <w:highlight w:val="none"/>
          <w:u w:val="single"/>
        </w:rPr>
        <w:t>9</w:t>
      </w:r>
      <w:r>
        <w:rPr>
          <w:rFonts w:hint="default" w:ascii="Times New Roman" w:hAnsi="Times New Roman" w:cs="Times New Roman"/>
          <w:color w:val="auto"/>
          <w:kern w:val="0"/>
          <w:sz w:val="22"/>
          <w:szCs w:val="22"/>
          <w:highlight w:val="none"/>
          <w:u w:val="single"/>
          <w:lang w:val="en-US" w:eastAsia="zh-CN"/>
        </w:rPr>
        <w:t>9</w:t>
      </w:r>
      <w:r>
        <w:rPr>
          <w:rFonts w:hint="default" w:ascii="Times New Roman" w:hAnsi="Times New Roman" w:cs="Times New Roman"/>
          <w:color w:val="auto"/>
          <w:kern w:val="0"/>
          <w:sz w:val="22"/>
          <w:szCs w:val="22"/>
          <w:highlight w:val="none"/>
          <w:u w:val="single"/>
        </w:rPr>
        <w:t>.4承包人的项目经理、副经理以及主要行政与技术领导等，必须常驻工地，不得兼职。合同对承包人的各种人员的到位情况和任职是作为一种条件来要求的（特别是项目经理部的主要管理人员、主要技术人员）。必须保证拟定的项目经理及其主要管理人员和技术人员能及时地、始终地参与本工程的施工管理，未经业主同意，不得随意更换。合同签订后，项目经理、项目班子主要成员不到位，则工程师不签发开工令，工期不顺延；施工中班子主要成员离开工地应向业主请假，经批准后才能离开，擅自离开工地，工程师将发出停工令，待人员回到岗位后才批准复工，由此产生的工期及经济损失由承包人自负，造成发包人损失的，发包人保留索赔的权利。</w:t>
      </w:r>
    </w:p>
    <w:p w14:paraId="548E959F">
      <w:pPr>
        <w:spacing w:line="360" w:lineRule="auto"/>
        <w:ind w:firstLine="440" w:firstLineChars="200"/>
        <w:rPr>
          <w:rFonts w:hint="default" w:ascii="Times New Roman" w:hAnsi="Times New Roman" w:cs="Times New Roman"/>
          <w:color w:val="auto"/>
          <w:kern w:val="0"/>
          <w:sz w:val="22"/>
          <w:szCs w:val="22"/>
          <w:highlight w:val="none"/>
          <w:u w:val="single"/>
        </w:rPr>
      </w:pPr>
      <w:r>
        <w:rPr>
          <w:rFonts w:hint="default" w:ascii="Times New Roman" w:hAnsi="Times New Roman" w:cs="Times New Roman"/>
          <w:color w:val="auto"/>
          <w:kern w:val="0"/>
          <w:sz w:val="22"/>
          <w:szCs w:val="22"/>
          <w:highlight w:val="none"/>
          <w:u w:val="single"/>
        </w:rPr>
        <w:t>9</w:t>
      </w:r>
      <w:r>
        <w:rPr>
          <w:rFonts w:hint="default" w:ascii="Times New Roman" w:hAnsi="Times New Roman" w:cs="Times New Roman"/>
          <w:color w:val="auto"/>
          <w:kern w:val="0"/>
          <w:sz w:val="22"/>
          <w:szCs w:val="22"/>
          <w:highlight w:val="none"/>
          <w:u w:val="single"/>
          <w:lang w:val="en-US" w:eastAsia="zh-CN"/>
        </w:rPr>
        <w:t>9</w:t>
      </w:r>
      <w:r>
        <w:rPr>
          <w:rFonts w:hint="default" w:ascii="Times New Roman" w:hAnsi="Times New Roman" w:cs="Times New Roman"/>
          <w:color w:val="auto"/>
          <w:kern w:val="0"/>
          <w:sz w:val="22"/>
          <w:szCs w:val="22"/>
          <w:highlight w:val="none"/>
          <w:u w:val="single"/>
        </w:rPr>
        <w:t>.5 若由于承包方原因造成施工工期、结算送审时间延误等事项</w:t>
      </w:r>
      <w:r>
        <w:rPr>
          <w:rFonts w:hint="default" w:ascii="Times New Roman" w:hAnsi="Times New Roman" w:cs="Times New Roman"/>
          <w:color w:val="auto"/>
          <w:kern w:val="0"/>
          <w:sz w:val="22"/>
          <w:szCs w:val="22"/>
          <w:highlight w:val="none"/>
          <w:u w:val="single"/>
          <w:lang w:eastAsia="zh-CN"/>
        </w:rPr>
        <w:t>，</w:t>
      </w:r>
      <w:r>
        <w:rPr>
          <w:rFonts w:hint="default" w:ascii="Times New Roman" w:hAnsi="Times New Roman" w:cs="Times New Roman"/>
          <w:color w:val="auto"/>
          <w:kern w:val="0"/>
          <w:sz w:val="22"/>
          <w:szCs w:val="22"/>
          <w:highlight w:val="none"/>
          <w:u w:val="single"/>
        </w:rPr>
        <w:t>而导致发包方受到经济处罚的，由承包人承担全额赔偿责任。</w:t>
      </w:r>
    </w:p>
    <w:p w14:paraId="4FC2B16F">
      <w:pPr>
        <w:widowControl/>
        <w:spacing w:line="360" w:lineRule="auto"/>
        <w:ind w:firstLine="440" w:firstLineChars="200"/>
        <w:jc w:val="left"/>
        <w:rPr>
          <w:rFonts w:hint="default" w:ascii="Times New Roman" w:hAnsi="Times New Roman" w:cs="Times New Roman"/>
          <w:color w:val="auto"/>
          <w:kern w:val="0"/>
          <w:sz w:val="22"/>
          <w:szCs w:val="22"/>
          <w:highlight w:val="none"/>
          <w:u w:val="single"/>
        </w:rPr>
      </w:pPr>
      <w:r>
        <w:rPr>
          <w:rFonts w:hint="default" w:ascii="Times New Roman" w:hAnsi="Times New Roman" w:cs="Times New Roman"/>
          <w:color w:val="auto"/>
          <w:kern w:val="0"/>
          <w:sz w:val="22"/>
          <w:szCs w:val="22"/>
          <w:highlight w:val="none"/>
          <w:u w:val="single"/>
        </w:rPr>
        <w:t>9</w:t>
      </w:r>
      <w:r>
        <w:rPr>
          <w:rFonts w:hint="default" w:ascii="Times New Roman" w:hAnsi="Times New Roman" w:cs="Times New Roman"/>
          <w:color w:val="auto"/>
          <w:kern w:val="0"/>
          <w:sz w:val="22"/>
          <w:szCs w:val="22"/>
          <w:highlight w:val="none"/>
          <w:u w:val="single"/>
          <w:lang w:val="en-US" w:eastAsia="zh-CN"/>
        </w:rPr>
        <w:t>9.</w:t>
      </w:r>
      <w:r>
        <w:rPr>
          <w:rFonts w:hint="default" w:ascii="Times New Roman" w:hAnsi="Times New Roman" w:cs="Times New Roman"/>
          <w:color w:val="auto"/>
          <w:kern w:val="0"/>
          <w:sz w:val="22"/>
          <w:szCs w:val="22"/>
          <w:highlight w:val="none"/>
          <w:u w:val="single"/>
        </w:rPr>
        <w:t>6本工程的工人工资支付，按广东省人力资源社会保障厅等九部门《关于印发〈广东省建设领域工人工资支付分账管理暂行办法〉的通知》（粤人社规〔2015〕3号）要求执行。</w:t>
      </w:r>
    </w:p>
    <w:p w14:paraId="7ECC9711">
      <w:pPr>
        <w:spacing w:line="360" w:lineRule="auto"/>
        <w:ind w:firstLine="431" w:firstLineChars="196"/>
        <w:rPr>
          <w:rFonts w:hint="default" w:ascii="Times New Roman" w:hAnsi="Times New Roman" w:cs="Times New Roman"/>
          <w:color w:val="auto"/>
          <w:kern w:val="0"/>
          <w:sz w:val="22"/>
          <w:szCs w:val="22"/>
          <w:highlight w:val="none"/>
          <w:u w:val="single"/>
        </w:rPr>
      </w:pPr>
      <w:r>
        <w:rPr>
          <w:rFonts w:hint="default" w:ascii="Times New Roman" w:hAnsi="Times New Roman" w:cs="Times New Roman"/>
          <w:color w:val="auto"/>
          <w:kern w:val="0"/>
          <w:sz w:val="22"/>
          <w:szCs w:val="22"/>
          <w:highlight w:val="none"/>
          <w:u w:val="single"/>
        </w:rPr>
        <w:t>9</w:t>
      </w:r>
      <w:r>
        <w:rPr>
          <w:rFonts w:hint="default" w:ascii="Times New Roman" w:hAnsi="Times New Roman" w:cs="Times New Roman"/>
          <w:color w:val="auto"/>
          <w:kern w:val="0"/>
          <w:sz w:val="22"/>
          <w:szCs w:val="22"/>
          <w:highlight w:val="none"/>
          <w:u w:val="single"/>
          <w:lang w:val="en-US" w:eastAsia="zh-CN"/>
        </w:rPr>
        <w:t>9.</w:t>
      </w:r>
      <w:r>
        <w:rPr>
          <w:rFonts w:hint="default" w:ascii="Times New Roman" w:hAnsi="Times New Roman" w:cs="Times New Roman"/>
          <w:color w:val="auto"/>
          <w:kern w:val="0"/>
          <w:sz w:val="22"/>
          <w:szCs w:val="22"/>
          <w:highlight w:val="none"/>
          <w:u w:val="single"/>
        </w:rPr>
        <w:t>.7本合同施工方须缴纳的印花税、增值税在荔湾区税务部门缴纳。</w:t>
      </w:r>
    </w:p>
    <w:p w14:paraId="15212C55">
      <w:pPr>
        <w:adjustRightInd w:val="0"/>
        <w:snapToGrid w:val="0"/>
        <w:spacing w:line="360" w:lineRule="auto"/>
        <w:ind w:right="11"/>
        <w:rPr>
          <w:rFonts w:hint="default" w:ascii="Times New Roman" w:hAnsi="Times New Roman" w:cs="Times New Roman"/>
          <w:bCs/>
          <w:snapToGrid w:val="0"/>
          <w:color w:val="auto"/>
          <w:kern w:val="0"/>
          <w:sz w:val="22"/>
          <w:szCs w:val="22"/>
          <w:highlight w:val="none"/>
          <w:u w:val="single"/>
        </w:rPr>
      </w:pPr>
      <w:r>
        <w:rPr>
          <w:rFonts w:hint="default" w:ascii="Times New Roman" w:hAnsi="Times New Roman" w:cs="Times New Roman"/>
          <w:b/>
          <w:bCs/>
          <w:snapToGrid w:val="0"/>
          <w:color w:val="auto"/>
          <w:kern w:val="0"/>
          <w:sz w:val="22"/>
          <w:szCs w:val="22"/>
          <w:highlight w:val="none"/>
          <w:u w:val="none"/>
          <w:lang w:val="en-US" w:eastAsia="zh-CN"/>
        </w:rPr>
        <w:t>100.</w:t>
      </w:r>
      <w:r>
        <w:rPr>
          <w:rFonts w:hint="default" w:ascii="Times New Roman" w:hAnsi="Times New Roman" w:cs="Times New Roman"/>
          <w:bCs/>
          <w:snapToGrid w:val="0"/>
          <w:color w:val="auto"/>
          <w:kern w:val="0"/>
          <w:sz w:val="22"/>
          <w:szCs w:val="22"/>
          <w:highlight w:val="none"/>
          <w:u w:val="single"/>
        </w:rPr>
        <w:t>承包人应在本工程开工前依法缴纳工伤保险费。如因承包人未按规定缴纳工伤保险费导致本工程施工许可证未能如期办理的，由此引起的相关责任全部由承包人承担。</w:t>
      </w:r>
    </w:p>
    <w:p w14:paraId="6D5DA67E">
      <w:pPr>
        <w:adjustRightInd w:val="0"/>
        <w:snapToGrid w:val="0"/>
        <w:spacing w:line="360" w:lineRule="auto"/>
        <w:ind w:right="11"/>
        <w:rPr>
          <w:rFonts w:hint="default" w:ascii="Times New Roman" w:hAnsi="Times New Roman" w:cs="Times New Roman"/>
          <w:bCs/>
          <w:snapToGrid w:val="0"/>
          <w:color w:val="auto"/>
          <w:kern w:val="0"/>
          <w:sz w:val="22"/>
          <w:szCs w:val="22"/>
          <w:highlight w:val="none"/>
          <w:u w:val="single"/>
        </w:rPr>
      </w:pPr>
    </w:p>
    <w:p w14:paraId="4B326617">
      <w:pPr>
        <w:adjustRightInd w:val="0"/>
        <w:snapToGrid w:val="0"/>
        <w:spacing w:line="360" w:lineRule="auto"/>
        <w:ind w:right="11"/>
        <w:rPr>
          <w:rFonts w:hint="default" w:ascii="Times New Roman" w:hAnsi="Times New Roman" w:cs="Times New Roman"/>
          <w:bCs/>
          <w:snapToGrid w:val="0"/>
          <w:color w:val="auto"/>
          <w:kern w:val="0"/>
          <w:sz w:val="22"/>
          <w:szCs w:val="22"/>
          <w:highlight w:val="none"/>
          <w:u w:val="single"/>
        </w:rPr>
      </w:pPr>
      <w:r>
        <w:rPr>
          <w:rFonts w:hint="default" w:ascii="Times New Roman" w:hAnsi="Times New Roman" w:cs="Times New Roman"/>
          <w:b/>
          <w:bCs/>
          <w:snapToGrid w:val="0"/>
          <w:color w:val="auto"/>
          <w:kern w:val="0"/>
          <w:sz w:val="22"/>
          <w:szCs w:val="22"/>
          <w:highlight w:val="none"/>
          <w:u w:val="none"/>
          <w:lang w:val="en-US" w:eastAsia="zh-CN"/>
        </w:rPr>
        <w:t>101.</w:t>
      </w:r>
      <w:r>
        <w:rPr>
          <w:rFonts w:hint="default" w:ascii="Times New Roman" w:hAnsi="Times New Roman" w:cs="Times New Roman"/>
          <w:bCs/>
          <w:snapToGrid w:val="0"/>
          <w:color w:val="auto"/>
          <w:kern w:val="0"/>
          <w:sz w:val="22"/>
          <w:szCs w:val="22"/>
          <w:highlight w:val="none"/>
          <w:u w:val="single"/>
        </w:rPr>
        <w:t>承包人应在本工程开工前按《广州市建设领域工人工资支付分账管理实施细则》（穗建规字〔2020〕37号）的规定开立工人工资支付专用账户。如因承包人未按规定开立、使用、变更、撤销工人工资支付专用账户导致本工程施工许可证未能如期办理、拖欠或克扣工人工资造成群体性事件或其他不良行为的，由此引起的相关责任全部由承包人承担。</w:t>
      </w:r>
    </w:p>
    <w:p w14:paraId="4F64F772">
      <w:pPr>
        <w:adjustRightInd w:val="0"/>
        <w:snapToGrid w:val="0"/>
        <w:spacing w:line="360" w:lineRule="auto"/>
        <w:ind w:right="11"/>
        <w:rPr>
          <w:rFonts w:hint="default" w:ascii="Times New Roman" w:hAnsi="Times New Roman" w:cs="Times New Roman"/>
          <w:bCs/>
          <w:snapToGrid w:val="0"/>
          <w:color w:val="auto"/>
          <w:kern w:val="0"/>
          <w:sz w:val="22"/>
          <w:szCs w:val="22"/>
          <w:highlight w:val="none"/>
          <w:u w:val="single"/>
        </w:rPr>
      </w:pPr>
    </w:p>
    <w:p w14:paraId="0B957FF3">
      <w:pPr>
        <w:spacing w:line="360" w:lineRule="auto"/>
        <w:rPr>
          <w:rFonts w:hint="default" w:ascii="Times New Roman" w:hAnsi="Times New Roman" w:cs="Times New Roman"/>
          <w:color w:val="auto"/>
          <w:kern w:val="0"/>
          <w:sz w:val="22"/>
          <w:szCs w:val="22"/>
          <w:highlight w:val="none"/>
          <w:u w:val="single"/>
        </w:rPr>
      </w:pPr>
      <w:r>
        <w:rPr>
          <w:rFonts w:hint="default" w:ascii="Times New Roman" w:hAnsi="Times New Roman" w:cs="Times New Roman"/>
          <w:b/>
          <w:bCs/>
          <w:color w:val="auto"/>
          <w:kern w:val="0"/>
          <w:sz w:val="22"/>
          <w:szCs w:val="22"/>
          <w:highlight w:val="none"/>
          <w:u w:val="none"/>
          <w:lang w:val="en-US" w:eastAsia="zh-CN"/>
        </w:rPr>
        <w:t>102</w:t>
      </w:r>
      <w:r>
        <w:rPr>
          <w:rFonts w:hint="default" w:ascii="Times New Roman" w:hAnsi="Times New Roman" w:cs="Times New Roman"/>
          <w:b/>
          <w:bCs/>
          <w:color w:val="auto"/>
          <w:kern w:val="0"/>
          <w:sz w:val="22"/>
          <w:szCs w:val="22"/>
          <w:highlight w:val="none"/>
          <w:u w:val="none"/>
        </w:rPr>
        <w:t>.</w:t>
      </w:r>
      <w:r>
        <w:rPr>
          <w:rFonts w:hint="default" w:ascii="Times New Roman" w:hAnsi="Times New Roman" w:cs="Times New Roman"/>
          <w:color w:val="auto"/>
          <w:kern w:val="0"/>
          <w:sz w:val="22"/>
          <w:szCs w:val="22"/>
          <w:highlight w:val="none"/>
          <w:u w:val="single"/>
        </w:rPr>
        <w:t>本工程未尽事宜，经发包人、承包人双方协商可另行签订补充协议。</w:t>
      </w:r>
    </w:p>
    <w:p w14:paraId="1C725408">
      <w:pPr>
        <w:spacing w:line="360" w:lineRule="auto"/>
        <w:ind w:firstLine="431" w:firstLineChars="196"/>
        <w:rPr>
          <w:rFonts w:hint="default" w:ascii="Times New Roman" w:hAnsi="Times New Roman" w:cs="Times New Roman"/>
          <w:color w:val="auto"/>
          <w:kern w:val="0"/>
          <w:sz w:val="22"/>
          <w:szCs w:val="22"/>
          <w:highlight w:val="none"/>
          <w:u w:val="single"/>
        </w:rPr>
      </w:pPr>
      <w:r>
        <w:rPr>
          <w:rFonts w:hint="default" w:ascii="Times New Roman" w:hAnsi="Times New Roman" w:cs="Times New Roman"/>
          <w:color w:val="auto"/>
          <w:sz w:val="22"/>
          <w:szCs w:val="22"/>
          <w:highlight w:val="none"/>
        </w:rPr>
        <w:t>（此页以下无正文）</w:t>
      </w:r>
    </w:p>
    <w:p w14:paraId="5E01806A">
      <w:pPr>
        <w:pStyle w:val="6"/>
        <w:ind w:left="0" w:leftChars="0"/>
        <w:rPr>
          <w:rFonts w:hint="default" w:ascii="Times New Roman" w:hAnsi="Times New Roman" w:cs="Times New Roman"/>
          <w:color w:val="auto"/>
          <w:highlight w:val="none"/>
        </w:rPr>
      </w:pPr>
    </w:p>
    <w:p w14:paraId="36D3D18A">
      <w:pPr>
        <w:spacing w:line="420" w:lineRule="exact"/>
        <w:rPr>
          <w:rFonts w:hint="default" w:ascii="Times New Roman" w:hAnsi="Times New Roman" w:cs="Times New Roman"/>
          <w:color w:val="auto"/>
          <w:kern w:val="0"/>
          <w:sz w:val="22"/>
          <w:szCs w:val="22"/>
          <w:highlight w:val="none"/>
        </w:rPr>
      </w:pPr>
    </w:p>
    <w:p w14:paraId="3D81082F">
      <w:pPr>
        <w:spacing w:line="420" w:lineRule="exact"/>
        <w:rPr>
          <w:rFonts w:hint="default" w:ascii="Times New Roman" w:hAnsi="Times New Roman" w:cs="Times New Roman"/>
          <w:color w:val="auto"/>
          <w:sz w:val="22"/>
          <w:szCs w:val="22"/>
          <w:highlight w:val="none"/>
        </w:rPr>
      </w:pPr>
    </w:p>
    <w:p w14:paraId="08F9BA94">
      <w:pPr>
        <w:spacing w:line="420" w:lineRule="exact"/>
        <w:rPr>
          <w:rFonts w:hint="default" w:ascii="Times New Roman" w:hAnsi="Times New Roman" w:eastAsia="方正黑体_GBK" w:cs="Times New Roman"/>
          <w:b/>
          <w:bCs/>
          <w:color w:val="auto"/>
          <w:highlight w:val="none"/>
        </w:rPr>
      </w:pPr>
      <w:bookmarkStart w:id="479" w:name="_Toc266892922"/>
      <w:bookmarkStart w:id="480" w:name="_Toc21093"/>
      <w:bookmarkStart w:id="481" w:name="_Toc469384138"/>
    </w:p>
    <w:p w14:paraId="2A901CDB">
      <w:pPr>
        <w:pStyle w:val="3"/>
        <w:numPr>
          <w:ilvl w:val="0"/>
          <w:numId w:val="0"/>
        </w:numPr>
        <w:tabs>
          <w:tab w:val="left" w:pos="420"/>
        </w:tabs>
        <w:spacing w:line="420" w:lineRule="exact"/>
        <w:jc w:val="center"/>
        <w:rPr>
          <w:rFonts w:hint="default" w:ascii="Times New Roman" w:hAnsi="Times New Roman" w:eastAsia="方正黑体_GBK" w:cs="Times New Roman"/>
          <w:b/>
          <w:bCs/>
          <w:color w:val="auto"/>
          <w:highlight w:val="none"/>
        </w:rPr>
      </w:pPr>
      <w:r>
        <w:rPr>
          <w:rFonts w:hint="default" w:ascii="Times New Roman" w:hAnsi="Times New Roman" w:eastAsia="方正黑体_GBK" w:cs="Times New Roman"/>
          <w:b/>
          <w:bCs/>
          <w:color w:val="auto"/>
          <w:highlight w:val="none"/>
        </w:rPr>
        <w:br w:type="page"/>
      </w:r>
      <w:bookmarkStart w:id="482" w:name="_Toc804306671"/>
      <w:r>
        <w:rPr>
          <w:rFonts w:hint="default" w:ascii="Times New Roman" w:hAnsi="Times New Roman" w:eastAsia="方正黑体_GBK" w:cs="Times New Roman"/>
          <w:b/>
          <w:bCs/>
          <w:color w:val="auto"/>
          <w:highlight w:val="none"/>
        </w:rPr>
        <w:t>第四部分  附件与格式</w:t>
      </w:r>
      <w:bookmarkEnd w:id="479"/>
      <w:bookmarkEnd w:id="480"/>
      <w:bookmarkEnd w:id="481"/>
      <w:bookmarkEnd w:id="482"/>
    </w:p>
    <w:p w14:paraId="4844EE83">
      <w:pPr>
        <w:spacing w:line="420" w:lineRule="exact"/>
        <w:outlineLvl w:val="0"/>
        <w:rPr>
          <w:rFonts w:hint="default" w:ascii="Times New Roman" w:hAnsi="Times New Roman" w:cs="Times New Roman"/>
          <w:b/>
          <w:bCs/>
          <w:color w:val="auto"/>
          <w:sz w:val="22"/>
          <w:szCs w:val="22"/>
          <w:highlight w:val="none"/>
        </w:rPr>
      </w:pPr>
      <w:bookmarkStart w:id="483" w:name="_Toc266892923"/>
      <w:bookmarkStart w:id="484" w:name="_Toc299401051"/>
      <w:bookmarkStart w:id="485" w:name="_Toc469384139"/>
      <w:bookmarkStart w:id="486" w:name="_Toc17443"/>
      <w:r>
        <w:rPr>
          <w:rFonts w:hint="default" w:ascii="Times New Roman" w:hAnsi="Times New Roman" w:cs="Times New Roman"/>
          <w:b/>
          <w:bCs/>
          <w:color w:val="auto"/>
          <w:sz w:val="22"/>
          <w:szCs w:val="22"/>
          <w:highlight w:val="none"/>
        </w:rPr>
        <w:t>附件一</w:t>
      </w:r>
      <w:bookmarkEnd w:id="483"/>
      <w:bookmarkEnd w:id="484"/>
      <w:bookmarkEnd w:id="485"/>
      <w:bookmarkEnd w:id="486"/>
    </w:p>
    <w:p w14:paraId="0923EE59">
      <w:pPr>
        <w:spacing w:line="420" w:lineRule="exact"/>
        <w:rPr>
          <w:rFonts w:hint="default" w:ascii="Times New Roman" w:hAnsi="Times New Roman" w:cs="Times New Roman"/>
          <w:color w:val="auto"/>
          <w:sz w:val="22"/>
          <w:szCs w:val="22"/>
          <w:highlight w:val="none"/>
        </w:rPr>
      </w:pPr>
    </w:p>
    <w:p w14:paraId="6117723A">
      <w:pPr>
        <w:spacing w:line="420" w:lineRule="exact"/>
        <w:jc w:val="center"/>
        <w:rPr>
          <w:rFonts w:hint="default" w:ascii="Times New Roman" w:hAnsi="Times New Roman" w:cs="Times New Roman"/>
          <w:b/>
          <w:bCs/>
          <w:color w:val="auto"/>
          <w:sz w:val="22"/>
          <w:szCs w:val="22"/>
          <w:highlight w:val="none"/>
        </w:rPr>
      </w:pPr>
      <w:r>
        <w:rPr>
          <w:rFonts w:hint="default" w:ascii="Times New Roman" w:hAnsi="Times New Roman" w:cs="Times New Roman"/>
          <w:b/>
          <w:bCs/>
          <w:color w:val="auto"/>
          <w:sz w:val="24"/>
          <w:szCs w:val="24"/>
          <w:highlight w:val="none"/>
        </w:rPr>
        <w:t>联合体施工协议书</w:t>
      </w:r>
    </w:p>
    <w:p w14:paraId="08AFC437">
      <w:pPr>
        <w:spacing w:line="420" w:lineRule="exact"/>
        <w:rPr>
          <w:rFonts w:hint="default" w:ascii="Times New Roman" w:hAnsi="Times New Roman" w:cs="Times New Roman"/>
          <w:color w:val="auto"/>
          <w:sz w:val="22"/>
          <w:szCs w:val="22"/>
          <w:highlight w:val="none"/>
        </w:rPr>
      </w:pPr>
    </w:p>
    <w:p w14:paraId="480180B1">
      <w:pPr>
        <w:spacing w:line="420" w:lineRule="exact"/>
        <w:rPr>
          <w:rFonts w:hint="default" w:ascii="Times New Roman" w:hAnsi="Times New Roman" w:cs="Times New Roman"/>
          <w:color w:val="auto"/>
          <w:sz w:val="22"/>
          <w:szCs w:val="22"/>
          <w:highlight w:val="none"/>
          <w:u w:val="single"/>
        </w:rPr>
      </w:pPr>
      <w:r>
        <w:rPr>
          <w:rFonts w:hint="default" w:ascii="Times New Roman" w:hAnsi="Times New Roman" w:cs="Times New Roman"/>
          <w:color w:val="auto"/>
          <w:sz w:val="22"/>
          <w:szCs w:val="22"/>
          <w:highlight w:val="none"/>
        </w:rPr>
        <w:t>甲公司（全称）：</w:t>
      </w:r>
      <w:r>
        <w:rPr>
          <w:rFonts w:hint="default" w:ascii="Times New Roman" w:hAnsi="Times New Roman" w:cs="Times New Roman"/>
          <w:color w:val="auto"/>
          <w:sz w:val="22"/>
          <w:szCs w:val="22"/>
          <w:highlight w:val="none"/>
          <w:u w:val="single"/>
          <w:lang w:val="en-US" w:eastAsia="zh-CN"/>
        </w:rPr>
        <w:t xml:space="preserve">                                                  </w:t>
      </w:r>
    </w:p>
    <w:p w14:paraId="6F2A728E">
      <w:pPr>
        <w:spacing w:line="420" w:lineRule="exact"/>
        <w:jc w:val="left"/>
        <w:rPr>
          <w:rFonts w:hint="default" w:ascii="Times New Roman" w:hAnsi="Times New Roman" w:eastAsia="宋体" w:cs="Times New Roman"/>
          <w:color w:val="auto"/>
          <w:sz w:val="22"/>
          <w:szCs w:val="22"/>
          <w:highlight w:val="none"/>
          <w:u w:val="single"/>
          <w:lang w:val="en-US" w:eastAsia="zh-CN"/>
        </w:rPr>
      </w:pPr>
      <w:r>
        <w:rPr>
          <w:rFonts w:hint="default" w:ascii="Times New Roman" w:hAnsi="Times New Roman" w:cs="Times New Roman"/>
          <w:color w:val="auto"/>
          <w:sz w:val="22"/>
          <w:szCs w:val="22"/>
          <w:highlight w:val="none"/>
        </w:rPr>
        <w:t>乙公司（全称）：</w:t>
      </w:r>
      <w:r>
        <w:rPr>
          <w:rFonts w:hint="default" w:ascii="Times New Roman" w:hAnsi="Times New Roman" w:cs="Times New Roman"/>
          <w:color w:val="auto"/>
          <w:sz w:val="22"/>
          <w:szCs w:val="22"/>
          <w:highlight w:val="none"/>
          <w:u w:val="single"/>
          <w:lang w:val="en-US" w:eastAsia="zh-CN"/>
        </w:rPr>
        <w:t xml:space="preserve">                                                  </w:t>
      </w:r>
    </w:p>
    <w:p w14:paraId="64A8BE40">
      <w:pPr>
        <w:spacing w:line="420" w:lineRule="exact"/>
        <w:rPr>
          <w:rFonts w:hint="default" w:ascii="Times New Roman" w:hAnsi="Times New Roman" w:cs="Times New Roman"/>
          <w:color w:val="auto"/>
          <w:sz w:val="22"/>
          <w:szCs w:val="22"/>
          <w:highlight w:val="none"/>
          <w:u w:val="single"/>
        </w:rPr>
      </w:pPr>
    </w:p>
    <w:p w14:paraId="0DE51E43">
      <w:pPr>
        <w:spacing w:line="420" w:lineRule="exact"/>
        <w:rPr>
          <w:rFonts w:hint="default" w:ascii="Times New Roman" w:hAnsi="Times New Roman" w:cs="Times New Roman"/>
          <w:color w:val="auto"/>
          <w:sz w:val="22"/>
          <w:szCs w:val="22"/>
          <w:highlight w:val="none"/>
        </w:rPr>
      </w:pPr>
    </w:p>
    <w:p w14:paraId="3913A4C0">
      <w:pPr>
        <w:spacing w:line="420" w:lineRule="exact"/>
        <w:ind w:firstLine="440" w:firstLineChars="2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本协议书各方遵循平等、自愿、公平和诚实信用的原则，共同愿意组成联合体，实施、完成并保修合同工程。现就下列有关事宜，订立本协议书。</w:t>
      </w:r>
    </w:p>
    <w:p w14:paraId="20F0E707">
      <w:pPr>
        <w:keepNext w:val="0"/>
        <w:keepLines w:val="0"/>
        <w:pageBreakBefore w:val="0"/>
        <w:widowControl w:val="0"/>
        <w:kinsoku/>
        <w:wordWrap w:val="0"/>
        <w:overflowPunct/>
        <w:topLinePunct w:val="0"/>
        <w:autoSpaceDE/>
        <w:autoSpaceDN/>
        <w:bidi w:val="0"/>
        <w:adjustRightInd/>
        <w:snapToGrid/>
        <w:spacing w:line="420" w:lineRule="exact"/>
        <w:ind w:firstLine="440" w:firstLineChars="200"/>
        <w:textAlignment w:val="auto"/>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 xml:space="preserve">1. </w:t>
      </w:r>
      <w:r>
        <w:rPr>
          <w:rFonts w:hint="default" w:ascii="Times New Roman" w:hAnsi="Times New Roman" w:cs="Times New Roman"/>
          <w:color w:val="auto"/>
          <w:sz w:val="22"/>
          <w:szCs w:val="22"/>
          <w:highlight w:val="none"/>
          <w:u w:val="single"/>
          <w:lang w:val="en-US" w:eastAsia="zh-CN"/>
        </w:rPr>
        <w:t xml:space="preserve">                                              </w:t>
      </w:r>
      <w:r>
        <w:rPr>
          <w:rFonts w:hint="default" w:ascii="Times New Roman" w:hAnsi="Times New Roman" w:cs="Times New Roman"/>
          <w:color w:val="auto"/>
          <w:sz w:val="22"/>
          <w:szCs w:val="22"/>
          <w:highlight w:val="none"/>
          <w:u w:val="none"/>
          <w:lang w:val="en-US" w:eastAsia="zh-CN"/>
        </w:rPr>
        <w:t>为</w:t>
      </w:r>
      <w:r>
        <w:rPr>
          <w:rFonts w:hint="default" w:ascii="Times New Roman" w:hAnsi="Times New Roman" w:cs="Times New Roman"/>
          <w:color w:val="auto"/>
          <w:sz w:val="22"/>
          <w:szCs w:val="22"/>
          <w:highlight w:val="none"/>
        </w:rPr>
        <w:t>联合体主办人，</w:t>
      </w:r>
      <w:r>
        <w:rPr>
          <w:rFonts w:hint="default" w:ascii="Times New Roman" w:hAnsi="Times New Roman" w:cs="Times New Roman"/>
          <w:color w:val="auto"/>
          <w:sz w:val="22"/>
          <w:szCs w:val="22"/>
          <w:highlight w:val="none"/>
          <w:u w:val="single"/>
          <w:lang w:val="en-US" w:eastAsia="zh-CN"/>
        </w:rPr>
        <w:t xml:space="preserve">                                              </w:t>
      </w:r>
      <w:r>
        <w:rPr>
          <w:rFonts w:hint="default" w:ascii="Times New Roman" w:hAnsi="Times New Roman" w:cs="Times New Roman"/>
          <w:color w:val="auto"/>
          <w:sz w:val="22"/>
          <w:szCs w:val="22"/>
          <w:highlight w:val="none"/>
        </w:rPr>
        <w:t>为联合体成员；</w:t>
      </w:r>
    </w:p>
    <w:p w14:paraId="750A3F1B">
      <w:pPr>
        <w:spacing w:line="420" w:lineRule="exact"/>
        <w:ind w:firstLine="440" w:firstLineChars="2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2.  联合体各方当事人对内部有关事项规定如下：</w:t>
      </w:r>
    </w:p>
    <w:p w14:paraId="0C86A33E">
      <w:pPr>
        <w:spacing w:line="420" w:lineRule="exact"/>
        <w:ind w:firstLine="440" w:firstLineChars="2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2.1  联合体由主办人负责与发包人联系；</w:t>
      </w:r>
    </w:p>
    <w:p w14:paraId="02694F91">
      <w:pPr>
        <w:spacing w:line="420" w:lineRule="exact"/>
        <w:ind w:firstLine="440" w:firstLineChars="2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2.2  合同工程一切工作由联合体主办人负责组织，由联合体各方当事人按内部工作分范围具体实施；</w:t>
      </w:r>
    </w:p>
    <w:p w14:paraId="285CEE1D">
      <w:pPr>
        <w:spacing w:line="420" w:lineRule="exact"/>
        <w:ind w:firstLine="440" w:firstLineChars="2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2.3  联合体各方当事人将严格按照招标文件的各项要求，切实执行合同工程一切合同工程文件，共同承担合同约定的一切义务，同时按照内部工作范围划分的职责，各自承担自身的责任和风险；</w:t>
      </w:r>
    </w:p>
    <w:p w14:paraId="0AE78FDC">
      <w:pPr>
        <w:spacing w:line="420" w:lineRule="exact"/>
        <w:ind w:firstLine="440" w:firstLineChars="2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2.4  联合体各方当事人的内部工作范围划分如下：</w:t>
      </w:r>
    </w:p>
    <w:p w14:paraId="40EB4DD1">
      <w:pPr>
        <w:spacing w:line="420" w:lineRule="exact"/>
        <w:ind w:firstLine="440" w:firstLineChars="200"/>
        <w:rPr>
          <w:rFonts w:hint="default" w:ascii="Times New Roman" w:hAnsi="Times New Roman" w:cs="Times New Roman"/>
          <w:color w:val="auto"/>
          <w:kern w:val="0"/>
          <w:sz w:val="22"/>
          <w:szCs w:val="22"/>
          <w:highlight w:val="none"/>
          <w:lang w:val="zh-CN"/>
        </w:rPr>
      </w:pPr>
      <w:r>
        <w:rPr>
          <w:rFonts w:hint="default" w:ascii="Times New Roman" w:hAnsi="Times New Roman" w:cs="Times New Roman"/>
          <w:color w:val="auto"/>
          <w:sz w:val="22"/>
          <w:szCs w:val="22"/>
          <w:highlight w:val="none"/>
        </w:rPr>
        <w:t xml:space="preserve">2.4.1 </w:t>
      </w:r>
      <w:r>
        <w:rPr>
          <w:rFonts w:hint="default" w:ascii="Times New Roman" w:hAnsi="Times New Roman" w:cs="Times New Roman"/>
          <w:color w:val="auto"/>
          <w:sz w:val="22"/>
          <w:szCs w:val="22"/>
          <w:highlight w:val="none"/>
          <w:u w:val="single"/>
          <w:lang w:val="en-US" w:eastAsia="zh-CN"/>
        </w:rPr>
        <w:t xml:space="preserve">                      </w:t>
      </w:r>
      <w:r>
        <w:rPr>
          <w:rFonts w:hint="default" w:ascii="Times New Roman" w:hAnsi="Times New Roman" w:cs="Times New Roman"/>
          <w:color w:val="auto"/>
          <w:kern w:val="0"/>
          <w:sz w:val="22"/>
          <w:szCs w:val="22"/>
          <w:highlight w:val="none"/>
          <w:lang w:val="zh-CN"/>
        </w:rPr>
        <w:t>承担合同工程工作内容：</w:t>
      </w:r>
      <w:r>
        <w:rPr>
          <w:rFonts w:hint="default" w:ascii="Times New Roman" w:hAnsi="Times New Roman" w:cs="Times New Roman"/>
          <w:color w:val="auto"/>
          <w:sz w:val="22"/>
          <w:szCs w:val="22"/>
          <w:highlight w:val="none"/>
          <w:u w:val="single"/>
          <w:lang w:val="en-US" w:eastAsia="zh-CN"/>
        </w:rPr>
        <w:t xml:space="preserve">                                         </w:t>
      </w:r>
      <w:r>
        <w:rPr>
          <w:rFonts w:hint="default" w:ascii="Times New Roman" w:hAnsi="Times New Roman" w:cs="Times New Roman"/>
          <w:color w:val="auto"/>
          <w:kern w:val="0"/>
          <w:sz w:val="22"/>
          <w:szCs w:val="22"/>
          <w:highlight w:val="none"/>
          <w:lang w:val="zh-CN"/>
        </w:rPr>
        <w:t xml:space="preserve">        </w:t>
      </w:r>
    </w:p>
    <w:p w14:paraId="3195EBD5">
      <w:pPr>
        <w:spacing w:line="420" w:lineRule="exact"/>
        <w:ind w:firstLine="440" w:firstLineChars="200"/>
        <w:rPr>
          <w:rFonts w:hint="default" w:ascii="Times New Roman" w:hAnsi="Times New Roman" w:cs="Times New Roman"/>
          <w:color w:val="auto"/>
          <w:sz w:val="22"/>
          <w:szCs w:val="22"/>
          <w:highlight w:val="none"/>
          <w:u w:val="single"/>
          <w:lang w:val="en-US" w:eastAsia="zh-CN"/>
        </w:rPr>
      </w:pPr>
      <w:r>
        <w:rPr>
          <w:rFonts w:hint="default" w:ascii="Times New Roman" w:hAnsi="Times New Roman" w:cs="Times New Roman"/>
          <w:color w:val="auto"/>
          <w:sz w:val="22"/>
          <w:szCs w:val="22"/>
          <w:highlight w:val="none"/>
        </w:rPr>
        <w:t xml:space="preserve">2.4.2 </w:t>
      </w:r>
      <w:r>
        <w:rPr>
          <w:rFonts w:hint="default" w:ascii="Times New Roman" w:hAnsi="Times New Roman" w:cs="Times New Roman"/>
          <w:color w:val="auto"/>
          <w:sz w:val="22"/>
          <w:szCs w:val="22"/>
          <w:highlight w:val="none"/>
          <w:u w:val="single"/>
          <w:lang w:val="en-US" w:eastAsia="zh-CN"/>
        </w:rPr>
        <w:t xml:space="preserve">                      </w:t>
      </w:r>
      <w:r>
        <w:rPr>
          <w:rFonts w:hint="default" w:ascii="Times New Roman" w:hAnsi="Times New Roman" w:cs="Times New Roman"/>
          <w:color w:val="auto"/>
          <w:kern w:val="0"/>
          <w:sz w:val="22"/>
          <w:szCs w:val="22"/>
          <w:highlight w:val="none"/>
          <w:lang w:val="zh-CN"/>
        </w:rPr>
        <w:t>承担合同工程工作内容：</w:t>
      </w:r>
      <w:r>
        <w:rPr>
          <w:rFonts w:hint="default" w:ascii="Times New Roman" w:hAnsi="Times New Roman" w:cs="Times New Roman"/>
          <w:color w:val="auto"/>
          <w:sz w:val="22"/>
          <w:szCs w:val="22"/>
          <w:highlight w:val="none"/>
          <w:u w:val="single"/>
          <w:lang w:val="en-US" w:eastAsia="zh-CN"/>
        </w:rPr>
        <w:t xml:space="preserve">                                         </w:t>
      </w:r>
    </w:p>
    <w:p w14:paraId="1F7DFA2E">
      <w:pPr>
        <w:spacing w:line="420" w:lineRule="exact"/>
        <w:ind w:firstLine="440" w:firstLineChars="200"/>
        <w:rPr>
          <w:rFonts w:hint="default" w:ascii="Times New Roman" w:hAnsi="Times New Roman" w:cs="Times New Roman"/>
          <w:color w:val="auto"/>
          <w:kern w:val="0"/>
          <w:sz w:val="22"/>
          <w:szCs w:val="22"/>
          <w:highlight w:val="none"/>
          <w:lang w:val="zh-CN"/>
        </w:rPr>
      </w:pPr>
      <w:r>
        <w:rPr>
          <w:rFonts w:hint="default" w:ascii="Times New Roman" w:hAnsi="Times New Roman" w:cs="Times New Roman"/>
          <w:color w:val="auto"/>
          <w:sz w:val="22"/>
          <w:szCs w:val="22"/>
          <w:highlight w:val="none"/>
        </w:rPr>
        <w:t xml:space="preserve">2.5  </w:t>
      </w:r>
      <w:r>
        <w:rPr>
          <w:rFonts w:hint="default" w:ascii="Times New Roman" w:hAnsi="Times New Roman" w:cs="Times New Roman"/>
          <w:color w:val="auto"/>
          <w:kern w:val="0"/>
          <w:sz w:val="22"/>
          <w:szCs w:val="22"/>
          <w:highlight w:val="none"/>
          <w:lang w:val="zh-CN"/>
        </w:rPr>
        <w:t>联合体各方当事人对合同工程的其他约定：</w:t>
      </w:r>
    </w:p>
    <w:p w14:paraId="00912899">
      <w:pPr>
        <w:spacing w:line="420" w:lineRule="exact"/>
        <w:ind w:firstLine="440" w:firstLineChars="2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 xml:space="preserve">2.6  </w:t>
      </w:r>
      <w:r>
        <w:rPr>
          <w:rFonts w:hint="default" w:ascii="Times New Roman" w:hAnsi="Times New Roman" w:cs="Times New Roman"/>
          <w:color w:val="auto"/>
          <w:kern w:val="0"/>
          <w:sz w:val="22"/>
          <w:szCs w:val="22"/>
          <w:highlight w:val="none"/>
          <w:lang w:val="zh-CN"/>
        </w:rPr>
        <w:t>联合体各方当事人在合同工程实施过程中的有关费用，按各自承担的工作量所占比例分摊，或由联合体各方当事人具体协商确定。</w:t>
      </w:r>
    </w:p>
    <w:p w14:paraId="6FD76313">
      <w:pPr>
        <w:spacing w:line="420" w:lineRule="exact"/>
        <w:ind w:firstLine="440" w:firstLineChars="2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 xml:space="preserve">3.  </w:t>
      </w:r>
      <w:r>
        <w:rPr>
          <w:rFonts w:hint="default" w:ascii="Times New Roman" w:hAnsi="Times New Roman" w:cs="Times New Roman"/>
          <w:color w:val="auto"/>
          <w:kern w:val="0"/>
          <w:sz w:val="22"/>
          <w:szCs w:val="22"/>
          <w:highlight w:val="none"/>
          <w:lang w:val="zh-CN"/>
        </w:rPr>
        <w:t>本协议书签署后，联合体主办人应将本协议书及时送交发包人和监理工程师、造价工程师。</w:t>
      </w:r>
    </w:p>
    <w:p w14:paraId="5F3451B3">
      <w:pPr>
        <w:spacing w:line="420" w:lineRule="exact"/>
        <w:ind w:firstLine="440" w:firstLineChars="2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4.  本协议书自签署之日起生效，至各方当事人履行完施工合同全部义务后自行失效，并随施工合同的终止而终止；</w:t>
      </w:r>
    </w:p>
    <w:p w14:paraId="2283B83E">
      <w:pPr>
        <w:spacing w:line="420" w:lineRule="exact"/>
        <w:ind w:firstLine="440" w:firstLineChars="2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 xml:space="preserve">5.  </w:t>
      </w:r>
      <w:r>
        <w:rPr>
          <w:rFonts w:hint="default" w:ascii="Times New Roman" w:hAnsi="Times New Roman" w:cs="Times New Roman"/>
          <w:color w:val="auto"/>
          <w:kern w:val="0"/>
          <w:sz w:val="22"/>
          <w:szCs w:val="22"/>
          <w:highlight w:val="none"/>
          <w:lang w:val="zh-CN"/>
        </w:rPr>
        <w:t>本协议书正本与副本具有同等效力，当正本与副本不一致时，以正本为准。</w:t>
      </w:r>
    </w:p>
    <w:p w14:paraId="68947E50">
      <w:pPr>
        <w:spacing w:line="420" w:lineRule="exact"/>
        <w:ind w:firstLine="440" w:firstLineChars="200"/>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正本一式</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rPr>
        <w:t>份，联合体各方当事人各执一份，送交发包人和监理工程师、造价工程师各一份；副本一式</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rPr>
        <w:t>份，联合体各方当事人各执</w:t>
      </w:r>
      <w:r>
        <w:rPr>
          <w:rFonts w:hint="default" w:ascii="Times New Roman" w:hAnsi="Times New Roman" w:cs="Times New Roman"/>
          <w:color w:val="auto"/>
          <w:sz w:val="22"/>
          <w:szCs w:val="22"/>
          <w:highlight w:val="none"/>
          <w:u w:val="single"/>
        </w:rPr>
        <w:t xml:space="preserve">      </w:t>
      </w:r>
      <w:r>
        <w:rPr>
          <w:rFonts w:hint="default" w:ascii="Times New Roman" w:hAnsi="Times New Roman" w:cs="Times New Roman"/>
          <w:color w:val="auto"/>
          <w:sz w:val="22"/>
          <w:szCs w:val="22"/>
          <w:highlight w:val="none"/>
        </w:rPr>
        <w:t>份。</w:t>
      </w:r>
    </w:p>
    <w:p w14:paraId="54C7E9FE">
      <w:pPr>
        <w:spacing w:line="420" w:lineRule="exact"/>
        <w:ind w:firstLine="440" w:firstLineChars="200"/>
        <w:jc w:val="center"/>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br w:type="page"/>
      </w:r>
      <w:r>
        <w:rPr>
          <w:rFonts w:hint="default" w:ascii="Times New Roman" w:hAnsi="Times New Roman" w:cs="Times New Roman"/>
          <w:color w:val="auto"/>
          <w:sz w:val="22"/>
          <w:szCs w:val="22"/>
          <w:highlight w:val="none"/>
        </w:rPr>
        <w:t>（以下无正文）</w:t>
      </w:r>
    </w:p>
    <w:p w14:paraId="2FD8DCB5">
      <w:pPr>
        <w:spacing w:line="420" w:lineRule="exact"/>
        <w:ind w:firstLine="330" w:firstLineChars="150"/>
        <w:rPr>
          <w:rFonts w:hint="default" w:ascii="Times New Roman" w:hAnsi="Times New Roman" w:cs="Times New Roman"/>
          <w:color w:val="auto"/>
          <w:sz w:val="22"/>
          <w:szCs w:val="22"/>
          <w:highlight w:val="none"/>
        </w:rPr>
      </w:pPr>
    </w:p>
    <w:tbl>
      <w:tblPr>
        <w:tblStyle w:val="3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813"/>
        <w:gridCol w:w="4814"/>
      </w:tblGrid>
      <w:tr w14:paraId="57D51C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4813" w:type="dxa"/>
            <w:noWrap w:val="0"/>
            <w:vAlign w:val="top"/>
          </w:tcPr>
          <w:p w14:paraId="02569E61">
            <w:pPr>
              <w:adjustRightInd w:val="0"/>
              <w:snapToGrid w:val="0"/>
              <w:spacing w:line="360" w:lineRule="auto"/>
              <w:rPr>
                <w:rFonts w:hint="default" w:ascii="Times New Roman" w:hAnsi="Times New Roman" w:cs="Times New Roman"/>
                <w:color w:val="auto"/>
                <w:sz w:val="24"/>
                <w:highlight w:val="none"/>
                <w:vertAlign w:val="baseline"/>
              </w:rPr>
            </w:pPr>
            <w:r>
              <w:rPr>
                <w:rFonts w:hint="default" w:ascii="Times New Roman" w:hAnsi="Times New Roman" w:cs="Times New Roman"/>
                <w:color w:val="auto"/>
                <w:sz w:val="22"/>
                <w:szCs w:val="22"/>
                <w:highlight w:val="none"/>
              </w:rPr>
              <w:t>承包人（联合体主办方）：</w:t>
            </w:r>
          </w:p>
        </w:tc>
        <w:tc>
          <w:tcPr>
            <w:tcW w:w="4814" w:type="dxa"/>
            <w:noWrap w:val="0"/>
            <w:vAlign w:val="top"/>
          </w:tcPr>
          <w:p w14:paraId="5358DCE0">
            <w:pPr>
              <w:adjustRightInd w:val="0"/>
              <w:snapToGrid w:val="0"/>
              <w:spacing w:line="360" w:lineRule="auto"/>
              <w:rPr>
                <w:rFonts w:hint="default" w:ascii="Times New Roman" w:hAnsi="Times New Roman" w:cs="Times New Roman"/>
                <w:color w:val="auto"/>
                <w:sz w:val="24"/>
                <w:highlight w:val="none"/>
                <w:vertAlign w:val="baseline"/>
              </w:rPr>
            </w:pPr>
            <w:r>
              <w:rPr>
                <w:rFonts w:hint="default" w:ascii="Times New Roman" w:hAnsi="Times New Roman" w:cs="Times New Roman"/>
                <w:color w:val="auto"/>
                <w:sz w:val="22"/>
                <w:szCs w:val="22"/>
                <w:highlight w:val="none"/>
              </w:rPr>
              <w:t>承包人（联合体成员方）：</w:t>
            </w:r>
          </w:p>
        </w:tc>
      </w:tr>
      <w:tr w14:paraId="21936D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4813" w:type="dxa"/>
            <w:noWrap w:val="0"/>
            <w:vAlign w:val="top"/>
          </w:tcPr>
          <w:p w14:paraId="72D4F9F7">
            <w:pPr>
              <w:adjustRightInd w:val="0"/>
              <w:snapToGrid w:val="0"/>
              <w:spacing w:line="360" w:lineRule="auto"/>
              <w:ind w:firstLine="880" w:firstLineChars="400"/>
              <w:jc w:val="left"/>
              <w:rPr>
                <w:rFonts w:hint="default" w:ascii="Times New Roman" w:hAnsi="Times New Roman" w:cs="Times New Roman"/>
                <w:color w:val="auto"/>
                <w:sz w:val="24"/>
                <w:highlight w:val="none"/>
                <w:vertAlign w:val="baseline"/>
              </w:rPr>
            </w:pPr>
            <w:r>
              <w:rPr>
                <w:rFonts w:hint="default" w:ascii="Times New Roman" w:hAnsi="Times New Roman" w:cs="Times New Roman"/>
                <w:color w:val="auto"/>
                <w:sz w:val="22"/>
                <w:szCs w:val="22"/>
                <w:highlight w:val="none"/>
              </w:rPr>
              <w:t xml:space="preserve"> </w:t>
            </w:r>
            <w:r>
              <w:rPr>
                <w:rFonts w:hint="default" w:ascii="Times New Roman" w:hAnsi="Times New Roman" w:cs="Times New Roman"/>
                <w:color w:val="auto"/>
                <w:sz w:val="24"/>
                <w:highlight w:val="none"/>
              </w:rPr>
              <w:t>（盖章）</w:t>
            </w:r>
          </w:p>
        </w:tc>
        <w:tc>
          <w:tcPr>
            <w:tcW w:w="4814" w:type="dxa"/>
            <w:noWrap w:val="0"/>
            <w:vAlign w:val="top"/>
          </w:tcPr>
          <w:p w14:paraId="53A28778">
            <w:pPr>
              <w:adjustRightInd w:val="0"/>
              <w:snapToGrid w:val="0"/>
              <w:spacing w:line="360" w:lineRule="auto"/>
              <w:ind w:firstLine="880" w:firstLineChars="400"/>
              <w:rPr>
                <w:rFonts w:hint="default" w:ascii="Times New Roman" w:hAnsi="Times New Roman" w:cs="Times New Roman"/>
                <w:color w:val="auto"/>
                <w:sz w:val="24"/>
                <w:highlight w:val="none"/>
                <w:vertAlign w:val="baseline"/>
              </w:rPr>
            </w:pPr>
            <w:r>
              <w:rPr>
                <w:rFonts w:hint="default" w:ascii="Times New Roman" w:hAnsi="Times New Roman" w:cs="Times New Roman"/>
                <w:color w:val="auto"/>
                <w:sz w:val="22"/>
                <w:szCs w:val="22"/>
                <w:highlight w:val="none"/>
              </w:rPr>
              <w:t>（盖章）</w:t>
            </w:r>
          </w:p>
        </w:tc>
      </w:tr>
      <w:tr w14:paraId="15A713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4813" w:type="dxa"/>
            <w:noWrap w:val="0"/>
            <w:vAlign w:val="top"/>
          </w:tcPr>
          <w:p w14:paraId="37BF7979">
            <w:pPr>
              <w:adjustRightInd w:val="0"/>
              <w:snapToGrid w:val="0"/>
              <w:spacing w:line="360" w:lineRule="auto"/>
              <w:rPr>
                <w:rFonts w:hint="default" w:ascii="Times New Roman" w:hAnsi="Times New Roman" w:cs="Times New Roman"/>
                <w:color w:val="auto"/>
                <w:sz w:val="24"/>
                <w:highlight w:val="none"/>
                <w:vertAlign w:val="baseline"/>
              </w:rPr>
            </w:pPr>
            <w:r>
              <w:rPr>
                <w:rFonts w:hint="default" w:ascii="Times New Roman" w:hAnsi="Times New Roman" w:cs="Times New Roman"/>
                <w:color w:val="auto"/>
                <w:sz w:val="24"/>
                <w:highlight w:val="none"/>
              </w:rPr>
              <w:t xml:space="preserve">法定代表人：（签字）  </w:t>
            </w:r>
          </w:p>
        </w:tc>
        <w:tc>
          <w:tcPr>
            <w:tcW w:w="4814" w:type="dxa"/>
            <w:noWrap w:val="0"/>
            <w:vAlign w:val="top"/>
          </w:tcPr>
          <w:p w14:paraId="2026D028">
            <w:pPr>
              <w:adjustRightInd w:val="0"/>
              <w:snapToGrid w:val="0"/>
              <w:spacing w:line="360" w:lineRule="auto"/>
              <w:rPr>
                <w:rFonts w:hint="default" w:ascii="Times New Roman" w:hAnsi="Times New Roman" w:cs="Times New Roman"/>
                <w:color w:val="auto"/>
                <w:sz w:val="24"/>
                <w:highlight w:val="none"/>
                <w:vertAlign w:val="baseline"/>
              </w:rPr>
            </w:pPr>
            <w:r>
              <w:rPr>
                <w:rFonts w:hint="default" w:ascii="Times New Roman" w:hAnsi="Times New Roman" w:cs="Times New Roman"/>
                <w:color w:val="auto"/>
                <w:sz w:val="24"/>
                <w:highlight w:val="none"/>
              </w:rPr>
              <w:t>法定代表人：（签字）</w:t>
            </w:r>
          </w:p>
        </w:tc>
      </w:tr>
      <w:tr w14:paraId="1258ED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4813" w:type="dxa"/>
            <w:noWrap w:val="0"/>
            <w:vAlign w:val="top"/>
          </w:tcPr>
          <w:p w14:paraId="59D5F73C">
            <w:pPr>
              <w:adjustRightInd w:val="0"/>
              <w:snapToGrid w:val="0"/>
              <w:spacing w:line="360" w:lineRule="auto"/>
              <w:rPr>
                <w:rFonts w:hint="default" w:ascii="Times New Roman" w:hAnsi="Times New Roman" w:cs="Times New Roman"/>
                <w:color w:val="auto"/>
                <w:sz w:val="24"/>
                <w:highlight w:val="none"/>
                <w:vertAlign w:val="baseline"/>
              </w:rPr>
            </w:pPr>
            <w:r>
              <w:rPr>
                <w:rFonts w:hint="default" w:ascii="Times New Roman" w:hAnsi="Times New Roman" w:cs="Times New Roman"/>
                <w:color w:val="auto"/>
                <w:sz w:val="24"/>
                <w:szCs w:val="24"/>
                <w:highlight w:val="none"/>
              </w:rPr>
              <w:t>委托代理人：（签字）</w:t>
            </w:r>
          </w:p>
        </w:tc>
        <w:tc>
          <w:tcPr>
            <w:tcW w:w="4814" w:type="dxa"/>
            <w:noWrap w:val="0"/>
            <w:vAlign w:val="top"/>
          </w:tcPr>
          <w:p w14:paraId="6F9DE61B">
            <w:pPr>
              <w:adjustRightInd w:val="0"/>
              <w:snapToGrid w:val="0"/>
              <w:spacing w:line="360" w:lineRule="auto"/>
              <w:rPr>
                <w:rFonts w:hint="default" w:ascii="Times New Roman" w:hAnsi="Times New Roman" w:cs="Times New Roman"/>
                <w:color w:val="auto"/>
                <w:sz w:val="24"/>
                <w:highlight w:val="none"/>
                <w:vertAlign w:val="baseline"/>
              </w:rPr>
            </w:pPr>
            <w:r>
              <w:rPr>
                <w:rFonts w:hint="default" w:ascii="Times New Roman" w:hAnsi="Times New Roman" w:cs="Times New Roman"/>
                <w:color w:val="auto"/>
                <w:sz w:val="24"/>
                <w:szCs w:val="24"/>
                <w:highlight w:val="none"/>
              </w:rPr>
              <w:t>委托代理人：（签字）</w:t>
            </w:r>
          </w:p>
        </w:tc>
      </w:tr>
      <w:tr w14:paraId="7E1D16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4813" w:type="dxa"/>
            <w:noWrap w:val="0"/>
            <w:vAlign w:val="top"/>
          </w:tcPr>
          <w:p w14:paraId="009CF76C">
            <w:pPr>
              <w:adjustRightInd w:val="0"/>
              <w:snapToGrid w:val="0"/>
              <w:spacing w:line="360" w:lineRule="auto"/>
              <w:rPr>
                <w:rFonts w:hint="default" w:ascii="Times New Roman" w:hAnsi="Times New Roman" w:cs="Times New Roman"/>
                <w:color w:val="auto"/>
                <w:sz w:val="24"/>
                <w:highlight w:val="none"/>
                <w:vertAlign w:val="baseline"/>
              </w:rPr>
            </w:pPr>
            <w:r>
              <w:rPr>
                <w:rFonts w:hint="default" w:ascii="Times New Roman" w:hAnsi="Times New Roman" w:cs="Times New Roman"/>
                <w:color w:val="auto"/>
                <w:sz w:val="24"/>
                <w:highlight w:val="none"/>
              </w:rPr>
              <w:t xml:space="preserve">联系电话：   </w:t>
            </w:r>
          </w:p>
        </w:tc>
        <w:tc>
          <w:tcPr>
            <w:tcW w:w="4814" w:type="dxa"/>
            <w:noWrap w:val="0"/>
            <w:vAlign w:val="top"/>
          </w:tcPr>
          <w:p w14:paraId="53FB9BBC">
            <w:pPr>
              <w:adjustRightInd w:val="0"/>
              <w:snapToGrid w:val="0"/>
              <w:spacing w:line="360" w:lineRule="auto"/>
              <w:rPr>
                <w:rFonts w:hint="default" w:ascii="Times New Roman" w:hAnsi="Times New Roman" w:cs="Times New Roman"/>
                <w:color w:val="auto"/>
                <w:kern w:val="2"/>
                <w:sz w:val="24"/>
                <w:szCs w:val="21"/>
                <w:highlight w:val="none"/>
                <w:vertAlign w:val="baseline"/>
                <w:lang w:val="en-US" w:eastAsia="zh-CN" w:bidi="ar-SA"/>
              </w:rPr>
            </w:pPr>
            <w:r>
              <w:rPr>
                <w:rFonts w:hint="default" w:ascii="Times New Roman" w:hAnsi="Times New Roman" w:cs="Times New Roman"/>
                <w:color w:val="auto"/>
                <w:sz w:val="24"/>
                <w:highlight w:val="none"/>
              </w:rPr>
              <w:t xml:space="preserve">联系电话：   </w:t>
            </w:r>
          </w:p>
        </w:tc>
      </w:tr>
      <w:tr w14:paraId="202F65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4813" w:type="dxa"/>
            <w:noWrap w:val="0"/>
            <w:vAlign w:val="top"/>
          </w:tcPr>
          <w:p w14:paraId="00B8BDCE">
            <w:pPr>
              <w:adjustRightInd w:val="0"/>
              <w:snapToGrid w:val="0"/>
              <w:spacing w:line="360" w:lineRule="auto"/>
              <w:ind w:firstLine="960" w:firstLineChars="400"/>
              <w:rPr>
                <w:rFonts w:hint="default" w:ascii="Times New Roman" w:hAnsi="Times New Roman" w:cs="Times New Roman"/>
                <w:color w:val="auto"/>
                <w:sz w:val="24"/>
                <w:highlight w:val="none"/>
                <w:vertAlign w:val="baseline"/>
              </w:rPr>
            </w:pPr>
            <w:r>
              <w:rPr>
                <w:rFonts w:hint="default" w:ascii="Times New Roman" w:hAnsi="Times New Roman" w:cs="Times New Roman"/>
                <w:color w:val="auto"/>
                <w:sz w:val="24"/>
                <w:highlight w:val="none"/>
              </w:rPr>
              <w:t xml:space="preserve">年   月   日   </w:t>
            </w:r>
          </w:p>
        </w:tc>
        <w:tc>
          <w:tcPr>
            <w:tcW w:w="4814" w:type="dxa"/>
            <w:noWrap w:val="0"/>
            <w:vAlign w:val="top"/>
          </w:tcPr>
          <w:p w14:paraId="2E60D0BB">
            <w:pPr>
              <w:adjustRightInd w:val="0"/>
              <w:snapToGrid w:val="0"/>
              <w:spacing w:line="360" w:lineRule="auto"/>
              <w:ind w:firstLine="960" w:firstLineChars="400"/>
              <w:rPr>
                <w:rFonts w:hint="default" w:ascii="Times New Roman" w:hAnsi="Times New Roman" w:cs="Times New Roman"/>
                <w:color w:val="auto"/>
                <w:kern w:val="2"/>
                <w:sz w:val="24"/>
                <w:szCs w:val="21"/>
                <w:highlight w:val="none"/>
                <w:vertAlign w:val="baseline"/>
                <w:lang w:val="en-US" w:eastAsia="zh-CN" w:bidi="ar-SA"/>
              </w:rPr>
            </w:pPr>
            <w:r>
              <w:rPr>
                <w:rFonts w:hint="default" w:ascii="Times New Roman" w:hAnsi="Times New Roman" w:cs="Times New Roman"/>
                <w:color w:val="auto"/>
                <w:sz w:val="24"/>
                <w:highlight w:val="none"/>
              </w:rPr>
              <w:t xml:space="preserve">年   月   日   </w:t>
            </w:r>
          </w:p>
        </w:tc>
      </w:tr>
    </w:tbl>
    <w:p w14:paraId="0F782227">
      <w:pPr>
        <w:spacing w:line="420" w:lineRule="exact"/>
        <w:ind w:firstLine="330" w:firstLineChars="150"/>
        <w:rPr>
          <w:rFonts w:hint="default" w:ascii="Times New Roman" w:hAnsi="Times New Roman" w:cs="Times New Roman"/>
          <w:color w:val="auto"/>
          <w:sz w:val="22"/>
          <w:szCs w:val="22"/>
          <w:highlight w:val="none"/>
        </w:rPr>
      </w:pPr>
    </w:p>
    <w:p w14:paraId="6C0F0557">
      <w:pPr>
        <w:spacing w:line="420" w:lineRule="exact"/>
        <w:ind w:firstLine="330" w:firstLineChars="150"/>
        <w:rPr>
          <w:rFonts w:hint="default" w:ascii="Times New Roman" w:hAnsi="Times New Roman" w:cs="Times New Roman"/>
          <w:color w:val="auto"/>
          <w:sz w:val="22"/>
          <w:szCs w:val="22"/>
          <w:highlight w:val="none"/>
        </w:rPr>
      </w:pPr>
    </w:p>
    <w:p w14:paraId="27ED9884">
      <w:pPr>
        <w:spacing w:line="420" w:lineRule="exact"/>
        <w:ind w:firstLine="330" w:firstLineChars="150"/>
        <w:rPr>
          <w:rFonts w:hint="default" w:ascii="Times New Roman" w:hAnsi="Times New Roman" w:cs="Times New Roman"/>
          <w:color w:val="auto"/>
          <w:sz w:val="22"/>
          <w:szCs w:val="22"/>
          <w:highlight w:val="none"/>
        </w:rPr>
      </w:pPr>
    </w:p>
    <w:p w14:paraId="024A4F60">
      <w:pPr>
        <w:spacing w:line="420" w:lineRule="exact"/>
        <w:ind w:firstLine="330" w:firstLineChars="150"/>
        <w:rPr>
          <w:rFonts w:hint="default" w:ascii="Times New Roman" w:hAnsi="Times New Roman" w:cs="Times New Roman"/>
          <w:color w:val="auto"/>
          <w:sz w:val="22"/>
          <w:szCs w:val="22"/>
          <w:highlight w:val="none"/>
        </w:rPr>
      </w:pPr>
    </w:p>
    <w:p w14:paraId="720136B2">
      <w:pPr>
        <w:widowControl/>
        <w:spacing w:afterAutospacing="1" w:line="420" w:lineRule="exact"/>
        <w:jc w:val="left"/>
        <w:rPr>
          <w:rFonts w:hint="default" w:ascii="Times New Roman" w:hAnsi="Times New Roman" w:cs="Times New Roman"/>
          <w:color w:val="auto"/>
          <w:kern w:val="0"/>
          <w:sz w:val="22"/>
          <w:szCs w:val="22"/>
          <w:highlight w:val="none"/>
        </w:rPr>
        <w:sectPr>
          <w:footerReference r:id="rId18" w:type="first"/>
          <w:footerReference r:id="rId17" w:type="default"/>
          <w:endnotePr>
            <w:numFmt w:val="decimal"/>
          </w:endnotePr>
          <w:pgSz w:w="11906" w:h="16838"/>
          <w:pgMar w:top="1191" w:right="851" w:bottom="794" w:left="851" w:header="0" w:footer="454" w:gutter="0"/>
          <w:pgNumType w:fmt="decimal"/>
          <w:cols w:space="720" w:num="1"/>
          <w:titlePg/>
          <w:docGrid w:linePitch="286" w:charSpace="0"/>
        </w:sectPr>
      </w:pPr>
    </w:p>
    <w:p w14:paraId="7CA938C9">
      <w:pPr>
        <w:spacing w:line="420" w:lineRule="exact"/>
        <w:ind w:firstLine="331" w:firstLineChars="150"/>
        <w:outlineLvl w:val="0"/>
        <w:rPr>
          <w:rFonts w:hint="default" w:ascii="Times New Roman" w:hAnsi="Times New Roman" w:cs="Times New Roman"/>
          <w:b/>
          <w:bCs/>
          <w:color w:val="auto"/>
          <w:sz w:val="22"/>
          <w:szCs w:val="22"/>
          <w:highlight w:val="none"/>
        </w:rPr>
      </w:pPr>
      <w:bookmarkStart w:id="487" w:name="_Toc2603"/>
      <w:bookmarkStart w:id="488" w:name="_Toc1792895198"/>
      <w:bookmarkStart w:id="489" w:name="_Toc469384140"/>
      <w:bookmarkStart w:id="490" w:name="_Toc266892924"/>
      <w:r>
        <w:rPr>
          <w:rFonts w:hint="default" w:ascii="Times New Roman" w:hAnsi="Times New Roman" w:cs="Times New Roman"/>
          <w:b/>
          <w:bCs/>
          <w:color w:val="auto"/>
          <w:sz w:val="22"/>
          <w:szCs w:val="22"/>
          <w:highlight w:val="none"/>
        </w:rPr>
        <w:t>附件二</w:t>
      </w:r>
      <w:bookmarkEnd w:id="487"/>
      <w:bookmarkEnd w:id="488"/>
      <w:bookmarkEnd w:id="489"/>
      <w:bookmarkEnd w:id="490"/>
    </w:p>
    <w:p w14:paraId="27EFCD93">
      <w:pPr>
        <w:spacing w:line="420" w:lineRule="exact"/>
        <w:rPr>
          <w:rFonts w:hint="default" w:ascii="Times New Roman" w:hAnsi="Times New Roman" w:cs="Times New Roman"/>
          <w:color w:val="auto"/>
          <w:sz w:val="22"/>
          <w:szCs w:val="22"/>
          <w:highlight w:val="none"/>
        </w:rPr>
      </w:pPr>
    </w:p>
    <w:p w14:paraId="3F1F3A9E">
      <w:pPr>
        <w:adjustRightInd w:val="0"/>
        <w:snapToGrid w:val="0"/>
        <w:spacing w:line="360" w:lineRule="auto"/>
        <w:ind w:firstLine="3829" w:firstLineChars="900"/>
        <w:jc w:val="both"/>
        <w:rPr>
          <w:rFonts w:hint="default" w:ascii="Times New Roman" w:hAnsi="Times New Roman" w:cs="Times New Roman"/>
          <w:b/>
          <w:color w:val="auto"/>
          <w:spacing w:val="32"/>
          <w:sz w:val="36"/>
          <w:szCs w:val="36"/>
          <w:highlight w:val="none"/>
        </w:rPr>
      </w:pPr>
      <w:r>
        <w:rPr>
          <w:rFonts w:hint="default" w:ascii="Times New Roman" w:hAnsi="Times New Roman" w:cs="Times New Roman"/>
          <w:b/>
          <w:color w:val="auto"/>
          <w:spacing w:val="32"/>
          <w:sz w:val="36"/>
          <w:szCs w:val="36"/>
          <w:highlight w:val="none"/>
        </w:rPr>
        <w:t>工程质量保修书</w:t>
      </w:r>
    </w:p>
    <w:p w14:paraId="31F99E06">
      <w:pPr>
        <w:adjustRightInd w:val="0"/>
        <w:snapToGrid w:val="0"/>
        <w:spacing w:line="360" w:lineRule="auto"/>
        <w:rPr>
          <w:rFonts w:hint="default" w:ascii="Times New Roman" w:hAnsi="Times New Roman" w:cs="Times New Roman"/>
          <w:color w:val="auto"/>
          <w:sz w:val="24"/>
          <w:highlight w:val="none"/>
        </w:rPr>
      </w:pPr>
    </w:p>
    <w:p w14:paraId="4910AC67">
      <w:pPr>
        <w:adjustRightInd w:val="0"/>
        <w:snapToGrid w:val="0"/>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cs="Times New Roman"/>
          <w:color w:val="auto"/>
          <w:sz w:val="24"/>
          <w:highlight w:val="none"/>
        </w:rPr>
        <w:t>发包人：（全称）</w:t>
      </w:r>
      <w:r>
        <w:rPr>
          <w:rFonts w:hint="default" w:ascii="Times New Roman" w:hAnsi="Times New Roman" w:cs="Times New Roman"/>
          <w:color w:val="auto"/>
          <w:sz w:val="24"/>
          <w:highlight w:val="none"/>
          <w:u w:val="single"/>
          <w:lang w:val="en-US" w:eastAsia="zh-CN"/>
        </w:rPr>
        <w:t xml:space="preserve">                               </w:t>
      </w:r>
    </w:p>
    <w:p w14:paraId="7C8735B3">
      <w:pPr>
        <w:adjustRightInd w:val="0"/>
        <w:snapToGrid w:val="0"/>
        <w:spacing w:line="360" w:lineRule="auto"/>
        <w:ind w:firstLine="480" w:firstLineChars="200"/>
        <w:rPr>
          <w:rFonts w:hint="default" w:ascii="Times New Roman" w:hAnsi="Times New Roman" w:cs="Times New Roman"/>
          <w:color w:val="auto"/>
          <w:sz w:val="24"/>
          <w:highlight w:val="none"/>
          <w:u w:val="single"/>
        </w:rPr>
      </w:pPr>
      <w:r>
        <w:rPr>
          <w:rFonts w:hint="default" w:ascii="Times New Roman" w:hAnsi="Times New Roman" w:cs="Times New Roman"/>
          <w:color w:val="auto"/>
          <w:sz w:val="24"/>
          <w:highlight w:val="none"/>
        </w:rPr>
        <w:t>承包人：（全称）</w:t>
      </w:r>
      <w:r>
        <w:rPr>
          <w:rFonts w:hint="default" w:ascii="Times New Roman" w:hAnsi="Times New Roman" w:cs="Times New Roman"/>
          <w:color w:val="auto"/>
          <w:sz w:val="24"/>
          <w:highlight w:val="none"/>
          <w:u w:val="single"/>
        </w:rPr>
        <w:t xml:space="preserve">                                </w:t>
      </w:r>
    </w:p>
    <w:p w14:paraId="3601C417">
      <w:pPr>
        <w:adjustRightInd w:val="0"/>
        <w:snapToGri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为保证</w:t>
      </w:r>
      <w:r>
        <w:rPr>
          <w:rFonts w:hint="default" w:ascii="Times New Roman" w:hAnsi="Times New Roman" w:cs="Times New Roman"/>
          <w:color w:val="auto"/>
          <w:sz w:val="24"/>
          <w:highlight w:val="none"/>
          <w:u w:val="single"/>
          <w:lang w:val="en-US" w:eastAsia="zh-CN"/>
        </w:rPr>
        <w:t xml:space="preserve">                          </w:t>
      </w:r>
      <w:r>
        <w:rPr>
          <w:rFonts w:hint="default" w:ascii="Times New Roman" w:hAnsi="Times New Roman" w:cs="Times New Roman"/>
          <w:color w:val="auto"/>
          <w:sz w:val="24"/>
          <w:highlight w:val="none"/>
        </w:rPr>
        <w:t>在合理使用期限内正常使用，合同双方当事人根据《中华人民共和国建筑法》《建设工程质量管理条例》和《房屋建筑工程质量保修办法》等规定，经协商一致，订立本质量保修书。</w:t>
      </w:r>
    </w:p>
    <w:p w14:paraId="142EC032">
      <w:pPr>
        <w:adjustRightInd w:val="0"/>
        <w:snapToGrid w:val="0"/>
        <w:spacing w:line="360" w:lineRule="auto"/>
        <w:ind w:firstLine="480" w:firstLineChars="200"/>
        <w:rPr>
          <w:rFonts w:hint="default" w:ascii="Times New Roman" w:hAnsi="Times New Roman" w:cs="Times New Roman"/>
          <w:color w:val="auto"/>
          <w:sz w:val="24"/>
          <w:highlight w:val="none"/>
        </w:rPr>
      </w:pPr>
    </w:p>
    <w:p w14:paraId="42FC0D43">
      <w:pPr>
        <w:numPr>
          <w:ilvl w:val="0"/>
          <w:numId w:val="35"/>
        </w:numPr>
        <w:adjustRightInd w:val="0"/>
        <w:snapToGrid w:val="0"/>
        <w:spacing w:line="360" w:lineRule="auto"/>
        <w:ind w:left="902" w:leftChars="200" w:hanging="482" w:hangingChars="200"/>
        <w:rPr>
          <w:rFonts w:hint="default" w:ascii="Times New Roman" w:hAnsi="Times New Roman" w:cs="Times New Roman"/>
          <w:b/>
          <w:color w:val="auto"/>
          <w:sz w:val="24"/>
          <w:highlight w:val="none"/>
        </w:rPr>
      </w:pPr>
      <w:r>
        <w:rPr>
          <w:rFonts w:hint="default" w:ascii="Times New Roman" w:hAnsi="Times New Roman" w:cs="Times New Roman"/>
          <w:b/>
          <w:color w:val="auto"/>
          <w:sz w:val="24"/>
          <w:highlight w:val="none"/>
        </w:rPr>
        <w:t>质量保修范围</w:t>
      </w:r>
    </w:p>
    <w:p w14:paraId="12D5FCBE">
      <w:pPr>
        <w:adjustRightInd w:val="0"/>
        <w:snapToGrid w:val="0"/>
        <w:spacing w:line="360" w:lineRule="auto"/>
        <w:rPr>
          <w:rFonts w:hint="default" w:ascii="Times New Roman" w:hAnsi="Times New Roman" w:cs="Times New Roman"/>
          <w:color w:val="auto"/>
          <w:sz w:val="24"/>
          <w:highlight w:val="none"/>
        </w:rPr>
      </w:pPr>
    </w:p>
    <w:p w14:paraId="7AC9B958">
      <w:pPr>
        <w:adjustRightInd w:val="0"/>
        <w:snapToGri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质量保修范围包括地基基础工程、主体结构工程、屋面防水工程、有防水要求的卫生间、房间、外墙面的防渗漏工程、电气管线工程、给排水管道工程、设备安装工程、供热、供冷系统工程、装饰装修工程以及双方约定其他项目。具体质量保修范围，合同双方当事人约定如下：</w:t>
      </w:r>
    </w:p>
    <w:p w14:paraId="5014332E">
      <w:pPr>
        <w:adjustRightInd w:val="0"/>
        <w:snapToGri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1．</w:t>
      </w:r>
      <w:r>
        <w:rPr>
          <w:rFonts w:hint="default" w:ascii="Times New Roman" w:hAnsi="Times New Roman" w:cs="Times New Roman"/>
          <w:color w:val="auto"/>
          <w:sz w:val="24"/>
          <w:highlight w:val="none"/>
          <w:u w:val="single"/>
        </w:rPr>
        <w:t>按协议书第二条规定的承包范围内全部工程内容。</w:t>
      </w:r>
    </w:p>
    <w:p w14:paraId="37B53335">
      <w:pPr>
        <w:adjustRightInd w:val="0"/>
        <w:snapToGrid w:val="0"/>
        <w:spacing w:line="360" w:lineRule="auto"/>
        <w:ind w:firstLine="480" w:firstLineChars="200"/>
        <w:rPr>
          <w:rFonts w:hint="default" w:ascii="Times New Roman" w:hAnsi="Times New Roman" w:cs="Times New Roman"/>
          <w:color w:val="auto"/>
          <w:sz w:val="24"/>
          <w:highlight w:val="none"/>
        </w:rPr>
      </w:pPr>
    </w:p>
    <w:p w14:paraId="67ABE21F">
      <w:pPr>
        <w:numPr>
          <w:ilvl w:val="0"/>
          <w:numId w:val="35"/>
        </w:numPr>
        <w:adjustRightInd w:val="0"/>
        <w:snapToGrid w:val="0"/>
        <w:spacing w:line="360" w:lineRule="auto"/>
        <w:ind w:left="902" w:leftChars="200" w:hanging="482" w:hangingChars="200"/>
        <w:rPr>
          <w:rFonts w:hint="default" w:ascii="Times New Roman" w:hAnsi="Times New Roman" w:cs="Times New Roman"/>
          <w:b/>
          <w:color w:val="auto"/>
          <w:sz w:val="24"/>
          <w:highlight w:val="none"/>
        </w:rPr>
      </w:pPr>
      <w:r>
        <w:rPr>
          <w:rFonts w:hint="default" w:ascii="Times New Roman" w:hAnsi="Times New Roman" w:cs="Times New Roman"/>
          <w:b/>
          <w:color w:val="auto"/>
          <w:sz w:val="24"/>
          <w:highlight w:val="none"/>
        </w:rPr>
        <w:t>质量保修期</w:t>
      </w:r>
    </w:p>
    <w:p w14:paraId="31196032">
      <w:pPr>
        <w:adjustRightInd w:val="0"/>
        <w:snapToGrid w:val="0"/>
        <w:spacing w:line="360" w:lineRule="auto"/>
        <w:ind w:firstLine="480" w:firstLineChars="200"/>
        <w:rPr>
          <w:rFonts w:hint="default" w:ascii="Times New Roman" w:hAnsi="Times New Roman" w:cs="Times New Roman"/>
          <w:color w:val="auto"/>
          <w:sz w:val="24"/>
          <w:highlight w:val="none"/>
        </w:rPr>
      </w:pPr>
    </w:p>
    <w:p w14:paraId="146E9F75">
      <w:pPr>
        <w:adjustRightInd w:val="0"/>
        <w:snapToGri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2.1 质量保修期从工程实际竣工之日算起。单项竣工验收的工程，按单项工程分别计算质量保修期。</w:t>
      </w:r>
    </w:p>
    <w:p w14:paraId="156860A6">
      <w:pPr>
        <w:adjustRightInd w:val="0"/>
        <w:snapToGri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 xml:space="preserve">2.2 </w:t>
      </w:r>
      <w:r>
        <w:rPr>
          <w:rFonts w:hint="default" w:ascii="Times New Roman" w:hAnsi="Times New Roman" w:cs="Times New Roman"/>
          <w:color w:val="auto"/>
          <w:kern w:val="0"/>
          <w:sz w:val="24"/>
          <w:highlight w:val="none"/>
          <w:lang w:val="zh-CN"/>
        </w:rPr>
        <w:t>合同工程质量保修期，合同双方当事人约定如下</w:t>
      </w:r>
      <w:r>
        <w:rPr>
          <w:rFonts w:hint="default" w:ascii="Times New Roman" w:hAnsi="Times New Roman" w:cs="Times New Roman"/>
          <w:color w:val="auto"/>
          <w:sz w:val="24"/>
          <w:highlight w:val="none"/>
        </w:rPr>
        <w:t>：</w:t>
      </w:r>
    </w:p>
    <w:p w14:paraId="101A8F86">
      <w:pPr>
        <w:adjustRightInd w:val="0"/>
        <w:snapToGri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1．地基基础工程、主体结构工程为设计文件规定的合理使用年限；</w:t>
      </w:r>
    </w:p>
    <w:p w14:paraId="3C9968F6">
      <w:pPr>
        <w:adjustRightInd w:val="0"/>
        <w:snapToGri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2．屋面防水工程、有防水要求的卫生间、房间和外墙面的防渗漏工程为</w:t>
      </w:r>
      <w:r>
        <w:rPr>
          <w:rFonts w:hint="default" w:ascii="Times New Roman" w:hAnsi="Times New Roman" w:cs="Times New Roman"/>
          <w:color w:val="auto"/>
          <w:sz w:val="24"/>
          <w:highlight w:val="none"/>
          <w:u w:val="single"/>
        </w:rPr>
        <w:t xml:space="preserve">5 </w:t>
      </w:r>
      <w:r>
        <w:rPr>
          <w:rFonts w:hint="default" w:ascii="Times New Roman" w:hAnsi="Times New Roman" w:cs="Times New Roman"/>
          <w:color w:val="auto"/>
          <w:sz w:val="24"/>
          <w:highlight w:val="none"/>
        </w:rPr>
        <w:t>年；</w:t>
      </w:r>
    </w:p>
    <w:p w14:paraId="508BCAB5">
      <w:pPr>
        <w:adjustRightInd w:val="0"/>
        <w:snapToGrid w:val="0"/>
        <w:spacing w:line="360" w:lineRule="auto"/>
        <w:ind w:firstLine="240" w:firstLineChars="1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 xml:space="preserve">  3．电气管线工程、给排水管道工程、设备安装工程为</w:t>
      </w:r>
      <w:r>
        <w:rPr>
          <w:rFonts w:hint="default" w:ascii="Times New Roman" w:hAnsi="Times New Roman" w:cs="Times New Roman"/>
          <w:color w:val="auto"/>
          <w:sz w:val="24"/>
          <w:highlight w:val="none"/>
          <w:u w:val="single"/>
        </w:rPr>
        <w:t xml:space="preserve">2 </w:t>
      </w:r>
      <w:r>
        <w:rPr>
          <w:rFonts w:hint="default" w:ascii="Times New Roman" w:hAnsi="Times New Roman" w:cs="Times New Roman"/>
          <w:color w:val="auto"/>
          <w:sz w:val="24"/>
          <w:highlight w:val="none"/>
        </w:rPr>
        <w:t>年；</w:t>
      </w:r>
    </w:p>
    <w:p w14:paraId="14E70D83">
      <w:pPr>
        <w:adjustRightInd w:val="0"/>
        <w:snapToGri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4．供热、供冷系统工程为</w:t>
      </w:r>
      <w:r>
        <w:rPr>
          <w:rFonts w:hint="default" w:ascii="Times New Roman" w:hAnsi="Times New Roman" w:cs="Times New Roman"/>
          <w:color w:val="auto"/>
          <w:sz w:val="24"/>
          <w:highlight w:val="none"/>
          <w:u w:val="single"/>
        </w:rPr>
        <w:t xml:space="preserve">2 </w:t>
      </w:r>
      <w:r>
        <w:rPr>
          <w:rFonts w:hint="default" w:ascii="Times New Roman" w:hAnsi="Times New Roman" w:cs="Times New Roman"/>
          <w:color w:val="auto"/>
          <w:sz w:val="24"/>
          <w:highlight w:val="none"/>
        </w:rPr>
        <w:t>个采暖期、供冷期；</w:t>
      </w:r>
    </w:p>
    <w:p w14:paraId="246E1E21">
      <w:pPr>
        <w:adjustRightInd w:val="0"/>
        <w:snapToGri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5．装饰装修工程为</w:t>
      </w:r>
      <w:r>
        <w:rPr>
          <w:rFonts w:hint="default" w:ascii="Times New Roman" w:hAnsi="Times New Roman" w:cs="Times New Roman"/>
          <w:color w:val="auto"/>
          <w:sz w:val="24"/>
          <w:highlight w:val="none"/>
          <w:u w:val="single"/>
        </w:rPr>
        <w:t xml:space="preserve">2 </w:t>
      </w:r>
      <w:r>
        <w:rPr>
          <w:rFonts w:hint="default" w:ascii="Times New Roman" w:hAnsi="Times New Roman" w:cs="Times New Roman"/>
          <w:color w:val="auto"/>
          <w:sz w:val="24"/>
          <w:highlight w:val="none"/>
        </w:rPr>
        <w:t>年；</w:t>
      </w:r>
    </w:p>
    <w:p w14:paraId="54BBB20A">
      <w:pPr>
        <w:adjustRightInd w:val="0"/>
        <w:snapToGri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6．园林绿化工程为</w:t>
      </w:r>
      <w:r>
        <w:rPr>
          <w:rFonts w:hint="default" w:ascii="Times New Roman" w:hAnsi="Times New Roman" w:cs="Times New Roman"/>
          <w:color w:val="auto"/>
          <w:sz w:val="24"/>
          <w:highlight w:val="none"/>
          <w:u w:val="single"/>
        </w:rPr>
        <w:t xml:space="preserve">1 </w:t>
      </w:r>
      <w:r>
        <w:rPr>
          <w:rFonts w:hint="default" w:ascii="Times New Roman" w:hAnsi="Times New Roman" w:cs="Times New Roman"/>
          <w:color w:val="auto"/>
          <w:sz w:val="24"/>
          <w:highlight w:val="none"/>
        </w:rPr>
        <w:t>年；</w:t>
      </w:r>
    </w:p>
    <w:p w14:paraId="50E2D700">
      <w:pPr>
        <w:adjustRightInd w:val="0"/>
        <w:snapToGri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7．其他项目：</w:t>
      </w:r>
      <w:r>
        <w:rPr>
          <w:rFonts w:hint="default" w:ascii="Times New Roman" w:hAnsi="Times New Roman" w:cs="Times New Roman"/>
          <w:color w:val="auto"/>
          <w:sz w:val="24"/>
          <w:highlight w:val="none"/>
          <w:u w:val="single"/>
        </w:rPr>
        <w:t>设计合理使用年限为国家有关规定。</w:t>
      </w:r>
    </w:p>
    <w:p w14:paraId="76AE2F73">
      <w:pPr>
        <w:adjustRightInd w:val="0"/>
        <w:snapToGrid w:val="0"/>
        <w:spacing w:line="360" w:lineRule="auto"/>
        <w:ind w:firstLine="480" w:firstLineChars="200"/>
        <w:rPr>
          <w:rFonts w:hint="default" w:ascii="Times New Roman" w:hAnsi="Times New Roman" w:cs="Times New Roman"/>
          <w:color w:val="auto"/>
          <w:sz w:val="24"/>
          <w:highlight w:val="none"/>
        </w:rPr>
      </w:pPr>
    </w:p>
    <w:p w14:paraId="4610B426">
      <w:pPr>
        <w:adjustRightInd w:val="0"/>
        <w:snapToGrid w:val="0"/>
        <w:spacing w:line="360" w:lineRule="auto"/>
        <w:ind w:left="48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3．</w:t>
      </w:r>
      <w:r>
        <w:rPr>
          <w:rFonts w:hint="default" w:ascii="Times New Roman" w:hAnsi="Times New Roman" w:cs="Times New Roman"/>
          <w:b/>
          <w:color w:val="auto"/>
          <w:sz w:val="24"/>
          <w:highlight w:val="none"/>
        </w:rPr>
        <w:t>质量保修责任</w:t>
      </w:r>
    </w:p>
    <w:p w14:paraId="7550650A">
      <w:pPr>
        <w:adjustRightInd w:val="0"/>
        <w:snapToGri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 xml:space="preserve">3.1  </w:t>
      </w:r>
      <w:r>
        <w:rPr>
          <w:rFonts w:hint="default" w:ascii="Times New Roman" w:hAnsi="Times New Roman" w:cs="Times New Roman"/>
          <w:color w:val="auto"/>
          <w:kern w:val="0"/>
          <w:sz w:val="24"/>
          <w:highlight w:val="none"/>
          <w:lang w:val="zh-CN"/>
        </w:rPr>
        <w:t>属于保修范围的项目，承包人应在接到发包人通知后的</w:t>
      </w:r>
      <w:r>
        <w:rPr>
          <w:rFonts w:hint="default" w:ascii="Times New Roman" w:hAnsi="Times New Roman" w:cs="Times New Roman"/>
          <w:color w:val="auto"/>
          <w:kern w:val="0"/>
          <w:sz w:val="24"/>
          <w:highlight w:val="none"/>
        </w:rPr>
        <w:t xml:space="preserve"> 7</w:t>
      </w:r>
      <w:r>
        <w:rPr>
          <w:rFonts w:hint="default" w:ascii="Times New Roman" w:hAnsi="Times New Roman" w:cs="Times New Roman"/>
          <w:color w:val="auto"/>
          <w:kern w:val="0"/>
          <w:sz w:val="24"/>
          <w:highlight w:val="none"/>
          <w:lang w:val="zh-CN"/>
        </w:rPr>
        <w:t>天内派人保修。承包人未能在规定时间内派人保修的，发包人可自行或委托第三方保修</w:t>
      </w:r>
      <w:r>
        <w:rPr>
          <w:rFonts w:hint="default" w:ascii="Times New Roman" w:hAnsi="Times New Roman" w:cs="Times New Roman"/>
          <w:color w:val="auto"/>
          <w:sz w:val="24"/>
          <w:highlight w:val="none"/>
        </w:rPr>
        <w:t>。</w:t>
      </w:r>
    </w:p>
    <w:p w14:paraId="3CBB95B7">
      <w:pPr>
        <w:adjustRightInd w:val="0"/>
        <w:snapToGri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3.2  发生紧急抢修事故的，承包人在接到通知后，应立即到达事故现场抢修。</w:t>
      </w:r>
    </w:p>
    <w:p w14:paraId="1E77C36B">
      <w:pPr>
        <w:adjustRightInd w:val="0"/>
        <w:snapToGri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3.3  在国家规定的工程合理使用期限内，承包人应确保地基基础工程和主体结构的质量和安全。凡出现其质量问题，应立即报告当地建设行政主管部门，经设计人提出保修方案后，承包人应立即实施保修。</w:t>
      </w:r>
    </w:p>
    <w:p w14:paraId="15C0AEE3">
      <w:pPr>
        <w:adjustRightInd w:val="0"/>
        <w:snapToGri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3.4  质量保修完成后，由发包人组织验收。</w:t>
      </w:r>
    </w:p>
    <w:p w14:paraId="4A465E88">
      <w:pPr>
        <w:adjustRightInd w:val="0"/>
        <w:snapToGrid w:val="0"/>
        <w:spacing w:line="360" w:lineRule="auto"/>
        <w:ind w:left="48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4．</w:t>
      </w:r>
      <w:r>
        <w:rPr>
          <w:rFonts w:hint="default" w:ascii="Times New Roman" w:hAnsi="Times New Roman" w:cs="Times New Roman"/>
          <w:b/>
          <w:color w:val="auto"/>
          <w:sz w:val="24"/>
          <w:highlight w:val="none"/>
        </w:rPr>
        <w:t>质量保修费用</w:t>
      </w:r>
    </w:p>
    <w:p w14:paraId="12EA1ED2">
      <w:pPr>
        <w:adjustRightInd w:val="0"/>
        <w:snapToGri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kern w:val="0"/>
          <w:sz w:val="24"/>
          <w:highlight w:val="none"/>
          <w:lang w:val="zh-CN"/>
        </w:rPr>
        <w:t>质量保修等费用，由责任方承担</w:t>
      </w:r>
      <w:r>
        <w:rPr>
          <w:rFonts w:hint="default" w:ascii="Times New Roman" w:hAnsi="Times New Roman" w:cs="Times New Roman"/>
          <w:color w:val="auto"/>
          <w:sz w:val="24"/>
          <w:highlight w:val="none"/>
        </w:rPr>
        <w:t>。</w:t>
      </w:r>
    </w:p>
    <w:p w14:paraId="5E29E7A2">
      <w:pPr>
        <w:adjustRightInd w:val="0"/>
        <w:snapToGri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5．</w:t>
      </w:r>
      <w:r>
        <w:rPr>
          <w:rFonts w:hint="default" w:ascii="Times New Roman" w:hAnsi="Times New Roman" w:cs="Times New Roman"/>
          <w:b/>
          <w:color w:val="auto"/>
          <w:sz w:val="24"/>
          <w:highlight w:val="none"/>
        </w:rPr>
        <w:t>质量保证金</w:t>
      </w:r>
    </w:p>
    <w:p w14:paraId="690E7CC8">
      <w:pPr>
        <w:keepNext w:val="0"/>
        <w:keepLines w:val="0"/>
        <w:widowControl w:val="0"/>
        <w:suppressLineNumbers w:val="0"/>
        <w:adjustRightInd w:val="0"/>
        <w:snapToGrid w:val="0"/>
        <w:spacing w:before="0" w:beforeAutospacing="0" w:after="0" w:afterAutospacing="0" w:line="420" w:lineRule="exact"/>
        <w:ind w:left="0" w:right="0" w:firstLine="440" w:firstLineChars="200"/>
        <w:jc w:val="both"/>
        <w:rPr>
          <w:rFonts w:hint="default" w:ascii="Times New Roman" w:hAnsi="Times New Roman" w:eastAsia="宋体" w:cs="Times New Roman"/>
          <w:color w:val="auto"/>
          <w:sz w:val="22"/>
          <w:szCs w:val="22"/>
          <w:highlight w:val="none"/>
          <w:lang w:val="en-US"/>
        </w:rPr>
      </w:pPr>
      <w:r>
        <w:rPr>
          <w:rFonts w:hint="default" w:ascii="Times New Roman" w:hAnsi="Times New Roman" w:eastAsia="宋体" w:cs="Times New Roman"/>
          <w:color w:val="auto"/>
          <w:kern w:val="0"/>
          <w:sz w:val="22"/>
          <w:szCs w:val="22"/>
          <w:highlight w:val="none"/>
          <w:lang w:val="zh-CN" w:eastAsia="zh-CN" w:bidi="ar"/>
        </w:rPr>
        <w:t>质量保证金的约定、支付和使用与本合同第二部分《通用条款》第</w:t>
      </w:r>
      <w:r>
        <w:rPr>
          <w:rFonts w:hint="default" w:ascii="Times New Roman" w:hAnsi="Times New Roman" w:eastAsia="宋体" w:cs="Times New Roman"/>
          <w:color w:val="auto"/>
          <w:kern w:val="0"/>
          <w:sz w:val="22"/>
          <w:szCs w:val="22"/>
          <w:highlight w:val="none"/>
          <w:lang w:val="en-US" w:eastAsia="zh-CN" w:bidi="ar"/>
        </w:rPr>
        <w:t xml:space="preserve"> 84 </w:t>
      </w:r>
      <w:r>
        <w:rPr>
          <w:rFonts w:hint="default" w:ascii="Times New Roman" w:hAnsi="Times New Roman" w:eastAsia="宋体" w:cs="Times New Roman"/>
          <w:color w:val="auto"/>
          <w:kern w:val="0"/>
          <w:sz w:val="22"/>
          <w:szCs w:val="22"/>
          <w:highlight w:val="none"/>
          <w:lang w:val="zh-CN" w:eastAsia="zh-CN" w:bidi="ar"/>
        </w:rPr>
        <w:t>条赋予的规</w:t>
      </w:r>
      <w:r>
        <w:rPr>
          <w:rFonts w:hint="default" w:ascii="Times New Roman" w:hAnsi="Times New Roman" w:eastAsia="宋体" w:cs="Times New Roman"/>
          <w:color w:val="auto"/>
          <w:kern w:val="2"/>
          <w:sz w:val="22"/>
          <w:szCs w:val="22"/>
          <w:highlight w:val="none"/>
          <w:lang w:val="en-US" w:eastAsia="zh-CN" w:bidi="ar"/>
        </w:rPr>
        <w:t>定一致。</w:t>
      </w:r>
    </w:p>
    <w:p w14:paraId="239991F6">
      <w:pPr>
        <w:adjustRightInd w:val="0"/>
        <w:snapToGrid w:val="0"/>
        <w:spacing w:line="360" w:lineRule="auto"/>
        <w:ind w:left="480"/>
        <w:rPr>
          <w:rFonts w:hint="default" w:ascii="Times New Roman" w:hAnsi="Times New Roman" w:cs="Times New Roman"/>
          <w:color w:val="auto"/>
          <w:sz w:val="24"/>
          <w:highlight w:val="none"/>
        </w:rPr>
      </w:pPr>
    </w:p>
    <w:p w14:paraId="77042AE7">
      <w:pPr>
        <w:adjustRightInd w:val="0"/>
        <w:snapToGrid w:val="0"/>
        <w:spacing w:line="360" w:lineRule="auto"/>
        <w:ind w:left="48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6．</w:t>
      </w:r>
      <w:r>
        <w:rPr>
          <w:rFonts w:hint="default" w:ascii="Times New Roman" w:hAnsi="Times New Roman" w:cs="Times New Roman"/>
          <w:b/>
          <w:color w:val="auto"/>
          <w:sz w:val="24"/>
          <w:highlight w:val="none"/>
        </w:rPr>
        <w:t>其他</w:t>
      </w:r>
    </w:p>
    <w:p w14:paraId="680DB043">
      <w:pPr>
        <w:adjustRightInd w:val="0"/>
        <w:snapToGri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 xml:space="preserve">6.1  </w:t>
      </w:r>
      <w:r>
        <w:rPr>
          <w:rFonts w:hint="default" w:ascii="Times New Roman" w:hAnsi="Times New Roman" w:cs="Times New Roman"/>
          <w:color w:val="auto"/>
          <w:kern w:val="0"/>
          <w:sz w:val="24"/>
          <w:highlight w:val="none"/>
          <w:lang w:val="zh-CN"/>
        </w:rPr>
        <w:t>合同双方当事人约定的其他质量保修事</w:t>
      </w:r>
      <w:r>
        <w:rPr>
          <w:rFonts w:hint="default" w:ascii="Times New Roman" w:hAnsi="Times New Roman" w:cs="Times New Roman"/>
          <w:color w:val="auto"/>
          <w:sz w:val="24"/>
          <w:highlight w:val="none"/>
        </w:rPr>
        <w:t>项：</w:t>
      </w:r>
    </w:p>
    <w:p w14:paraId="241334C8">
      <w:pPr>
        <w:spacing w:line="360" w:lineRule="auto"/>
        <w:ind w:left="573"/>
        <w:rPr>
          <w:rFonts w:hint="default" w:ascii="Times New Roman" w:hAnsi="Times New Roman" w:cs="Times New Roman"/>
          <w:color w:val="auto"/>
          <w:kern w:val="0"/>
          <w:sz w:val="24"/>
          <w:highlight w:val="none"/>
          <w:u w:val="single"/>
          <w:lang w:val="zh-CN"/>
        </w:rPr>
      </w:pPr>
      <w:r>
        <w:rPr>
          <w:rFonts w:hint="default" w:ascii="Times New Roman" w:hAnsi="Times New Roman" w:cs="Times New Roman"/>
          <w:color w:val="auto"/>
          <w:kern w:val="0"/>
          <w:sz w:val="24"/>
          <w:highlight w:val="none"/>
          <w:lang w:val="zh-CN"/>
        </w:rPr>
        <w:t>1．</w:t>
      </w:r>
      <w:r>
        <w:rPr>
          <w:rFonts w:hint="default" w:ascii="Times New Roman" w:hAnsi="Times New Roman" w:cs="Times New Roman"/>
          <w:color w:val="auto"/>
          <w:kern w:val="0"/>
          <w:sz w:val="24"/>
          <w:highlight w:val="none"/>
          <w:u w:val="single"/>
          <w:lang w:val="zh-CN"/>
        </w:rPr>
        <w:t>易损件、消耗件和灯具保修期为叁个月。</w:t>
      </w:r>
    </w:p>
    <w:p w14:paraId="7B731131">
      <w:pPr>
        <w:spacing w:line="360" w:lineRule="auto"/>
        <w:ind w:left="573"/>
        <w:rPr>
          <w:rFonts w:hint="default" w:ascii="Times New Roman" w:hAnsi="Times New Roman" w:cs="Times New Roman"/>
          <w:color w:val="auto"/>
          <w:kern w:val="0"/>
          <w:sz w:val="24"/>
          <w:highlight w:val="none"/>
          <w:u w:val="single"/>
          <w:lang w:val="zh-CN"/>
        </w:rPr>
      </w:pPr>
      <w:r>
        <w:rPr>
          <w:rFonts w:hint="default" w:ascii="Times New Roman" w:hAnsi="Times New Roman" w:cs="Times New Roman"/>
          <w:color w:val="auto"/>
          <w:kern w:val="0"/>
          <w:sz w:val="24"/>
          <w:highlight w:val="none"/>
          <w:lang w:val="zh-CN"/>
        </w:rPr>
        <w:t>2．</w:t>
      </w:r>
      <w:r>
        <w:rPr>
          <w:rFonts w:hint="default" w:ascii="Times New Roman" w:hAnsi="Times New Roman" w:cs="Times New Roman"/>
          <w:color w:val="auto"/>
          <w:kern w:val="0"/>
          <w:sz w:val="24"/>
          <w:highlight w:val="none"/>
          <w:u w:val="single"/>
          <w:lang w:val="zh-CN"/>
        </w:rPr>
        <w:t>工程竣工验收后，在指定的时间内把初验存在问题整改完成，并得到发包方、监理方确认之日起开始计算保修期。</w:t>
      </w:r>
    </w:p>
    <w:p w14:paraId="59751031">
      <w:pPr>
        <w:spacing w:line="360" w:lineRule="auto"/>
        <w:ind w:left="573"/>
        <w:rPr>
          <w:rFonts w:hint="default" w:ascii="Times New Roman" w:hAnsi="Times New Roman" w:cs="Times New Roman"/>
          <w:color w:val="auto"/>
          <w:sz w:val="24"/>
          <w:highlight w:val="none"/>
        </w:rPr>
      </w:pPr>
      <w:r>
        <w:rPr>
          <w:rFonts w:hint="default" w:ascii="Times New Roman" w:hAnsi="Times New Roman" w:cs="Times New Roman"/>
          <w:color w:val="auto"/>
          <w:kern w:val="0"/>
          <w:sz w:val="24"/>
          <w:highlight w:val="none"/>
          <w:lang w:val="zh-CN"/>
        </w:rPr>
        <w:t>3．</w:t>
      </w:r>
      <w:r>
        <w:rPr>
          <w:rFonts w:hint="default" w:ascii="Times New Roman" w:hAnsi="Times New Roman" w:cs="Times New Roman"/>
          <w:color w:val="auto"/>
          <w:kern w:val="0"/>
          <w:sz w:val="24"/>
          <w:highlight w:val="none"/>
          <w:u w:val="single"/>
          <w:lang w:val="zh-CN"/>
        </w:rPr>
        <w:t>在保修期满并经检查验收合格后结算清楚，发包人将剩余保修金无息一次性返还给承包人。</w:t>
      </w:r>
    </w:p>
    <w:p w14:paraId="7E599EF2">
      <w:pPr>
        <w:adjustRightInd w:val="0"/>
        <w:snapToGri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 xml:space="preserve">6.2  </w:t>
      </w:r>
      <w:r>
        <w:rPr>
          <w:rFonts w:hint="default" w:ascii="Times New Roman" w:hAnsi="Times New Roman" w:cs="Times New Roman"/>
          <w:color w:val="auto"/>
          <w:kern w:val="0"/>
          <w:sz w:val="24"/>
          <w:highlight w:val="none"/>
          <w:lang w:val="zh-CN"/>
        </w:rPr>
        <w:t>本质量保修书，由合同双方当事人在承包人向发包人提交竣工验收申请报告时签署，作为本合同的附件</w:t>
      </w:r>
      <w:r>
        <w:rPr>
          <w:rFonts w:hint="default" w:ascii="Times New Roman" w:hAnsi="Times New Roman" w:cs="Times New Roman"/>
          <w:color w:val="auto"/>
          <w:sz w:val="24"/>
          <w:highlight w:val="none"/>
        </w:rPr>
        <w:t>。</w:t>
      </w:r>
    </w:p>
    <w:p w14:paraId="39473D36">
      <w:pPr>
        <w:adjustRightInd w:val="0"/>
        <w:snapToGri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 xml:space="preserve">6.3  </w:t>
      </w:r>
      <w:r>
        <w:rPr>
          <w:rFonts w:hint="default" w:ascii="Times New Roman" w:hAnsi="Times New Roman" w:cs="Times New Roman"/>
          <w:color w:val="auto"/>
          <w:kern w:val="0"/>
          <w:sz w:val="24"/>
          <w:highlight w:val="none"/>
          <w:lang w:val="zh-CN"/>
        </w:rPr>
        <w:t>本质量保修书，自合同双方当事人签署之日起生效，至质量保修期满后失效。</w:t>
      </w:r>
    </w:p>
    <w:p w14:paraId="12CC6F00">
      <w:pPr>
        <w:adjustRightInd w:val="0"/>
        <w:snapToGrid w:val="0"/>
        <w:spacing w:line="360" w:lineRule="auto"/>
        <w:rPr>
          <w:rFonts w:hint="default" w:ascii="Times New Roman" w:hAnsi="Times New Roman" w:cs="Times New Roman"/>
          <w:color w:val="auto"/>
          <w:sz w:val="24"/>
          <w:highlight w:val="none"/>
        </w:rPr>
      </w:pPr>
    </w:p>
    <w:tbl>
      <w:tblPr>
        <w:tblStyle w:val="3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813"/>
        <w:gridCol w:w="4814"/>
      </w:tblGrid>
      <w:tr w14:paraId="77D366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4813" w:type="dxa"/>
            <w:noWrap w:val="0"/>
            <w:vAlign w:val="top"/>
          </w:tcPr>
          <w:p w14:paraId="779DFA92">
            <w:pPr>
              <w:adjustRightInd w:val="0"/>
              <w:snapToGrid w:val="0"/>
              <w:spacing w:line="360" w:lineRule="auto"/>
              <w:rPr>
                <w:rFonts w:hint="default" w:ascii="Times New Roman" w:hAnsi="Times New Roman" w:cs="Times New Roman"/>
                <w:color w:val="auto"/>
                <w:sz w:val="24"/>
                <w:highlight w:val="none"/>
                <w:vertAlign w:val="baseline"/>
              </w:rPr>
            </w:pPr>
            <w:r>
              <w:rPr>
                <w:rFonts w:hint="default" w:ascii="Times New Roman" w:hAnsi="Times New Roman" w:cs="Times New Roman"/>
                <w:color w:val="auto"/>
                <w:sz w:val="24"/>
                <w:highlight w:val="none"/>
              </w:rPr>
              <w:t>发包人：（盖章）</w:t>
            </w:r>
          </w:p>
        </w:tc>
        <w:tc>
          <w:tcPr>
            <w:tcW w:w="4814" w:type="dxa"/>
            <w:noWrap w:val="0"/>
            <w:vAlign w:val="top"/>
          </w:tcPr>
          <w:p w14:paraId="7A21F7DE">
            <w:pPr>
              <w:adjustRightInd w:val="0"/>
              <w:snapToGrid w:val="0"/>
              <w:spacing w:line="360" w:lineRule="auto"/>
              <w:rPr>
                <w:rFonts w:hint="default" w:ascii="Times New Roman" w:hAnsi="Times New Roman" w:cs="Times New Roman"/>
                <w:color w:val="auto"/>
                <w:sz w:val="24"/>
                <w:highlight w:val="none"/>
                <w:vertAlign w:val="baseline"/>
              </w:rPr>
            </w:pPr>
            <w:r>
              <w:rPr>
                <w:rFonts w:hint="default" w:ascii="Times New Roman" w:hAnsi="Times New Roman" w:cs="Times New Roman"/>
                <w:color w:val="auto"/>
                <w:sz w:val="24"/>
                <w:highlight w:val="none"/>
              </w:rPr>
              <w:t>承包人：（盖章）</w:t>
            </w:r>
          </w:p>
        </w:tc>
      </w:tr>
      <w:tr w14:paraId="76138A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4813" w:type="dxa"/>
            <w:noWrap w:val="0"/>
            <w:vAlign w:val="top"/>
          </w:tcPr>
          <w:p w14:paraId="2E46454F">
            <w:pPr>
              <w:adjustRightInd w:val="0"/>
              <w:snapToGrid w:val="0"/>
              <w:spacing w:line="360" w:lineRule="auto"/>
              <w:ind w:firstLine="960" w:firstLineChars="400"/>
              <w:jc w:val="left"/>
              <w:rPr>
                <w:rFonts w:hint="default" w:ascii="Times New Roman" w:hAnsi="Times New Roman" w:cs="Times New Roman"/>
                <w:color w:val="auto"/>
                <w:sz w:val="24"/>
                <w:highlight w:val="none"/>
                <w:vertAlign w:val="baseline"/>
              </w:rPr>
            </w:pPr>
          </w:p>
        </w:tc>
        <w:tc>
          <w:tcPr>
            <w:tcW w:w="4814" w:type="dxa"/>
            <w:noWrap w:val="0"/>
            <w:vAlign w:val="top"/>
          </w:tcPr>
          <w:p w14:paraId="2889617C">
            <w:pPr>
              <w:adjustRightInd w:val="0"/>
              <w:snapToGrid w:val="0"/>
              <w:spacing w:line="360" w:lineRule="auto"/>
              <w:ind w:firstLine="960" w:firstLineChars="400"/>
              <w:rPr>
                <w:rFonts w:hint="default" w:ascii="Times New Roman" w:hAnsi="Times New Roman" w:cs="Times New Roman"/>
                <w:color w:val="auto"/>
                <w:sz w:val="24"/>
                <w:highlight w:val="none"/>
                <w:vertAlign w:val="baseline"/>
              </w:rPr>
            </w:pPr>
          </w:p>
        </w:tc>
      </w:tr>
      <w:tr w14:paraId="6B9A80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4813" w:type="dxa"/>
            <w:noWrap w:val="0"/>
            <w:vAlign w:val="top"/>
          </w:tcPr>
          <w:p w14:paraId="186D9846">
            <w:pPr>
              <w:adjustRightInd w:val="0"/>
              <w:snapToGrid w:val="0"/>
              <w:spacing w:line="360" w:lineRule="auto"/>
              <w:rPr>
                <w:rFonts w:hint="default" w:ascii="Times New Roman" w:hAnsi="Times New Roman" w:cs="Times New Roman"/>
                <w:color w:val="auto"/>
                <w:sz w:val="24"/>
                <w:highlight w:val="none"/>
                <w:vertAlign w:val="baseline"/>
              </w:rPr>
            </w:pPr>
            <w:r>
              <w:rPr>
                <w:rFonts w:hint="default" w:ascii="Times New Roman" w:hAnsi="Times New Roman" w:cs="Times New Roman"/>
                <w:color w:val="auto"/>
                <w:sz w:val="24"/>
                <w:highlight w:val="none"/>
              </w:rPr>
              <w:t xml:space="preserve">法定代表人：（签字）  </w:t>
            </w:r>
          </w:p>
        </w:tc>
        <w:tc>
          <w:tcPr>
            <w:tcW w:w="4814" w:type="dxa"/>
            <w:noWrap w:val="0"/>
            <w:vAlign w:val="top"/>
          </w:tcPr>
          <w:p w14:paraId="6E8D14A3">
            <w:pPr>
              <w:adjustRightInd w:val="0"/>
              <w:snapToGrid w:val="0"/>
              <w:spacing w:line="360" w:lineRule="auto"/>
              <w:rPr>
                <w:rFonts w:hint="default" w:ascii="Times New Roman" w:hAnsi="Times New Roman" w:cs="Times New Roman"/>
                <w:color w:val="auto"/>
                <w:sz w:val="24"/>
                <w:highlight w:val="none"/>
                <w:vertAlign w:val="baseline"/>
              </w:rPr>
            </w:pPr>
            <w:r>
              <w:rPr>
                <w:rFonts w:hint="default" w:ascii="Times New Roman" w:hAnsi="Times New Roman" w:cs="Times New Roman"/>
                <w:color w:val="auto"/>
                <w:sz w:val="24"/>
                <w:highlight w:val="none"/>
              </w:rPr>
              <w:t>法定代表人：（签字）</w:t>
            </w:r>
          </w:p>
        </w:tc>
      </w:tr>
      <w:tr w14:paraId="1E299F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4813" w:type="dxa"/>
            <w:noWrap w:val="0"/>
            <w:vAlign w:val="top"/>
          </w:tcPr>
          <w:p w14:paraId="63DF4284">
            <w:pPr>
              <w:adjustRightInd w:val="0"/>
              <w:snapToGrid w:val="0"/>
              <w:spacing w:line="360" w:lineRule="auto"/>
              <w:rPr>
                <w:rFonts w:hint="default" w:ascii="Times New Roman" w:hAnsi="Times New Roman" w:cs="Times New Roman"/>
                <w:color w:val="auto"/>
                <w:sz w:val="24"/>
                <w:highlight w:val="none"/>
                <w:vertAlign w:val="baseline"/>
              </w:rPr>
            </w:pPr>
            <w:r>
              <w:rPr>
                <w:rFonts w:hint="default" w:ascii="Times New Roman" w:hAnsi="Times New Roman" w:cs="Times New Roman"/>
                <w:color w:val="auto"/>
                <w:sz w:val="24"/>
                <w:szCs w:val="24"/>
                <w:highlight w:val="none"/>
              </w:rPr>
              <w:t>或委托代理人：（签字）</w:t>
            </w:r>
          </w:p>
        </w:tc>
        <w:tc>
          <w:tcPr>
            <w:tcW w:w="4814" w:type="dxa"/>
            <w:noWrap w:val="0"/>
            <w:vAlign w:val="top"/>
          </w:tcPr>
          <w:p w14:paraId="402485B3">
            <w:pPr>
              <w:adjustRightInd w:val="0"/>
              <w:snapToGrid w:val="0"/>
              <w:spacing w:line="360" w:lineRule="auto"/>
              <w:rPr>
                <w:rFonts w:hint="default" w:ascii="Times New Roman" w:hAnsi="Times New Roman" w:cs="Times New Roman"/>
                <w:color w:val="auto"/>
                <w:sz w:val="24"/>
                <w:highlight w:val="none"/>
                <w:vertAlign w:val="baseline"/>
              </w:rPr>
            </w:pPr>
            <w:r>
              <w:rPr>
                <w:rFonts w:hint="default" w:ascii="Times New Roman" w:hAnsi="Times New Roman" w:cs="Times New Roman"/>
                <w:color w:val="auto"/>
                <w:sz w:val="24"/>
                <w:szCs w:val="24"/>
                <w:highlight w:val="none"/>
              </w:rPr>
              <w:t>或委托代理人：（签字）</w:t>
            </w:r>
          </w:p>
        </w:tc>
      </w:tr>
      <w:tr w14:paraId="3470F1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4813" w:type="dxa"/>
            <w:noWrap w:val="0"/>
            <w:vAlign w:val="top"/>
          </w:tcPr>
          <w:p w14:paraId="17589118">
            <w:pPr>
              <w:adjustRightInd w:val="0"/>
              <w:snapToGrid w:val="0"/>
              <w:spacing w:line="360" w:lineRule="auto"/>
              <w:rPr>
                <w:rFonts w:hint="default" w:ascii="Times New Roman" w:hAnsi="Times New Roman" w:cs="Times New Roman"/>
                <w:color w:val="auto"/>
                <w:sz w:val="24"/>
                <w:highlight w:val="none"/>
                <w:vertAlign w:val="baseline"/>
              </w:rPr>
            </w:pPr>
            <w:r>
              <w:rPr>
                <w:rFonts w:hint="default" w:ascii="Times New Roman" w:hAnsi="Times New Roman" w:cs="Times New Roman"/>
                <w:color w:val="auto"/>
                <w:sz w:val="24"/>
                <w:highlight w:val="none"/>
              </w:rPr>
              <w:t xml:space="preserve">联系电话：   </w:t>
            </w:r>
          </w:p>
        </w:tc>
        <w:tc>
          <w:tcPr>
            <w:tcW w:w="4814" w:type="dxa"/>
            <w:noWrap w:val="0"/>
            <w:vAlign w:val="top"/>
          </w:tcPr>
          <w:p w14:paraId="741AEBEE">
            <w:pPr>
              <w:adjustRightInd w:val="0"/>
              <w:snapToGrid w:val="0"/>
              <w:spacing w:line="360" w:lineRule="auto"/>
              <w:rPr>
                <w:rFonts w:hint="default" w:ascii="Times New Roman" w:hAnsi="Times New Roman" w:cs="Times New Roman"/>
                <w:color w:val="auto"/>
                <w:kern w:val="2"/>
                <w:sz w:val="24"/>
                <w:szCs w:val="21"/>
                <w:highlight w:val="none"/>
                <w:vertAlign w:val="baseline"/>
                <w:lang w:val="en-US" w:eastAsia="zh-CN" w:bidi="ar-SA"/>
              </w:rPr>
            </w:pPr>
            <w:r>
              <w:rPr>
                <w:rFonts w:hint="default" w:ascii="Times New Roman" w:hAnsi="Times New Roman" w:cs="Times New Roman"/>
                <w:color w:val="auto"/>
                <w:sz w:val="24"/>
                <w:highlight w:val="none"/>
              </w:rPr>
              <w:t xml:space="preserve">联系电话：   </w:t>
            </w:r>
          </w:p>
        </w:tc>
      </w:tr>
      <w:tr w14:paraId="7C0722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4813" w:type="dxa"/>
            <w:noWrap w:val="0"/>
            <w:vAlign w:val="top"/>
          </w:tcPr>
          <w:p w14:paraId="77035008">
            <w:pPr>
              <w:adjustRightInd w:val="0"/>
              <w:snapToGrid w:val="0"/>
              <w:spacing w:line="360" w:lineRule="auto"/>
              <w:ind w:firstLine="960" w:firstLineChars="400"/>
              <w:rPr>
                <w:rFonts w:hint="default" w:ascii="Times New Roman" w:hAnsi="Times New Roman" w:cs="Times New Roman"/>
                <w:color w:val="auto"/>
                <w:sz w:val="24"/>
                <w:highlight w:val="none"/>
                <w:vertAlign w:val="baseline"/>
              </w:rPr>
            </w:pPr>
            <w:r>
              <w:rPr>
                <w:rFonts w:hint="default" w:ascii="Times New Roman" w:hAnsi="Times New Roman" w:cs="Times New Roman"/>
                <w:color w:val="auto"/>
                <w:sz w:val="24"/>
                <w:highlight w:val="none"/>
              </w:rPr>
              <w:t xml:space="preserve">年   月   日   </w:t>
            </w:r>
          </w:p>
        </w:tc>
        <w:tc>
          <w:tcPr>
            <w:tcW w:w="4814" w:type="dxa"/>
            <w:noWrap w:val="0"/>
            <w:vAlign w:val="top"/>
          </w:tcPr>
          <w:p w14:paraId="240E1D5B">
            <w:pPr>
              <w:adjustRightInd w:val="0"/>
              <w:snapToGrid w:val="0"/>
              <w:spacing w:line="360" w:lineRule="auto"/>
              <w:ind w:firstLine="960" w:firstLineChars="400"/>
              <w:rPr>
                <w:rFonts w:hint="default" w:ascii="Times New Roman" w:hAnsi="Times New Roman" w:cs="Times New Roman"/>
                <w:color w:val="auto"/>
                <w:kern w:val="2"/>
                <w:sz w:val="24"/>
                <w:szCs w:val="21"/>
                <w:highlight w:val="none"/>
                <w:vertAlign w:val="baseline"/>
                <w:lang w:val="en-US" w:eastAsia="zh-CN" w:bidi="ar-SA"/>
              </w:rPr>
            </w:pPr>
            <w:r>
              <w:rPr>
                <w:rFonts w:hint="default" w:ascii="Times New Roman" w:hAnsi="Times New Roman" w:cs="Times New Roman"/>
                <w:color w:val="auto"/>
                <w:sz w:val="24"/>
                <w:highlight w:val="none"/>
              </w:rPr>
              <w:t xml:space="preserve">年   月   日   </w:t>
            </w:r>
          </w:p>
        </w:tc>
      </w:tr>
    </w:tbl>
    <w:p w14:paraId="093FF2AC">
      <w:pPr>
        <w:adjustRightInd w:val="0"/>
        <w:snapToGrid w:val="0"/>
        <w:spacing w:line="360" w:lineRule="auto"/>
        <w:ind w:left="0" w:leftChars="0" w:firstLine="0" w:firstLineChars="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 xml:space="preserve">                                       </w:t>
      </w:r>
    </w:p>
    <w:p w14:paraId="49984556">
      <w:pPr>
        <w:adjustRightInd w:val="0"/>
        <w:snapToGrid w:val="0"/>
        <w:spacing w:line="360" w:lineRule="auto"/>
        <w:rPr>
          <w:rFonts w:hint="default" w:ascii="Times New Roman" w:hAnsi="Times New Roman" w:eastAsia="宋体" w:cs="Times New Roman"/>
          <w:color w:val="auto"/>
          <w:kern w:val="2"/>
          <w:sz w:val="22"/>
          <w:szCs w:val="22"/>
          <w:highlight w:val="none"/>
          <w:lang w:val="en-US" w:eastAsia="zh-CN" w:bidi="ar"/>
        </w:rPr>
        <w:sectPr>
          <w:pgSz w:w="11906" w:h="16838"/>
          <w:pgMar w:top="1440" w:right="1304" w:bottom="1440" w:left="1191"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7A759C8C">
      <w:pPr>
        <w:spacing w:line="360" w:lineRule="auto"/>
        <w:jc w:val="center"/>
        <w:rPr>
          <w:rFonts w:hint="default" w:ascii="Times New Roman" w:hAnsi="Times New Roman" w:eastAsia="宋体" w:cs="Times New Roman"/>
          <w:b/>
          <w:bCs/>
          <w:sz w:val="36"/>
          <w:szCs w:val="36"/>
          <w:highlight w:val="none"/>
        </w:rPr>
      </w:pPr>
      <w:r>
        <w:rPr>
          <w:rFonts w:hint="default" w:ascii="Times New Roman" w:hAnsi="Times New Roman" w:eastAsia="宋体" w:cs="Times New Roman"/>
          <w:b/>
          <w:bCs/>
          <w:sz w:val="36"/>
          <w:szCs w:val="36"/>
          <w:highlight w:val="none"/>
        </w:rPr>
        <w:t>廉 政 合 同</w:t>
      </w:r>
    </w:p>
    <w:p w14:paraId="26BD04CD">
      <w:pPr>
        <w:spacing w:line="360" w:lineRule="auto"/>
        <w:rPr>
          <w:rFonts w:hint="default" w:ascii="Times New Roman" w:hAnsi="Times New Roman" w:eastAsia="宋体" w:cs="Times New Roman"/>
          <w:sz w:val="24"/>
          <w:szCs w:val="24"/>
          <w:highlight w:val="none"/>
        </w:rPr>
      </w:pPr>
    </w:p>
    <w:p w14:paraId="4478591C">
      <w:pPr>
        <w:adjustRightInd w:val="0"/>
        <w:snapToGrid w:val="0"/>
        <w:spacing w:line="360" w:lineRule="auto"/>
        <w:ind w:firstLine="480" w:firstLineChars="200"/>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发包人：</w:t>
      </w:r>
      <w:r>
        <w:rPr>
          <w:rFonts w:hint="default" w:ascii="Times New Roman" w:hAnsi="Times New Roman" w:eastAsia="宋体" w:cs="Times New Roman"/>
          <w:sz w:val="24"/>
          <w:szCs w:val="24"/>
          <w:highlight w:val="none"/>
          <w:u w:val="single"/>
        </w:rPr>
        <w:t xml:space="preserve">                        </w:t>
      </w:r>
    </w:p>
    <w:p w14:paraId="16901421">
      <w:pPr>
        <w:adjustRightInd w:val="0"/>
        <w:snapToGrid w:val="0"/>
        <w:spacing w:line="360" w:lineRule="auto"/>
        <w:ind w:firstLine="480" w:firstLineChars="200"/>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承包人：</w:t>
      </w:r>
      <w:r>
        <w:rPr>
          <w:rFonts w:hint="default" w:ascii="Times New Roman" w:hAnsi="Times New Roman" w:eastAsia="宋体" w:cs="Times New Roman"/>
          <w:sz w:val="24"/>
          <w:szCs w:val="24"/>
          <w:highlight w:val="none"/>
          <w:u w:val="single"/>
        </w:rPr>
        <w:t xml:space="preserve">                          </w:t>
      </w:r>
    </w:p>
    <w:p w14:paraId="54859C87">
      <w:pPr>
        <w:spacing w:line="360" w:lineRule="auto"/>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 xml:space="preserve">    </w:t>
      </w:r>
    </w:p>
    <w:p w14:paraId="4653FABF">
      <w:pPr>
        <w:spacing w:line="360" w:lineRule="auto"/>
        <w:ind w:firstLine="480" w:firstLineChars="200"/>
        <w:jc w:val="left"/>
        <w:rPr>
          <w:rFonts w:hint="default" w:ascii="Times New Roman" w:hAnsi="Times New Roman" w:eastAsia="宋体" w:cs="Times New Roman"/>
          <w:sz w:val="24"/>
          <w:szCs w:val="24"/>
          <w:highlight w:val="none"/>
        </w:rPr>
      </w:pPr>
      <w:r>
        <w:rPr>
          <w:rFonts w:hint="default" w:ascii="Times New Roman" w:hAnsi="Times New Roman" w:eastAsia="宋体" w:cs="Times New Roman"/>
          <w:kern w:val="0"/>
          <w:sz w:val="24"/>
          <w:szCs w:val="24"/>
          <w:highlight w:val="none"/>
          <w:lang w:val="zh-CN"/>
        </w:rPr>
        <w:t>根据国家、省有关廉政建设的规定，为做好合同的廉政建设，保证质量与施工安全，提高建设资金的有效使用和投资效益，合同双方当事人就加强合同的廉政建设，订立本合同</w:t>
      </w:r>
      <w:r>
        <w:rPr>
          <w:rFonts w:hint="default" w:ascii="Times New Roman" w:hAnsi="Times New Roman" w:eastAsia="宋体" w:cs="Times New Roman"/>
          <w:sz w:val="24"/>
          <w:szCs w:val="24"/>
          <w:highlight w:val="none"/>
        </w:rPr>
        <w:t>。</w:t>
      </w:r>
    </w:p>
    <w:p w14:paraId="21B19243">
      <w:pPr>
        <w:spacing w:line="360" w:lineRule="auto"/>
        <w:ind w:firstLine="562" w:firstLineChars="200"/>
        <w:jc w:val="left"/>
        <w:rPr>
          <w:rFonts w:hint="default" w:ascii="Times New Roman" w:hAnsi="Times New Roman" w:eastAsia="宋体" w:cs="Times New Roman"/>
          <w:b/>
          <w:bCs/>
          <w:sz w:val="28"/>
          <w:szCs w:val="28"/>
          <w:highlight w:val="none"/>
        </w:rPr>
      </w:pPr>
      <w:r>
        <w:rPr>
          <w:rFonts w:hint="default" w:ascii="Times New Roman" w:hAnsi="Times New Roman" w:eastAsia="宋体" w:cs="Times New Roman"/>
          <w:b/>
          <w:bCs/>
          <w:sz w:val="28"/>
          <w:szCs w:val="28"/>
          <w:highlight w:val="none"/>
        </w:rPr>
        <w:t>1  双方权利和义务</w:t>
      </w:r>
    </w:p>
    <w:p w14:paraId="68F28F8A">
      <w:pPr>
        <w:spacing w:line="360" w:lineRule="auto"/>
        <w:ind w:firstLine="480" w:firstLineChars="200"/>
        <w:jc w:val="left"/>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1.1  严格遵守国家、省有关法律法规的规定。</w:t>
      </w:r>
    </w:p>
    <w:p w14:paraId="7E6B191C">
      <w:pPr>
        <w:spacing w:line="360" w:lineRule="auto"/>
        <w:ind w:firstLine="480" w:firstLineChars="200"/>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1.2  严格执行合同一切合同文件，自觉按合同办事。</w:t>
      </w:r>
    </w:p>
    <w:p w14:paraId="3FDE2341">
      <w:pPr>
        <w:spacing w:line="360" w:lineRule="auto"/>
        <w:ind w:firstLine="480" w:firstLineChars="200"/>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 xml:space="preserve">1.3  </w:t>
      </w:r>
      <w:r>
        <w:rPr>
          <w:rFonts w:hint="default" w:ascii="Times New Roman" w:hAnsi="Times New Roman" w:eastAsia="宋体" w:cs="Times New Roman"/>
          <w:kern w:val="0"/>
          <w:sz w:val="24"/>
          <w:szCs w:val="24"/>
          <w:highlight w:val="none"/>
          <w:lang w:val="zh-CN"/>
        </w:rPr>
        <w:t>合同双方当事人的业务活动应坚持公平、公开、公正和诚信的原则（法律认定的商业秘密和合同文件另有规定除外），不得损害国家和集体利益，不得违反工程建设管理规章制度</w:t>
      </w:r>
      <w:r>
        <w:rPr>
          <w:rFonts w:hint="default" w:ascii="Times New Roman" w:hAnsi="Times New Roman" w:eastAsia="宋体" w:cs="Times New Roman"/>
          <w:sz w:val="24"/>
          <w:szCs w:val="24"/>
          <w:highlight w:val="none"/>
        </w:rPr>
        <w:t>。</w:t>
      </w:r>
    </w:p>
    <w:p w14:paraId="1F174715">
      <w:pPr>
        <w:spacing w:line="360" w:lineRule="auto"/>
        <w:ind w:firstLine="480" w:firstLineChars="200"/>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1.4  建立健全廉政制度，开展廉政教育，设立廉政告示牌，公布举报电话，监督并认真查处违法违纪行为。</w:t>
      </w:r>
    </w:p>
    <w:p w14:paraId="32E04246">
      <w:pPr>
        <w:spacing w:line="360" w:lineRule="auto"/>
        <w:ind w:firstLine="480" w:firstLineChars="200"/>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1.5  发现对方在业务活动中有违反廉政建设规定的行为，应及时给予提醒和纠正。</w:t>
      </w:r>
    </w:p>
    <w:p w14:paraId="49A613C2">
      <w:pPr>
        <w:spacing w:line="360" w:lineRule="auto"/>
        <w:ind w:firstLine="480" w:firstLineChars="200"/>
        <w:jc w:val="left"/>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1.6  发现对方严重违反合同的行为，有向其上级部门举报、建议给予处理并要求告知处理结果的权利。没有上级部门的，</w:t>
      </w:r>
      <w:r>
        <w:rPr>
          <w:rFonts w:hint="default" w:ascii="Times New Roman" w:hAnsi="Times New Roman" w:eastAsia="宋体" w:cs="Times New Roman"/>
          <w:kern w:val="0"/>
          <w:sz w:val="24"/>
          <w:szCs w:val="24"/>
          <w:highlight w:val="none"/>
          <w:lang w:val="zh-CN"/>
        </w:rPr>
        <w:t>可按本合同第三部分《专用条款》第</w:t>
      </w:r>
      <w:r>
        <w:rPr>
          <w:rFonts w:hint="default" w:ascii="Times New Roman" w:hAnsi="Times New Roman" w:eastAsia="宋体" w:cs="Times New Roman"/>
          <w:kern w:val="0"/>
          <w:sz w:val="24"/>
          <w:szCs w:val="24"/>
          <w:highlight w:val="none"/>
        </w:rPr>
        <w:t>20.3</w:t>
      </w:r>
      <w:r>
        <w:rPr>
          <w:rFonts w:hint="default" w:ascii="Times New Roman" w:hAnsi="Times New Roman" w:eastAsia="宋体" w:cs="Times New Roman"/>
          <w:kern w:val="0"/>
          <w:sz w:val="24"/>
          <w:szCs w:val="24"/>
          <w:highlight w:val="none"/>
          <w:lang w:val="zh-CN"/>
        </w:rPr>
        <w:t>条规定处</w:t>
      </w:r>
      <w:r>
        <w:rPr>
          <w:rFonts w:hint="default" w:ascii="Times New Roman" w:hAnsi="Times New Roman" w:eastAsia="宋体" w:cs="Times New Roman"/>
          <w:kern w:val="0"/>
          <w:sz w:val="24"/>
          <w:szCs w:val="24"/>
          <w:highlight w:val="none"/>
          <w:lang w:val="en-US" w:eastAsia="zh-CN"/>
        </w:rPr>
        <w:t>理</w:t>
      </w:r>
      <w:r>
        <w:rPr>
          <w:rFonts w:hint="default" w:ascii="Times New Roman" w:hAnsi="Times New Roman" w:eastAsia="宋体" w:cs="Times New Roman"/>
          <w:sz w:val="24"/>
          <w:szCs w:val="24"/>
          <w:highlight w:val="none"/>
        </w:rPr>
        <w:t>。</w:t>
      </w:r>
    </w:p>
    <w:p w14:paraId="4E333C13">
      <w:pPr>
        <w:spacing w:line="360" w:lineRule="auto"/>
        <w:ind w:firstLine="562" w:firstLineChars="200"/>
        <w:jc w:val="left"/>
        <w:rPr>
          <w:rFonts w:hint="default" w:ascii="Times New Roman" w:hAnsi="Times New Roman" w:eastAsia="宋体" w:cs="Times New Roman"/>
          <w:b/>
          <w:bCs/>
          <w:sz w:val="28"/>
          <w:szCs w:val="28"/>
          <w:highlight w:val="none"/>
        </w:rPr>
      </w:pPr>
      <w:r>
        <w:rPr>
          <w:rFonts w:hint="default" w:ascii="Times New Roman" w:hAnsi="Times New Roman" w:eastAsia="宋体" w:cs="Times New Roman"/>
          <w:b/>
          <w:bCs/>
          <w:sz w:val="28"/>
          <w:szCs w:val="28"/>
          <w:highlight w:val="none"/>
        </w:rPr>
        <w:t>2  发包人义务</w:t>
      </w:r>
    </w:p>
    <w:p w14:paraId="399F2489">
      <w:pPr>
        <w:spacing w:line="360" w:lineRule="auto"/>
        <w:ind w:firstLine="480" w:firstLineChars="200"/>
        <w:jc w:val="left"/>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2.1  发包人及其工作人员不得索要或接受承包人的礼金、有价证券和贵重物品，不得在承包人报销任何应由发包人或工作人员个人支付的费用等。</w:t>
      </w:r>
    </w:p>
    <w:p w14:paraId="67A397EB">
      <w:pPr>
        <w:spacing w:line="360" w:lineRule="auto"/>
        <w:ind w:firstLine="480" w:firstLineChars="200"/>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2.2  发包人及其工作人员不得参加承包人安排的宴请（工作餐除外）和娱乐活动；不得接受承包人提供的通讯工具、交通工具和高档办公用品等。</w:t>
      </w:r>
    </w:p>
    <w:p w14:paraId="3CC663EA">
      <w:pPr>
        <w:spacing w:line="360" w:lineRule="auto"/>
        <w:ind w:firstLine="480" w:firstLineChars="200"/>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2.3  发包人及其工作人员不得要求或者接受承包人为其住房装修、婚丧嫁娶活动、配偶子女的工作安排以及出国出境、旅游等提供方便等。</w:t>
      </w:r>
    </w:p>
    <w:p w14:paraId="596090CF">
      <w:pPr>
        <w:spacing w:line="360" w:lineRule="auto"/>
        <w:ind w:firstLine="480" w:firstLineChars="200"/>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 xml:space="preserve">2.4  </w:t>
      </w:r>
      <w:r>
        <w:rPr>
          <w:rFonts w:hint="default" w:ascii="Times New Roman" w:hAnsi="Times New Roman" w:eastAsia="宋体" w:cs="Times New Roman"/>
          <w:kern w:val="0"/>
          <w:sz w:val="24"/>
          <w:szCs w:val="24"/>
          <w:highlight w:val="none"/>
          <w:lang w:val="zh-CN"/>
        </w:rPr>
        <w:t>发包人及其工作人员不得以任何理由向承包人推荐分包人、推销材料和工程设备，不得要求承包人购买合同以外的材料和工程设备</w:t>
      </w:r>
      <w:r>
        <w:rPr>
          <w:rFonts w:hint="default" w:ascii="Times New Roman" w:hAnsi="Times New Roman" w:eastAsia="宋体" w:cs="Times New Roman"/>
          <w:sz w:val="24"/>
          <w:szCs w:val="24"/>
          <w:highlight w:val="none"/>
        </w:rPr>
        <w:t>。</w:t>
      </w:r>
    </w:p>
    <w:p w14:paraId="0B064533">
      <w:pPr>
        <w:spacing w:line="360" w:lineRule="auto"/>
        <w:ind w:firstLine="480" w:firstLineChars="200"/>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 xml:space="preserve">2.5  </w:t>
      </w:r>
      <w:r>
        <w:rPr>
          <w:rFonts w:hint="default" w:ascii="Times New Roman" w:hAnsi="Times New Roman" w:eastAsia="宋体" w:cs="Times New Roman"/>
          <w:kern w:val="0"/>
          <w:sz w:val="24"/>
          <w:szCs w:val="24"/>
          <w:highlight w:val="none"/>
          <w:lang w:val="zh-CN"/>
        </w:rPr>
        <w:t>发包人及其工作人员要秉公办事，不准营私舞弊，不准利用职权私自为合同安排施工队伍，也不得从事与合同有关的各种有偿中介活动</w:t>
      </w:r>
      <w:r>
        <w:rPr>
          <w:rFonts w:hint="default" w:ascii="Times New Roman" w:hAnsi="Times New Roman" w:eastAsia="宋体" w:cs="Times New Roman"/>
          <w:sz w:val="24"/>
          <w:szCs w:val="24"/>
          <w:highlight w:val="none"/>
        </w:rPr>
        <w:t>。</w:t>
      </w:r>
    </w:p>
    <w:p w14:paraId="32606E0D">
      <w:pPr>
        <w:spacing w:line="360" w:lineRule="auto"/>
        <w:ind w:firstLine="480" w:firstLineChars="200"/>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 xml:space="preserve">2.6  </w:t>
      </w:r>
      <w:r>
        <w:rPr>
          <w:rFonts w:hint="default" w:ascii="Times New Roman" w:hAnsi="Times New Roman" w:eastAsia="宋体" w:cs="Times New Roman"/>
          <w:kern w:val="0"/>
          <w:sz w:val="24"/>
          <w:szCs w:val="24"/>
          <w:highlight w:val="none"/>
          <w:lang w:val="zh-CN"/>
        </w:rPr>
        <w:t>发包人及其工作人员（含其配偶、子女）不得从事与合同有关的材料和设备供应、分包、劳务等经济活动</w:t>
      </w:r>
      <w:r>
        <w:rPr>
          <w:rFonts w:hint="default" w:ascii="Times New Roman" w:hAnsi="Times New Roman" w:eastAsia="宋体" w:cs="Times New Roman"/>
          <w:sz w:val="24"/>
          <w:szCs w:val="24"/>
          <w:highlight w:val="none"/>
        </w:rPr>
        <w:t>。</w:t>
      </w:r>
    </w:p>
    <w:p w14:paraId="3835402E">
      <w:pPr>
        <w:spacing w:line="360" w:lineRule="auto"/>
        <w:ind w:firstLine="562" w:firstLineChars="200"/>
        <w:rPr>
          <w:rFonts w:hint="default" w:ascii="Times New Roman" w:hAnsi="Times New Roman" w:eastAsia="宋体" w:cs="Times New Roman"/>
          <w:b/>
          <w:bCs/>
          <w:sz w:val="28"/>
          <w:szCs w:val="28"/>
          <w:highlight w:val="none"/>
        </w:rPr>
      </w:pPr>
      <w:r>
        <w:rPr>
          <w:rFonts w:hint="default" w:ascii="Times New Roman" w:hAnsi="Times New Roman" w:eastAsia="宋体" w:cs="Times New Roman"/>
          <w:b/>
          <w:bCs/>
          <w:sz w:val="28"/>
          <w:szCs w:val="28"/>
          <w:highlight w:val="none"/>
        </w:rPr>
        <w:t>3  承包人义务</w:t>
      </w:r>
    </w:p>
    <w:p w14:paraId="0D0C313B">
      <w:pPr>
        <w:spacing w:line="360" w:lineRule="auto"/>
        <w:ind w:firstLine="480" w:firstLineChars="200"/>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3.1  承包人不得以任何理由向发包人及其工作人员行贿或馈赠礼金、有价证券、贵重礼品。</w:t>
      </w:r>
    </w:p>
    <w:p w14:paraId="53570E9D">
      <w:pPr>
        <w:spacing w:line="360" w:lineRule="auto"/>
        <w:ind w:firstLine="480" w:firstLineChars="200"/>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3.2  承包人不得以任何名义为发包人及其工作人员报销应由发包人或工作人员个人支付的任何费用。</w:t>
      </w:r>
    </w:p>
    <w:p w14:paraId="1784E42C">
      <w:pPr>
        <w:spacing w:line="360" w:lineRule="auto"/>
        <w:ind w:firstLine="480" w:firstLineChars="200"/>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3.3  承包人不得以任何理由安排发包人及其工作人员参加宴请（工作餐除外）及娱乐活动。</w:t>
      </w:r>
    </w:p>
    <w:p w14:paraId="7B92B6DC">
      <w:pPr>
        <w:spacing w:line="360" w:lineRule="auto"/>
        <w:ind w:firstLine="480" w:firstLineChars="200"/>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3.4  承包人不得为发包人和个人购置或提供通讯工具、交通工具和高档办公用品等。</w:t>
      </w:r>
    </w:p>
    <w:p w14:paraId="233BC3A3">
      <w:pPr>
        <w:spacing w:line="360" w:lineRule="auto"/>
        <w:ind w:firstLine="480" w:firstLineChars="200"/>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 xml:space="preserve">3.5  </w:t>
      </w:r>
      <w:r>
        <w:rPr>
          <w:rFonts w:hint="default" w:ascii="Times New Roman" w:hAnsi="Times New Roman" w:eastAsia="宋体" w:cs="Times New Roman"/>
          <w:kern w:val="0"/>
          <w:sz w:val="24"/>
          <w:szCs w:val="24"/>
          <w:highlight w:val="none"/>
          <w:lang w:val="zh-CN"/>
        </w:rPr>
        <w:t>承包人不得为发包人及其工作人员的住房装修、婚丧嫁娶活动、配偶子女工作安排以及出国出境、旅游等提供方便。</w:t>
      </w:r>
    </w:p>
    <w:p w14:paraId="24B6D46C">
      <w:pPr>
        <w:tabs>
          <w:tab w:val="left" w:pos="900"/>
        </w:tabs>
        <w:spacing w:line="360" w:lineRule="auto"/>
        <w:ind w:firstLine="562" w:firstLineChars="200"/>
        <w:rPr>
          <w:rFonts w:hint="default" w:ascii="Times New Roman" w:hAnsi="Times New Roman" w:eastAsia="宋体" w:cs="Times New Roman"/>
          <w:b/>
          <w:bCs/>
          <w:sz w:val="28"/>
          <w:szCs w:val="28"/>
          <w:highlight w:val="none"/>
        </w:rPr>
      </w:pPr>
      <w:r>
        <w:rPr>
          <w:rFonts w:hint="default" w:ascii="Times New Roman" w:hAnsi="Times New Roman" w:eastAsia="宋体" w:cs="Times New Roman"/>
          <w:b/>
          <w:bCs/>
          <w:sz w:val="28"/>
          <w:szCs w:val="28"/>
          <w:highlight w:val="none"/>
        </w:rPr>
        <w:t>4  违约责任</w:t>
      </w:r>
    </w:p>
    <w:p w14:paraId="53F52BB2">
      <w:pPr>
        <w:spacing w:line="360" w:lineRule="auto"/>
        <w:ind w:firstLine="480" w:firstLineChars="200"/>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4.1  发包人及其工作人员违反本合同第1条和第2条规定，应依据有关规定给予廉政建设规定的处分；涉嫌犯罪的，移交司法机关追究刑事责任；给承包人造成经济损失的，应予赔偿。</w:t>
      </w:r>
    </w:p>
    <w:p w14:paraId="44C49EB0">
      <w:pPr>
        <w:spacing w:line="360" w:lineRule="auto"/>
        <w:ind w:firstLine="480" w:firstLineChars="200"/>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 xml:space="preserve">4.2  </w:t>
      </w:r>
      <w:r>
        <w:rPr>
          <w:rFonts w:hint="default" w:ascii="Times New Roman" w:hAnsi="Times New Roman" w:eastAsia="宋体" w:cs="Times New Roman"/>
          <w:kern w:val="0"/>
          <w:sz w:val="24"/>
          <w:szCs w:val="24"/>
          <w:highlight w:val="none"/>
          <w:lang w:val="zh-CN"/>
        </w:rPr>
        <w:t>承包人及其工作人员违反本合同第</w:t>
      </w:r>
      <w:r>
        <w:rPr>
          <w:rFonts w:hint="default" w:ascii="Times New Roman" w:hAnsi="Times New Roman" w:eastAsia="宋体" w:cs="Times New Roman"/>
          <w:kern w:val="0"/>
          <w:sz w:val="24"/>
          <w:szCs w:val="24"/>
          <w:highlight w:val="none"/>
        </w:rPr>
        <w:t xml:space="preserve"> 1 </w:t>
      </w:r>
      <w:r>
        <w:rPr>
          <w:rFonts w:hint="default" w:ascii="Times New Roman" w:hAnsi="Times New Roman" w:eastAsia="宋体" w:cs="Times New Roman"/>
          <w:kern w:val="0"/>
          <w:sz w:val="24"/>
          <w:szCs w:val="24"/>
          <w:highlight w:val="none"/>
          <w:lang w:val="zh-CN"/>
        </w:rPr>
        <w:t>条和第</w:t>
      </w:r>
      <w:r>
        <w:rPr>
          <w:rFonts w:hint="default" w:ascii="Times New Roman" w:hAnsi="Times New Roman" w:eastAsia="宋体" w:cs="Times New Roman"/>
          <w:kern w:val="0"/>
          <w:sz w:val="24"/>
          <w:szCs w:val="24"/>
          <w:highlight w:val="none"/>
        </w:rPr>
        <w:t xml:space="preserve"> 3 </w:t>
      </w:r>
      <w:r>
        <w:rPr>
          <w:rFonts w:hint="default" w:ascii="Times New Roman" w:hAnsi="Times New Roman" w:eastAsia="宋体" w:cs="Times New Roman"/>
          <w:kern w:val="0"/>
          <w:sz w:val="24"/>
          <w:szCs w:val="24"/>
          <w:highlight w:val="none"/>
          <w:lang w:val="zh-CN"/>
        </w:rPr>
        <w:t>条规定，应按照廉政建设的有关规定给予处分；情节严重的，给予承包人</w:t>
      </w:r>
      <w:r>
        <w:rPr>
          <w:rFonts w:hint="default" w:ascii="Times New Roman" w:hAnsi="Times New Roman" w:eastAsia="宋体" w:cs="Times New Roman"/>
          <w:kern w:val="0"/>
          <w:sz w:val="24"/>
          <w:szCs w:val="24"/>
          <w:highlight w:val="none"/>
        </w:rPr>
        <w:t xml:space="preserve"> 1</w:t>
      </w:r>
      <w:r>
        <w:rPr>
          <w:rFonts w:hint="default" w:ascii="Times New Roman" w:hAnsi="Times New Roman" w:eastAsia="宋体" w:cs="Times New Roman"/>
          <w:kern w:val="0"/>
          <w:sz w:val="24"/>
          <w:szCs w:val="24"/>
          <w:highlight w:val="none"/>
          <w:lang w:val="zh-CN"/>
        </w:rPr>
        <w:t>～</w:t>
      </w:r>
      <w:r>
        <w:rPr>
          <w:rFonts w:hint="default" w:ascii="Times New Roman" w:hAnsi="Times New Roman" w:eastAsia="宋体" w:cs="Times New Roman"/>
          <w:kern w:val="0"/>
          <w:sz w:val="24"/>
          <w:szCs w:val="24"/>
          <w:highlight w:val="none"/>
        </w:rPr>
        <w:t xml:space="preserve">3 </w:t>
      </w:r>
      <w:r>
        <w:rPr>
          <w:rFonts w:hint="default" w:ascii="Times New Roman" w:hAnsi="Times New Roman" w:eastAsia="宋体" w:cs="Times New Roman"/>
          <w:kern w:val="0"/>
          <w:sz w:val="24"/>
          <w:szCs w:val="24"/>
          <w:highlight w:val="none"/>
          <w:lang w:val="zh-CN"/>
        </w:rPr>
        <w:t>年内不得进入工程建设市场的处罚；涉嫌犯罪的，移交司法机关追究刑事责任；给发包人造成损失的，应予赔偿；</w:t>
      </w:r>
    </w:p>
    <w:p w14:paraId="4029EFD6">
      <w:pPr>
        <w:numPr>
          <w:ilvl w:val="0"/>
          <w:numId w:val="36"/>
        </w:numPr>
        <w:spacing w:line="360" w:lineRule="auto"/>
        <w:rPr>
          <w:rFonts w:hint="default" w:ascii="Times New Roman" w:hAnsi="Times New Roman" w:eastAsia="宋体" w:cs="Times New Roman"/>
          <w:b/>
          <w:bCs/>
          <w:sz w:val="28"/>
          <w:szCs w:val="28"/>
          <w:highlight w:val="none"/>
        </w:rPr>
      </w:pPr>
      <w:r>
        <w:rPr>
          <w:rFonts w:hint="default" w:ascii="Times New Roman" w:hAnsi="Times New Roman" w:eastAsia="宋体" w:cs="Times New Roman"/>
          <w:b/>
          <w:bCs/>
          <w:sz w:val="28"/>
          <w:szCs w:val="28"/>
          <w:highlight w:val="none"/>
        </w:rPr>
        <w:t>双方约定</w:t>
      </w:r>
    </w:p>
    <w:p w14:paraId="5FA6539A">
      <w:pPr>
        <w:pStyle w:val="12"/>
        <w:spacing w:line="360" w:lineRule="auto"/>
        <w:ind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lang w:val="zh-CN"/>
        </w:rPr>
        <w:t>本合同由合同双方当事人或其上级部门负责监督执行，并由合同双方当事人或其上级部门相互约请对本合同执行情况进行检查</w:t>
      </w:r>
      <w:r>
        <w:rPr>
          <w:rFonts w:hint="default" w:ascii="Times New Roman" w:hAnsi="Times New Roman" w:eastAsia="宋体" w:cs="Times New Roman"/>
          <w:sz w:val="24"/>
          <w:highlight w:val="none"/>
        </w:rPr>
        <w:t>。</w:t>
      </w:r>
    </w:p>
    <w:p w14:paraId="551FA3B0">
      <w:pPr>
        <w:spacing w:line="360" w:lineRule="auto"/>
        <w:ind w:firstLine="562" w:firstLineChars="200"/>
        <w:rPr>
          <w:rFonts w:hint="default" w:ascii="Times New Roman" w:hAnsi="Times New Roman" w:eastAsia="宋体" w:cs="Times New Roman"/>
          <w:b/>
          <w:bCs/>
          <w:sz w:val="28"/>
          <w:szCs w:val="28"/>
          <w:highlight w:val="none"/>
        </w:rPr>
      </w:pPr>
      <w:r>
        <w:rPr>
          <w:rFonts w:hint="default" w:ascii="Times New Roman" w:hAnsi="Times New Roman" w:eastAsia="宋体" w:cs="Times New Roman"/>
          <w:b/>
          <w:bCs/>
          <w:sz w:val="28"/>
          <w:szCs w:val="28"/>
          <w:highlight w:val="none"/>
        </w:rPr>
        <w:t>6  合同法律效力</w:t>
      </w:r>
    </w:p>
    <w:p w14:paraId="0F45160A">
      <w:pPr>
        <w:spacing w:line="360" w:lineRule="auto"/>
        <w:ind w:firstLine="480" w:firstLineChars="200"/>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本合同作为</w:t>
      </w:r>
      <w:r>
        <w:rPr>
          <w:rFonts w:hint="default" w:ascii="Times New Roman" w:hAnsi="Times New Roman" w:cs="Times New Roman"/>
          <w:sz w:val="24"/>
          <w:szCs w:val="24"/>
          <w:highlight w:val="none"/>
          <w:u w:val="single"/>
          <w:lang w:eastAsia="zh-CN"/>
        </w:rPr>
        <w:t>西湾和苑人行天桥</w:t>
      </w:r>
      <w:r>
        <w:rPr>
          <w:rFonts w:hint="default" w:ascii="Times New Roman" w:hAnsi="Times New Roman" w:eastAsia="宋体" w:cs="Times New Roman"/>
          <w:sz w:val="24"/>
          <w:szCs w:val="24"/>
          <w:highlight w:val="none"/>
          <w:u w:val="single"/>
          <w:lang w:eastAsia="zh-CN"/>
        </w:rPr>
        <w:t>管线迁改设计施工总承包</w:t>
      </w:r>
      <w:r>
        <w:rPr>
          <w:rFonts w:hint="default" w:ascii="Times New Roman" w:hAnsi="Times New Roman" w:eastAsia="宋体" w:cs="Times New Roman"/>
          <w:sz w:val="24"/>
          <w:szCs w:val="24"/>
          <w:highlight w:val="none"/>
        </w:rPr>
        <w:t>合同的附件，与施工合同具有同等的法律效力。</w:t>
      </w:r>
    </w:p>
    <w:p w14:paraId="236E873B">
      <w:pPr>
        <w:spacing w:line="360" w:lineRule="auto"/>
        <w:ind w:firstLine="551" w:firstLineChars="196"/>
        <w:rPr>
          <w:rFonts w:hint="default" w:ascii="Times New Roman" w:hAnsi="Times New Roman" w:eastAsia="宋体" w:cs="Times New Roman"/>
          <w:b/>
          <w:bCs/>
          <w:sz w:val="28"/>
          <w:szCs w:val="28"/>
          <w:highlight w:val="none"/>
        </w:rPr>
      </w:pPr>
      <w:r>
        <w:rPr>
          <w:rFonts w:hint="default" w:ascii="Times New Roman" w:hAnsi="Times New Roman" w:eastAsia="宋体" w:cs="Times New Roman"/>
          <w:b/>
          <w:bCs/>
          <w:sz w:val="28"/>
          <w:szCs w:val="28"/>
          <w:highlight w:val="none"/>
        </w:rPr>
        <w:t>7  合同份数</w:t>
      </w:r>
    </w:p>
    <w:p w14:paraId="7C258E32">
      <w:pPr>
        <w:spacing w:line="360" w:lineRule="auto"/>
        <w:ind w:firstLine="480" w:firstLineChars="200"/>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本合同一式</w:t>
      </w:r>
      <w:r>
        <w:rPr>
          <w:rFonts w:hint="default" w:ascii="Times New Roman" w:hAnsi="Times New Roman" w:eastAsia="宋体" w:cs="Times New Roman"/>
          <w:sz w:val="24"/>
          <w:szCs w:val="24"/>
          <w:highlight w:val="none"/>
          <w:u w:val="single"/>
        </w:rPr>
        <w:t xml:space="preserve">  8  </w:t>
      </w:r>
      <w:r>
        <w:rPr>
          <w:rFonts w:hint="default" w:ascii="Times New Roman" w:hAnsi="Times New Roman" w:eastAsia="宋体" w:cs="Times New Roman"/>
          <w:sz w:val="24"/>
          <w:szCs w:val="24"/>
          <w:highlight w:val="none"/>
        </w:rPr>
        <w:t>份，合同双方当事人各执</w:t>
      </w:r>
      <w:r>
        <w:rPr>
          <w:rFonts w:hint="default" w:ascii="Times New Roman" w:hAnsi="Times New Roman" w:eastAsia="宋体" w:cs="Times New Roman"/>
          <w:sz w:val="24"/>
          <w:szCs w:val="24"/>
          <w:highlight w:val="none"/>
          <w:u w:val="single"/>
        </w:rPr>
        <w:t xml:space="preserve">  4  </w:t>
      </w:r>
      <w:r>
        <w:rPr>
          <w:rFonts w:hint="default" w:ascii="Times New Roman" w:hAnsi="Times New Roman" w:eastAsia="宋体" w:cs="Times New Roman"/>
          <w:sz w:val="24"/>
          <w:szCs w:val="24"/>
          <w:highlight w:val="none"/>
        </w:rPr>
        <w:t>份。</w:t>
      </w:r>
    </w:p>
    <w:p w14:paraId="646DBA3A">
      <w:pPr>
        <w:adjustRightInd w:val="0"/>
        <w:snapToGrid w:val="0"/>
        <w:spacing w:line="360" w:lineRule="auto"/>
        <w:ind w:left="1678" w:leftChars="342" w:hanging="960" w:hangingChars="400"/>
        <w:jc w:val="left"/>
        <w:rPr>
          <w:rFonts w:hint="default" w:ascii="Times New Roman" w:hAnsi="Times New Roman" w:eastAsia="宋体" w:cs="Times New Roman"/>
          <w:sz w:val="24"/>
          <w:szCs w:val="24"/>
          <w:highlight w:val="none"/>
        </w:rPr>
      </w:pPr>
    </w:p>
    <w:p w14:paraId="2ED964B6">
      <w:pPr>
        <w:adjustRightInd w:val="0"/>
        <w:snapToGrid w:val="0"/>
        <w:spacing w:line="360" w:lineRule="auto"/>
        <w:ind w:left="1678" w:leftChars="342" w:hanging="960" w:hangingChars="400"/>
        <w:jc w:val="left"/>
        <w:rPr>
          <w:rFonts w:hint="default" w:ascii="Times New Roman" w:hAnsi="Times New Roman" w:eastAsia="宋体" w:cs="Times New Roman"/>
          <w:sz w:val="24"/>
          <w:szCs w:val="24"/>
          <w:highlight w:val="none"/>
        </w:rPr>
      </w:pPr>
    </w:p>
    <w:p w14:paraId="0331C9B9">
      <w:pPr>
        <w:adjustRightInd w:val="0"/>
        <w:snapToGrid w:val="0"/>
        <w:spacing w:line="360" w:lineRule="auto"/>
        <w:ind w:left="1678" w:leftChars="342" w:hanging="960" w:hangingChars="400"/>
        <w:jc w:val="left"/>
        <w:rPr>
          <w:rFonts w:hint="default" w:ascii="Times New Roman" w:hAnsi="Times New Roman" w:eastAsia="宋体" w:cs="Times New Roman"/>
          <w:sz w:val="24"/>
          <w:szCs w:val="24"/>
          <w:highlight w:val="none"/>
        </w:rPr>
      </w:pPr>
    </w:p>
    <w:p w14:paraId="4D1061A4">
      <w:pPr>
        <w:adjustRightInd w:val="0"/>
        <w:snapToGrid w:val="0"/>
        <w:spacing w:line="360" w:lineRule="auto"/>
        <w:ind w:left="1678" w:leftChars="342" w:hanging="960" w:hangingChars="400"/>
        <w:jc w:val="left"/>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发包人：（盖章）                       承包人：（盖章）</w:t>
      </w:r>
    </w:p>
    <w:p w14:paraId="0FD0EF34">
      <w:pPr>
        <w:adjustRightInd w:val="0"/>
        <w:snapToGrid w:val="0"/>
        <w:spacing w:line="360" w:lineRule="auto"/>
        <w:ind w:firstLine="480" w:firstLineChars="200"/>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法定代表人：                           法定代表人：</w:t>
      </w:r>
    </w:p>
    <w:p w14:paraId="0205372E">
      <w:pPr>
        <w:tabs>
          <w:tab w:val="left" w:pos="525"/>
          <w:tab w:val="left" w:pos="1155"/>
        </w:tabs>
        <w:spacing w:line="360" w:lineRule="auto"/>
        <w:ind w:firstLine="600" w:firstLineChars="250"/>
        <w:rPr>
          <w:rFonts w:hint="default" w:ascii="Times New Roman" w:hAnsi="Times New Roman" w:eastAsia="宋体" w:cs="Times New Roman"/>
          <w:sz w:val="24"/>
          <w:highlight w:val="none"/>
          <w:u w:val="single"/>
        </w:rPr>
      </w:pPr>
      <w:r>
        <w:rPr>
          <w:rFonts w:hint="default" w:ascii="Times New Roman" w:hAnsi="Times New Roman" w:eastAsia="宋体" w:cs="Times New Roman"/>
          <w:sz w:val="24"/>
          <w:szCs w:val="24"/>
          <w:highlight w:val="none"/>
        </w:rPr>
        <w:t>联系电话：                            联系电话：</w:t>
      </w:r>
    </w:p>
    <w:p w14:paraId="4CD43C0D">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0" w:firstLineChars="0"/>
        <w:jc w:val="both"/>
        <w:textAlignment w:val="auto"/>
        <w:outlineLvl w:val="9"/>
        <w:rPr>
          <w:rFonts w:hint="default" w:ascii="Times New Roman" w:hAnsi="Times New Roman" w:eastAsia="宋体" w:cs="Times New Roman"/>
          <w:b/>
          <w:bCs/>
          <w:color w:val="auto"/>
          <w:sz w:val="28"/>
          <w:szCs w:val="28"/>
          <w:highlight w:val="none"/>
          <w:shd w:val="clear" w:color="auto" w:fill="FFFFFF"/>
          <w:lang w:eastAsia="zh-CN"/>
        </w:rPr>
      </w:pPr>
      <w:r>
        <w:rPr>
          <w:rFonts w:hint="default" w:ascii="Times New Roman" w:hAnsi="Times New Roman" w:eastAsia="宋体" w:cs="Times New Roman"/>
          <w:sz w:val="24"/>
          <w:szCs w:val="24"/>
          <w:highlight w:val="none"/>
          <w:u w:val="single"/>
        </w:rPr>
        <w:t xml:space="preserve">    </w:t>
      </w:r>
      <w:r>
        <w:rPr>
          <w:rFonts w:hint="default" w:ascii="Times New Roman" w:hAnsi="Times New Roman" w:eastAsia="宋体" w:cs="Times New Roman"/>
          <w:sz w:val="24"/>
          <w:szCs w:val="24"/>
          <w:highlight w:val="none"/>
        </w:rPr>
        <w:t xml:space="preserve"> 年</w:t>
      </w:r>
      <w:r>
        <w:rPr>
          <w:rFonts w:hint="default" w:ascii="Times New Roman" w:hAnsi="Times New Roman" w:eastAsia="宋体" w:cs="Times New Roman"/>
          <w:sz w:val="24"/>
          <w:szCs w:val="24"/>
          <w:highlight w:val="none"/>
          <w:u w:val="single"/>
        </w:rPr>
        <w:t xml:space="preserve">   </w:t>
      </w:r>
      <w:r>
        <w:rPr>
          <w:rFonts w:hint="default" w:ascii="Times New Roman" w:hAnsi="Times New Roman" w:eastAsia="宋体" w:cs="Times New Roman"/>
          <w:sz w:val="24"/>
          <w:szCs w:val="24"/>
          <w:highlight w:val="none"/>
        </w:rPr>
        <w:t>月</w:t>
      </w:r>
      <w:r>
        <w:rPr>
          <w:rFonts w:hint="default" w:ascii="Times New Roman" w:hAnsi="Times New Roman" w:eastAsia="宋体" w:cs="Times New Roman"/>
          <w:sz w:val="24"/>
          <w:szCs w:val="24"/>
          <w:highlight w:val="none"/>
          <w:u w:val="single"/>
        </w:rPr>
        <w:t xml:space="preserve">   日</w:t>
      </w:r>
      <w:r>
        <w:rPr>
          <w:rFonts w:hint="default" w:ascii="Times New Roman" w:hAnsi="Times New Roman" w:eastAsia="宋体" w:cs="Times New Roman"/>
          <w:sz w:val="24"/>
          <w:szCs w:val="24"/>
          <w:highlight w:val="none"/>
        </w:rPr>
        <w:t xml:space="preserve">                      </w:t>
      </w:r>
      <w:r>
        <w:rPr>
          <w:rFonts w:hint="default" w:ascii="Times New Roman" w:hAnsi="Times New Roman" w:eastAsia="宋体" w:cs="Times New Roman"/>
          <w:sz w:val="24"/>
          <w:szCs w:val="24"/>
          <w:highlight w:val="none"/>
          <w:u w:val="single"/>
        </w:rPr>
        <w:t xml:space="preserve">    </w:t>
      </w:r>
      <w:r>
        <w:rPr>
          <w:rFonts w:hint="default" w:ascii="Times New Roman" w:hAnsi="Times New Roman" w:eastAsia="宋体" w:cs="Times New Roman"/>
          <w:sz w:val="24"/>
          <w:szCs w:val="24"/>
          <w:highlight w:val="none"/>
        </w:rPr>
        <w:t xml:space="preserve"> 年</w:t>
      </w:r>
      <w:r>
        <w:rPr>
          <w:rFonts w:hint="default" w:ascii="Times New Roman" w:hAnsi="Times New Roman" w:eastAsia="宋体" w:cs="Times New Roman"/>
          <w:sz w:val="24"/>
          <w:szCs w:val="24"/>
          <w:highlight w:val="none"/>
          <w:u w:val="single"/>
        </w:rPr>
        <w:t xml:space="preserve">    </w:t>
      </w:r>
      <w:r>
        <w:rPr>
          <w:rFonts w:hint="default" w:ascii="Times New Roman" w:hAnsi="Times New Roman" w:eastAsia="宋体" w:cs="Times New Roman"/>
          <w:sz w:val="24"/>
          <w:szCs w:val="24"/>
          <w:highlight w:val="none"/>
        </w:rPr>
        <w:t>月</w:t>
      </w:r>
      <w:r>
        <w:rPr>
          <w:rFonts w:hint="default" w:ascii="Times New Roman" w:hAnsi="Times New Roman" w:eastAsia="宋体" w:cs="Times New Roman"/>
          <w:sz w:val="24"/>
          <w:szCs w:val="24"/>
          <w:highlight w:val="none"/>
          <w:u w:val="single"/>
        </w:rPr>
        <w:t xml:space="preserve">   日</w:t>
      </w:r>
    </w:p>
    <w:p w14:paraId="6453FF1F">
      <w:pPr>
        <w:pStyle w:val="2"/>
        <w:rPr>
          <w:rFonts w:hint="default" w:ascii="Times New Roman" w:hAnsi="Times New Roman" w:cs="Times New Roman"/>
          <w:color w:val="auto"/>
          <w:highlight w:val="none"/>
        </w:rPr>
      </w:pPr>
    </w:p>
    <w:p w14:paraId="202F8A9E">
      <w:pPr>
        <w:pStyle w:val="2"/>
        <w:rPr>
          <w:rFonts w:hint="default" w:ascii="Times New Roman" w:hAnsi="Times New Roman" w:cs="Times New Roman"/>
          <w:sz w:val="24"/>
          <w:highlight w:val="none"/>
          <w:lang w:val="en-US" w:eastAsia="zh-CN"/>
        </w:rPr>
      </w:pPr>
    </w:p>
    <w:sectPr>
      <w:headerReference r:id="rId19" w:type="default"/>
      <w:footerReference r:id="rId20"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modern"/>
    <w:pitch w:val="default"/>
    <w:sig w:usb0="00000001" w:usb1="080E0000" w:usb2="00000000" w:usb3="00000000" w:csb0="00040000" w:csb1="00000000"/>
    <w:embedRegular r:id="rId1" w:fontKey="{9E2148D3-C65D-4EFA-9159-B2E44F16E4C3}"/>
  </w:font>
  <w:font w:name="Calibri Light">
    <w:panose1 w:val="020F0302020204030204"/>
    <w:charset w:val="00"/>
    <w:family w:val="swiss"/>
    <w:pitch w:val="default"/>
    <w:sig w:usb0="A00002EF" w:usb1="4000207B" w:usb2="00000000" w:usb3="00000000" w:csb0="2000019F" w:csb1="00000000"/>
  </w:font>
  <w:font w:name="仿宋_GB2312">
    <w:panose1 w:val="02010609030101010101"/>
    <w:charset w:val="86"/>
    <w:family w:val="modern"/>
    <w:pitch w:val="default"/>
    <w:sig w:usb0="00000001" w:usb1="080E0000" w:usb2="00000000" w:usb3="00000000" w:csb0="00040000" w:csb1="00000000"/>
    <w:embedRegular r:id="rId2" w:fontKey="{C8A962DD-B716-4103-98F5-6DD119B10009}"/>
  </w:font>
  <w:font w:name="Cambria">
    <w:panose1 w:val="02040503050406030204"/>
    <w:charset w:val="00"/>
    <w:family w:val="roman"/>
    <w:pitch w:val="default"/>
    <w:sig w:usb0="E00002FF" w:usb1="400004FF" w:usb2="00000000" w:usb3="00000000" w:csb0="2000019F" w:csb1="00000000"/>
  </w:font>
  <w:font w:name="方正楷体_GBK">
    <w:altName w:val="微软雅黑"/>
    <w:panose1 w:val="02000000000000000000"/>
    <w:charset w:val="86"/>
    <w:family w:val="auto"/>
    <w:pitch w:val="default"/>
    <w:sig w:usb0="00000000" w:usb1="00000000" w:usb2="00000000" w:usb3="00000000" w:csb0="00040000" w:csb1="00000000"/>
    <w:embedRegular r:id="rId3" w:fontKey="{0889F267-7041-4C93-B3E8-A17363BA0628}"/>
  </w:font>
  <w:font w:name="方正小标宋_GBK">
    <w:altName w:val="微软雅黑"/>
    <w:panose1 w:val="02000000000000000000"/>
    <w:charset w:val="86"/>
    <w:family w:val="auto"/>
    <w:pitch w:val="default"/>
    <w:sig w:usb0="00000000" w:usb1="00000000" w:usb2="00000000" w:usb3="00000000" w:csb0="00040000" w:csb1="00000000"/>
    <w:embedRegular r:id="rId4" w:fontKey="{C90917A8-7D85-4146-903C-1A72AA04D92D}"/>
  </w:font>
  <w:font w:name="仿宋">
    <w:panose1 w:val="02010609060101010101"/>
    <w:charset w:val="86"/>
    <w:family w:val="auto"/>
    <w:pitch w:val="default"/>
    <w:sig w:usb0="800002BF" w:usb1="38CF7CFA" w:usb2="00000016" w:usb3="00000000" w:csb0="00040001" w:csb1="00000000"/>
    <w:embedRegular r:id="rId5" w:fontKey="{39DEA267-6719-49F3-89EA-C26802335981}"/>
  </w:font>
  <w:font w:name="方正黑体_GBK">
    <w:altName w:val="微软雅黑"/>
    <w:panose1 w:val="02000000000000000000"/>
    <w:charset w:val="86"/>
    <w:family w:val="auto"/>
    <w:pitch w:val="default"/>
    <w:sig w:usb0="00000000" w:usb1="00000000" w:usb2="00000000" w:usb3="00000000" w:csb0="00040000" w:csb1="00000000"/>
    <w:embedRegular r:id="rId6" w:fontKey="{03E35283-810D-437D-91A4-BC57E5070CE7}"/>
  </w:font>
  <w:font w:name="Wingdings 2">
    <w:panose1 w:val="05020102010507070707"/>
    <w:charset w:val="02"/>
    <w:family w:val="roman"/>
    <w:pitch w:val="default"/>
    <w:sig w:usb0="00000000" w:usb1="00000000" w:usb2="00000000" w:usb3="00000000" w:csb0="80000000" w:csb1="00000000"/>
    <w:embedRegular r:id="rId7" w:fontKey="{3FF399B9-DB0E-44F2-A6B5-1902FFE68EEB}"/>
  </w:font>
  <w:font w:name="___WRD_EMBED_SUB_45">
    <w:altName w:val="宋体"/>
    <w:panose1 w:val="02010609030101010101"/>
    <w:charset w:val="86"/>
    <w:family w:val="modern"/>
    <w:pitch w:val="default"/>
    <w:sig w:usb0="00000000" w:usb1="00000000" w:usb2="00000000" w:usb3="00000000" w:csb0="00040000" w:csb1="00000000"/>
    <w:embedRegular r:id="rId8" w:fontKey="{47AB3435-542B-471E-9135-62B8FF6BE5C8}"/>
  </w:font>
  <w:font w:name="楷体">
    <w:panose1 w:val="02010609060101010101"/>
    <w:charset w:val="86"/>
    <w:family w:val="auto"/>
    <w:pitch w:val="default"/>
    <w:sig w:usb0="800002BF" w:usb1="38CF7CFA" w:usb2="00000016" w:usb3="00000000" w:csb0="00040001" w:csb1="00000000"/>
    <w:embedRegular r:id="rId9" w:fontKey="{D3E60615-4F3C-40CB-8771-8D6618F8C842}"/>
  </w:font>
  <w:font w:name="国标仿宋">
    <w:altName w:val="仿宋"/>
    <w:panose1 w:val="02000500000000000000"/>
    <w:charset w:val="86"/>
    <w:family w:val="auto"/>
    <w:pitch w:val="default"/>
    <w:sig w:usb0="00000000" w:usb1="00000000" w:usb2="00000016" w:usb3="00000000" w:csb0="00060007" w:csb1="00000000"/>
    <w:embedRegular r:id="rId10" w:fontKey="{DF9B8303-A08A-4303-BCBB-CA6A93D79D9D}"/>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316DA6">
    <w:pPr>
      <w:pStyle w:val="1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6C5542">
    <w:pPr>
      <w:pStyle w:val="1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23" name="文本框 4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D734236">
                          <w:pPr>
                            <w:pStyle w:val="1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H9hRM1AgAAZQ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PXkihLDNEp++v7t&#10;9OPX6edXkg4hUePCDJEPDrGxfWtbNM5wHnCYmLeV1+kLTgR+CHy8CCzaSHi6NJ1MpzlcHL5hA/zs&#10;8brzIb4TVpNkFNSjgp2w7LAJsQ8dQlI2Y9dSqa6KypCmoNdXb/LuwsUDcGWQI5HoH5us2G7bM7Ot&#10;LY8g5m3fHcHxtUTyDQvxnnm0Ax6MgYl3WCplkcSeLUpq67/86zzFo0rwUtKgvQpqME2UqPcG1QNg&#10;HAw/GNvBMHt9a9GvYwyi452JCz6qway81Z8xRcuUAy5mODIVNA7mbexbHFPIxXLZBe2dl7u6v4De&#10;cyxuzIPjKU0SMrjlPkLMTuMkUK/KWTd0X1el86Sk9v5z30U9/h0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Af2FEzUCAABlBAAADgAAAAAAAAABACAAAAAfAQAAZHJzL2Uyb0RvYy54bWxQ&#10;SwUGAAAAAAYABgBZAQAAxgUAAAAA&#10;">
              <v:fill on="f" focussize="0,0"/>
              <v:stroke on="f" weight="0.5pt"/>
              <v:imagedata o:title=""/>
              <o:lock v:ext="edit" aspectratio="f"/>
              <v:textbox inset="0mm,0mm,0mm,0mm" style="mso-fit-shape-to-text:t;">
                <w:txbxContent>
                  <w:p w14:paraId="2D734236">
                    <w:pPr>
                      <w:pStyle w:val="19"/>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2C0A1C">
    <w:pPr>
      <w:pStyle w:val="19"/>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24" name="文本框 4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771F51">
                          <w:pPr>
                            <w:pStyle w:val="19"/>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LEvnI1AgAAZQQAAA4AAABkcnMvZTJvRG9jLnhtbK1UzY7TMBC+I/EO&#10;lu80aVl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GpyRYlhGiU/ff92&#10;+vHr9PMrSYeQqHFhhsgHh9jYvrUtGmc4DzhMzNvK6/QFJwI/BD5eBBZtJDxdmk6m0xwuDt+wAX72&#10;eN35EN8Jq0kyCupRwU5YdtiE2IcOISmbsWupVFdFZUhT0OvXb/LuwsUDcGWQI5HoH5us2G7bM7Ot&#10;LY8g5m3fHcHxtUTyDQvxnnm0Ax6MgYl3WCplkcSeLUpq67/86zzFo0rwUtKgvQpqME2UqPcG1QNg&#10;HAw/GNvBMHt9a9GvYwyi452JCz6qway81Z8xRcuUAy5mODIVNA7mbexbHFPIxXLZBe2dl7u6v4De&#10;cyxuzIPjKU0SMrjlPkLMTuMkUK/KWTd0X1el86Sk9v5z30U9/h0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ksS+cjUCAABlBAAADgAAAAAAAAABACAAAAAfAQAAZHJzL2Uyb0RvYy54bWxQ&#10;SwUGAAAAAAYABgBZAQAAxgUAAAAA&#10;">
              <v:fill on="f" focussize="0,0"/>
              <v:stroke on="f" weight="0.5pt"/>
              <v:imagedata o:title=""/>
              <o:lock v:ext="edit" aspectratio="f"/>
              <v:textbox inset="0mm,0mm,0mm,0mm" style="mso-fit-shape-to-text:t;">
                <w:txbxContent>
                  <w:p w14:paraId="54771F51">
                    <w:pPr>
                      <w:pStyle w:val="19"/>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8F5268">
    <w:pPr>
      <w:pStyle w:val="19"/>
      <w:tabs>
        <w:tab w:val="left" w:pos="4700"/>
        <w:tab w:val="clear" w:pos="4153"/>
        <w:tab w:val="clear" w:pos="8306"/>
      </w:tabs>
      <w:ind w:right="780"/>
      <w:jc w:val="both"/>
      <w:rPr>
        <w:sz w:val="21"/>
      </w:rPr>
    </w:pPr>
    <w:r>
      <w:rPr>
        <w:sz w:val="21"/>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25" name="文本框 4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97919EA">
                          <w:pPr>
                            <w:pStyle w:val="19"/>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l4IO41AgAAZQQAAA4AAABkcnMvZTJvRG9jLnhtbK1UzY7TMBC+I/EO&#10;lu80aWFX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M3kihLDNEp++v7t&#10;9OPX6edXkg4hUePCDJEPDrGxfWtbNM5wHnCYmLeV1+kLTgR+CHy8CCzaSHi6NJ1MpzlcHL5hA/zs&#10;8brzIb4TVpNkFNSjgp2w7LAJsQ8dQlI2Y9dSqa6KypCmoNevr/LuwsUDcGWQI5HoH5us2G7bM7Ot&#10;LY8g5m3fHcHxtUTyDQvxnnm0Ax6MgYl3WCplkcSeLUpq67/86zzFo0rwUtKgvQpqME2UqPcG1QNg&#10;HAw/GNvBMHt9a9GvYwyi452JCz6qway81Z8xRcuUAy5mODIVNA7mbexbHFPIxXLZBe2dl7u6v4De&#10;cyxuzIPjKU0SMrjlPkLMTuMkUK/KWTd0X1el86Sk9v5z30U9/h0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Xgg7jUCAABlBAAADgAAAAAAAAABACAAAAAfAQAAZHJzL2Uyb0RvYy54bWxQ&#10;SwUGAAAAAAYABgBZAQAAxgUAAAAA&#10;">
              <v:fill on="f" focussize="0,0"/>
              <v:stroke on="f" weight="0.5pt"/>
              <v:imagedata o:title=""/>
              <o:lock v:ext="edit" aspectratio="f"/>
              <v:textbox inset="0mm,0mm,0mm,0mm" style="mso-fit-shape-to-text:t;">
                <w:txbxContent>
                  <w:p w14:paraId="397919EA">
                    <w:pPr>
                      <w:pStyle w:val="19"/>
                    </w:pPr>
                    <w:r>
                      <w:fldChar w:fldCharType="begin"/>
                    </w:r>
                    <w:r>
                      <w:instrText xml:space="preserve"> PAGE  \* MERGEFORMAT </w:instrText>
                    </w:r>
                    <w:r>
                      <w:fldChar w:fldCharType="separate"/>
                    </w:r>
                    <w:r>
                      <w:t>15</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EB3D80">
    <w:pPr>
      <w:pStyle w:val="19"/>
      <w:framePr w:wrap="around" w:vAnchor="text" w:hAnchor="margin" w:xAlign="center" w:y="1"/>
      <w:rPr>
        <w:rStyle w:val="33"/>
      </w:rPr>
    </w:pPr>
    <w:r>
      <w:fldChar w:fldCharType="begin"/>
    </w:r>
    <w:r>
      <w:rPr>
        <w:rStyle w:val="33"/>
      </w:rPr>
      <w:instrText xml:space="preserve">PAGE  </w:instrText>
    </w:r>
    <w:r>
      <w:fldChar w:fldCharType="end"/>
    </w:r>
  </w:p>
  <w:p w14:paraId="435D9C07">
    <w:pPr>
      <w:pStyle w:val="19"/>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B2E33D">
    <w:pPr>
      <w:pStyle w:val="19"/>
      <w:tabs>
        <w:tab w:val="left" w:pos="4700"/>
        <w:tab w:val="clear" w:pos="4153"/>
        <w:tab w:val="clear" w:pos="8306"/>
      </w:tabs>
      <w:ind w:right="780"/>
      <w:jc w:val="both"/>
      <w:rPr>
        <w:sz w:val="21"/>
      </w:rPr>
    </w:pPr>
    <w:r>
      <w:rPr>
        <w:sz w:val="21"/>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26" name="文本框 4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3E30AE9">
                          <w:pPr>
                            <w:pStyle w:val="19"/>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W68pA0AgAAZQQAAA4AAABkcnMvZTJvRG9jLnhtbK1UzY7TMBC+I/EO&#10;lu80aYGqqpquylZFSBW7UkGcXcdpIvlPttukPAC8AScu3Pe5+hx8zk8XLRz2wMUZe8bf+PtmJoub&#10;RklyEs5XRmd0PEopEZqbvNKHjH7+tHk1o8QHpnMmjRYZPQtPb5YvXyxqOxcTUxqZC0cAov28thkt&#10;Q7DzJPG8FIr5kbFCw1kYp1jA1h2S3LEa6EomkzSdJrVxuXWGC+9xuu6ctEd0zwE0RVFxsTb8qIQO&#10;HaoTkgVQ8mVlPV22ry0KwcNdUXgRiMwomIZ2RRLY+7gmywWbHxyzZcX7J7DnPOEJJ8UqjaRXqDUL&#10;jBxd9ReUqrgz3hRhxI1KOiKtImAxTp9osyuZFS0XSO3tVXT//2D5x9O9I1We0TeTKSWaKZT88uP7&#10;5efD5dc3Eg8hUW39HJE7i9jQvDMNGmc49ziMzJvCqfgFJwI/BD5fBRZNIDxemk1msxQuDt+wAX7y&#10;eN06H94Lo0g0MupQwVZYdtr60IUOITGbNptKyraKUpM6o9PXb9P2wtUDcKmRI5LoHhut0Oybntne&#10;5GcQc6brDm/5pkLyLfPhnjm0Ax6MgQl3WAppkMT0FiWlcV//dR7jUSV4KanRXhnVmCZK5AeN6gEw&#10;DIYbjP1g6KO6NejXMQbR8tbEBRfkYBbOqC+YolXMARfTHJkyGgbzNnQtjinkYrVqg47WVYeyu4De&#10;syxs9c7ymCYK6e3qGCBmq3EUqFOl1w3d11apn5TY3n/u26jHv8Py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FuvKQNAIAAGUEAAAOAAAAAAAAAAEAIAAAAB8BAABkcnMvZTJvRG9jLnhtbFBL&#10;BQYAAAAABgAGAFkBAADFBQAAAAA=&#10;">
              <v:fill on="f" focussize="0,0"/>
              <v:stroke on="f" weight="0.5pt"/>
              <v:imagedata o:title=""/>
              <o:lock v:ext="edit" aspectratio="f"/>
              <v:textbox inset="0mm,0mm,0mm,0mm" style="mso-fit-shape-to-text:t;">
                <w:txbxContent>
                  <w:p w14:paraId="23E30AE9">
                    <w:pPr>
                      <w:pStyle w:val="19"/>
                    </w:pPr>
                    <w:r>
                      <w:fldChar w:fldCharType="begin"/>
                    </w:r>
                    <w:r>
                      <w:instrText xml:space="preserve"> PAGE  \* MERGEFORMAT </w:instrText>
                    </w:r>
                    <w:r>
                      <w:fldChar w:fldCharType="separate"/>
                    </w:r>
                    <w:r>
                      <w:t>16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057212">
    <w:pPr>
      <w:pStyle w:val="19"/>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27" name="文本框 4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F3BDB4">
                          <w:pPr>
                            <w:pStyle w:val="1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4GbAw0AgAAZQQAAA4AAABkcnMvZTJvRG9jLnhtbK1UzY7TMBC+I/EO&#10;lu80aYGlqpquylZFSCt2pYI4u47TWPKfbLdJeQB4A05cuPNcfQ4+J00XLRz2wMUZe8bf+PtmJvPr&#10;VityED5Iawo6HuWUCMNtKc2uoJ8+rl9MKQmRmZIpa0RBjyLQ68XzZ/PGzcTE1laVwhOAmDBrXEHr&#10;GN0sywKvhWZhZJ0wcFbWaxax9bus9KwBulbZJM+vssb60nnLRQg4XfVOekb0TwG0VSW5WFm+18LE&#10;HtULxSIohVq6QBfda6tK8HhXVUFEogoKprFbkQT2Nq3ZYs5mO89cLfn5CewpT3jESTNpkPQCtWKR&#10;kb2Xf0Fpyb0NtoojbnXWE+kUAYtx/kibTc2c6LhA6uAuoof/B8s/HO49kWVBX03eUGKYRslP37+d&#10;fvw6/fxK0iEkalyYIXLjEBvbt7ZF4wznAYeJeVt5nb7gROCHwMeLwKKNhKdL08l0msPF4Rs2wM8e&#10;rjsf4jthNUlGQT0q2AnLDrch9qFDSMpm7Foq1VVRGdIU9Orl67y7cPEAXBnkSCT6xyYrttv2zGxr&#10;yyOIedt3R3B8LZH8loV4zzzaAQ/GwMQ7LJWySGLPFiW19V/+dZ7iUSV4KWnQXgU1mCZK1HuD6gEw&#10;DoYfjO1gmL2+sejXMQbR8c7EBR/VYFbe6s+YomXKARczHJkKGgfzJvYtjinkYrnsgvbOy13dX0Dv&#10;ORZvzcbxlCYJGdxyHyFmp3ESqFflrBu6r6vSeVJSe/+576Ie/g6L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uBmwMNAIAAGUEAAAOAAAAAAAAAAEAIAAAAB8BAABkcnMvZTJvRG9jLnhtbFBL&#10;BQYAAAAABgAGAFkBAADFBQAAAAA=&#10;">
              <v:fill on="f" focussize="0,0"/>
              <v:stroke on="f" weight="0.5pt"/>
              <v:imagedata o:title=""/>
              <o:lock v:ext="edit" aspectratio="f"/>
              <v:textbox inset="0mm,0mm,0mm,0mm" style="mso-fit-shape-to-text:t;">
                <w:txbxContent>
                  <w:p w14:paraId="1FF3BDB4">
                    <w:pPr>
                      <w:pStyle w:val="19"/>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1C4D2D">
    <w:pPr>
      <w:pStyle w:val="19"/>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432" name="文本框 4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8228D82">
                          <w:pPr>
                            <w:pStyle w:val="1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Zn51U1AgAAZQ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PXVhBLDNEp++v7t&#10;9OPX6edXkg4hUePCDJEPDrGxfWtbNM5wHnCYmLeV1+kLTgR+CHy8CCzaSHi6NJ1MpzlcHL5hA/zs&#10;8brzIb4TVpNkFNSjgp2w7LAJsQ8dQlI2Y9dSqa6KypCmoNdXb/LuwsUDcGWQI5HoH5us2G7bM7Ot&#10;LY8g5m3fHcHxtUTyDQvxnnm0Ax6MgYl3WCplkcSeLUpq67/86zzFo0rwUtKgvQpqME2UqPcG1QNg&#10;HAw/GNvBMHt9a9GvYwyi452JCz6qway81Z8xRcuUAy5mODIVNA7mbexbHFPIxXLZBe2dl7u6v4De&#10;cyxuzIPjKU0SMrjlPkLMTuMkUK/KWTd0X1el86Sk9v5z30U9/h0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BmfnVTUCAABlBAAADgAAAAAAAAABACAAAAAfAQAAZHJzL2Uyb0RvYy54bWxQ&#10;SwUGAAAAAAYABgBZAQAAxgUAAAAA&#10;">
              <v:fill on="f" focussize="0,0"/>
              <v:stroke on="f" weight="0.5pt"/>
              <v:imagedata o:title=""/>
              <o:lock v:ext="edit" aspectratio="f"/>
              <v:textbox inset="0mm,0mm,0mm,0mm" style="mso-fit-shape-to-text:t;">
                <w:txbxContent>
                  <w:p w14:paraId="38228D82">
                    <w:pPr>
                      <w:pStyle w:val="19"/>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BC2A3D">
    <w:pPr>
      <w:pStyle w:val="19"/>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428" name="文本框 4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FF7031B">
                          <w:pPr>
                            <w:pStyle w:val="19"/>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PJhFI0AgAAZQ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M0EhTdMo+SnH99P&#10;Px9Ov76RdAiJGhdmiLx3iI3tO9uicYbzgMPEvK28Tl9wIvBD4ONFYNFGwtOl6WQ6zeHi8A0b4GeP&#10;150P8b2wmiSjoB4V7IRlh02IfegQkrIZu5ZKdVVUhjQFvXr9Nu8uXDwAVwY5Eon+scmK7bY9M9va&#10;8ghi3vbdERxfSyTfsBDvmEc74MEYmHiLpVIWSezZoqS2/uu/zlM8qgQvJQ3aq6AG00SJ+mBQPQDG&#10;wfCDsR0Ms9c3Fv06xiA63pm44KMazMpb/QVTtEw54GKGI1NB42DexL7FMYVcLJdd0N55uav7C+g9&#10;x+LG3Due0iQhg1vuI8TsNE4C9aqcdUP3dVU6T0pq7z/3XdTj32Hx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jyYRSNAIAAGUEAAAOAAAAAAAAAAEAIAAAAB8BAABkcnMvZTJvRG9jLnhtbFBL&#10;BQYAAAAABgAGAFkBAADFBQAAAAA=&#10;">
              <v:fill on="f" focussize="0,0"/>
              <v:stroke on="f" weight="0.5pt"/>
              <v:imagedata o:title=""/>
              <o:lock v:ext="edit" aspectratio="f"/>
              <v:textbox inset="0mm,0mm,0mm,0mm" style="mso-fit-shape-to-text:t;">
                <w:txbxContent>
                  <w:p w14:paraId="2FF7031B">
                    <w:pPr>
                      <w:pStyle w:val="19"/>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A62673">
    <w:pPr>
      <w:pStyle w:val="19"/>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429" name="文本框 4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C8FC8D8">
                          <w:pPr>
                            <w:pStyle w:val="19"/>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h1Gs40AgAAZQQAAA4AAABkcnMvZTJvRG9jLnhtbK1UzY7TMBC+I/EO&#10;lu80aYFVqZquylZFSCt2pYI4u47TWPKfbLdJeQB4A05cuPNcfQ4+J00XLRz2wMUZe8bf+PtmJvPr&#10;VityED5Iawo6HuWUCMNtKc2uoJ8+rl9MKQmRmZIpa0RBjyLQ68XzZ/PGzcTE1laVwhOAmDBrXEHr&#10;GN0sywKvhWZhZJ0wcFbWaxax9bus9KwBulbZJM+vssb60nnLRQg4XfVOekb0TwG0VSW5WFm+18LE&#10;HtULxSIohVq6QBfda6tK8HhXVUFEogoKprFbkQT2Nq3ZYs5mO89cLfn5CewpT3jESTNpkPQCtWKR&#10;kb2Xf0Fpyb0NtoojbnXWE+kUAYtx/kibTc2c6LhA6uAuoof/B8s/HO49kWVBX03eUGKYRslP37+d&#10;fvw6/fxK0iEkalyYIXLjEBvbt7ZF4wznAYeJeVt5nb7gROCHwMeLwKKNhKdL08l0msPF4Rs2wM8e&#10;rjsf4jthNUlGQT0q2AnLDrch9qFDSMpm7Foq1VVRGdIU9Orl67y7cPEAXBnkSCT6xyYrttv2zGxr&#10;yyOIedt3R3B8LZH8loV4zzzaAQ/GwMQ7LJWySGLPFiW19V/+dZ7iUSV4KWnQXgU1mCZK1HuD6gEw&#10;DoYfjO1gmL2+sejXMQbR8c7EBR/VYFbe6s+YomXKARczHJkKGgfzJvYtjinkYrnsgvbOy13dX0Dv&#10;ORZvzcbxlCYJGdxyHyFmp3ESqFflrBu6r6vSeVJSe/+576Ie/g6L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IdRrONAIAAGUEAAAOAAAAAAAAAAEAIAAAAB8BAABkcnMvZTJvRG9jLnhtbFBL&#10;BQYAAAAABgAGAFkBAADFBQAAAAA=&#10;">
              <v:fill on="f" focussize="0,0"/>
              <v:stroke on="f" weight="0.5pt"/>
              <v:imagedata o:title=""/>
              <o:lock v:ext="edit" aspectratio="f"/>
              <v:textbox inset="0mm,0mm,0mm,0mm" style="mso-fit-shape-to-text:t;">
                <w:txbxContent>
                  <w:p w14:paraId="1C8FC8D8">
                    <w:pPr>
                      <w:pStyle w:val="19"/>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6BA7CD">
    <w:pPr>
      <w:pStyle w:val="19"/>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430" name="文本框 4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6D3F20">
                          <w:pPr>
                            <w:pStyle w:val="19"/>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EZq7c0AgAAZQ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PUVNDFMo+Sn799O&#10;P36dfn4l6RASNS7MEPngEBvbt7ZF4wznAYeJeVt5nb7gROAH2PEisGgj4enSdDKd5nBx+IYN8LPH&#10;686H+E5YTZJRUI8KdsKywybEPnQISdmMXUuluioqQ5qCXl+9ybsLFw/AlUGORKJ/bLJiu23PzLa2&#10;PIKYt313BMfXEsk3LMR75tEOeDAGJt5hqZRFEnu2KKmt//Kv8xSPKsFLSYP2KqjBNFGi3htUD4Bx&#10;MPxgbAfD7PWtRb+OMYiOdyYu+KgGs/JWf8YULVMOuJjhyFTQOJi3sW9xTCEXy2UXtHde7ur+AnrP&#10;sbgxD46nNEnI4Jb7CDE7jZNAvSpn3dB9XZXOk5La+899F/X4d1j8B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CRGau3NAIAAGUEAAAOAAAAAAAAAAEAIAAAAB8BAABkcnMvZTJvRG9jLnhtbFBL&#10;BQYAAAAABgAGAFkBAADFBQAAAAA=&#10;">
              <v:fill on="f" focussize="0,0"/>
              <v:stroke on="f" weight="0.5pt"/>
              <v:imagedata o:title=""/>
              <o:lock v:ext="edit" aspectratio="f"/>
              <v:textbox inset="0mm,0mm,0mm,0mm" style="mso-fit-shape-to-text:t;">
                <w:txbxContent>
                  <w:p w14:paraId="556D3F20">
                    <w:pPr>
                      <w:pStyle w:val="19"/>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F3CD5C">
    <w:pPr>
      <w:pStyle w:val="19"/>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431" name="文本框 4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281E5CE">
                          <w:pPr>
                            <w:pStyle w:val="19"/>
                          </w:pPr>
                          <w:r>
                            <w:fldChar w:fldCharType="begin"/>
                          </w:r>
                          <w:r>
                            <w:instrText xml:space="preserve"> PAGE  \* MERGEFORMAT </w:instrText>
                          </w:r>
                          <w:r>
                            <w:fldChar w:fldCharType="separate"/>
                          </w:r>
                          <w:r>
                            <w:t>152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qlNSs0AgAAZQQAAA4AAABkcnMvZTJvRG9jLnhtbK1UzY7TMBC+I/EO&#10;lu80aRdWVdV0VbYqQqrYlRbE2XWcxpL/ZLtNygPAG3Diwp3n6nPwOWm6aOGwBy7O2DP+Zr5vxpnf&#10;tFqRg/BBWlPQ8SinRBhuS2l2Bf30cf1qSkmIzJRMWSMKehSB3ixevpg3biYmtraqFJ4AxIRZ4wpa&#10;x+hmWRZ4LTQLI+uEgbOyXrOIrd9lpWcN0LXKJnl+nTXWl85bLkLA6ap30jOifw6grSrJxcryvRYm&#10;9qheKBZBKdTSBbroqq0qweNdVQURiSoomMZuRRLY27Rmizmb7TxzteTnEthzSnjCSTNpkPQCtWKR&#10;kb2Xf0Fpyb0NtoojbnXWE+kUAYtx/kSbh5o50XGB1MFdRA//D5Z/ONx7IsuCvr4aU2KYRstP37+d&#10;fvw6/fxK0iEkalyYIfLBITa2b22LwRnOAw4T87byOn3BicAPgY8XgUUbCU+XppPpNIeLwzdsgJ89&#10;Xnc+xHfCapKMgnp0sBOWHTYh9qFDSMpm7Foq1XVRGdIU9PrqTd5duHgArgxyJBJ9scmK7bY9M9va&#10;8ghi3vbTERxfSyTfsBDvmcc4oGA8mHiHpVIWSezZoqS2/su/zlM8ugQvJQ3Gq6AGr4kS9d6gewCM&#10;g+EHYzsYZq9vLeYV/UAtnYkLPqrBrLzVn/GKlikHXMxwZCpoHMzb2I84XiEXy2UXtHde7ur+AmbP&#10;sbgxD46nNEnI4Jb7CDE7jZNAvSpn3TB9XZfOLyWN95/7Lurx77D4D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6pTUrNAIAAGUEAAAOAAAAAAAAAAEAIAAAAB8BAABkcnMvZTJvRG9jLnhtbFBL&#10;BQYAAAAABgAGAFkBAADFBQAAAAA=&#10;">
              <v:fill on="f" focussize="0,0"/>
              <v:stroke on="f" weight="0.5pt"/>
              <v:imagedata o:title=""/>
              <o:lock v:ext="edit" aspectratio="f"/>
              <v:textbox inset="0mm,0mm,0mm,0mm" style="mso-fit-shape-to-text:t;">
                <w:txbxContent>
                  <w:p w14:paraId="5281E5CE">
                    <w:pPr>
                      <w:pStyle w:val="19"/>
                    </w:pPr>
                    <w:r>
                      <w:fldChar w:fldCharType="begin"/>
                    </w:r>
                    <w:r>
                      <w:instrText xml:space="preserve"> PAGE  \* MERGEFORMAT </w:instrText>
                    </w:r>
                    <w:r>
                      <w:fldChar w:fldCharType="separate"/>
                    </w:r>
                    <w:r>
                      <w:t>152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F5C68D">
    <w:pPr>
      <w:pStyle w:val="2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3AE361">
    <w:pPr>
      <w:pStyle w:val="20"/>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390CC5">
    <w:pPr>
      <w:pStyle w:val="20"/>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643BC9">
    <w:pPr>
      <w:pStyle w:val="20"/>
      <w:pBdr>
        <w:bottom w:val="none" w:color="auto" w:sz="0" w:space="0"/>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CBE828">
    <w:pPr>
      <w:pStyle w:val="20"/>
      <w:pBdr>
        <w:bottom w:val="none" w:color="auto" w:sz="0" w:space="0"/>
      </w:pBd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C0D226">
    <w:pPr>
      <w:pStyle w:val="2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507F52F"/>
    <w:multiLevelType w:val="multilevel"/>
    <w:tmpl w:val="9507F52F"/>
    <w:lvl w:ilvl="0" w:tentative="0">
      <w:start w:val="3"/>
      <w:numFmt w:val="bullet"/>
      <w:lvlText w:val="□"/>
      <w:lvlJc w:val="left"/>
      <w:pPr>
        <w:ind w:left="780" w:hanging="360"/>
      </w:pPr>
      <w:rPr>
        <w:rFonts w:hint="eastAsia" w:ascii="仿宋" w:hAnsi="仿宋" w:eastAsia="仿宋" w:cs="仿宋"/>
        <w:u w:val="none"/>
      </w:rPr>
    </w:lvl>
    <w:lvl w:ilvl="1" w:tentative="0">
      <w:start w:val="1"/>
      <w:numFmt w:val="bullet"/>
      <w:lvlText w:val=""/>
      <w:lvlJc w:val="left"/>
      <w:pPr>
        <w:ind w:left="1260" w:hanging="420"/>
      </w:pPr>
      <w:rPr>
        <w:rFonts w:hint="default" w:ascii="Wingdings" w:hAnsi="Wingdings" w:cs="Wingdings"/>
      </w:rPr>
    </w:lvl>
    <w:lvl w:ilvl="2" w:tentative="0">
      <w:start w:val="1"/>
      <w:numFmt w:val="bullet"/>
      <w:lvlText w:val=""/>
      <w:lvlJc w:val="left"/>
      <w:pPr>
        <w:ind w:left="1680" w:hanging="420"/>
      </w:pPr>
      <w:rPr>
        <w:rFonts w:hint="default" w:ascii="Wingdings" w:hAnsi="Wingdings" w:cs="Wingdings"/>
      </w:rPr>
    </w:lvl>
    <w:lvl w:ilvl="3" w:tentative="0">
      <w:start w:val="1"/>
      <w:numFmt w:val="bullet"/>
      <w:lvlText w:val=""/>
      <w:lvlJc w:val="left"/>
      <w:pPr>
        <w:ind w:left="2100" w:hanging="420"/>
      </w:pPr>
      <w:rPr>
        <w:rFonts w:hint="default" w:ascii="Wingdings" w:hAnsi="Wingdings" w:cs="Wingdings"/>
      </w:rPr>
    </w:lvl>
    <w:lvl w:ilvl="4" w:tentative="0">
      <w:start w:val="1"/>
      <w:numFmt w:val="bullet"/>
      <w:lvlText w:val=""/>
      <w:lvlJc w:val="left"/>
      <w:pPr>
        <w:ind w:left="2520" w:hanging="420"/>
      </w:pPr>
      <w:rPr>
        <w:rFonts w:hint="default" w:ascii="Wingdings" w:hAnsi="Wingdings" w:cs="Wingdings"/>
      </w:rPr>
    </w:lvl>
    <w:lvl w:ilvl="5" w:tentative="0">
      <w:start w:val="1"/>
      <w:numFmt w:val="bullet"/>
      <w:lvlText w:val=""/>
      <w:lvlJc w:val="left"/>
      <w:pPr>
        <w:ind w:left="2940" w:hanging="420"/>
      </w:pPr>
      <w:rPr>
        <w:rFonts w:hint="default" w:ascii="Wingdings" w:hAnsi="Wingdings" w:cs="Wingdings"/>
      </w:rPr>
    </w:lvl>
    <w:lvl w:ilvl="6" w:tentative="0">
      <w:start w:val="1"/>
      <w:numFmt w:val="bullet"/>
      <w:lvlText w:val=""/>
      <w:lvlJc w:val="left"/>
      <w:pPr>
        <w:ind w:left="3360" w:hanging="420"/>
      </w:pPr>
      <w:rPr>
        <w:rFonts w:hint="default" w:ascii="Wingdings" w:hAnsi="Wingdings" w:cs="Wingdings"/>
      </w:rPr>
    </w:lvl>
    <w:lvl w:ilvl="7" w:tentative="0">
      <w:start w:val="1"/>
      <w:numFmt w:val="bullet"/>
      <w:lvlText w:val=""/>
      <w:lvlJc w:val="left"/>
      <w:pPr>
        <w:ind w:left="3780" w:hanging="420"/>
      </w:pPr>
      <w:rPr>
        <w:rFonts w:hint="default" w:ascii="Wingdings" w:hAnsi="Wingdings" w:cs="Wingdings"/>
      </w:rPr>
    </w:lvl>
    <w:lvl w:ilvl="8" w:tentative="0">
      <w:start w:val="1"/>
      <w:numFmt w:val="bullet"/>
      <w:lvlText w:val=""/>
      <w:lvlJc w:val="left"/>
      <w:pPr>
        <w:ind w:left="4200" w:hanging="420"/>
      </w:pPr>
      <w:rPr>
        <w:rFonts w:hint="default" w:ascii="Wingdings" w:hAnsi="Wingdings" w:cs="Wingdings"/>
      </w:rPr>
    </w:lvl>
  </w:abstractNum>
  <w:abstractNum w:abstractNumId="1">
    <w:nsid w:val="BEF019A0"/>
    <w:multiLevelType w:val="singleLevel"/>
    <w:tmpl w:val="BEF019A0"/>
    <w:lvl w:ilvl="0" w:tentative="0">
      <w:start w:val="11"/>
      <w:numFmt w:val="chineseCounting"/>
      <w:suff w:val="nothing"/>
      <w:lvlText w:val="%1、"/>
      <w:lvlJc w:val="left"/>
      <w:rPr>
        <w:rFonts w:hint="eastAsia"/>
      </w:rPr>
    </w:lvl>
  </w:abstractNum>
  <w:abstractNum w:abstractNumId="2">
    <w:nsid w:val="D517652D"/>
    <w:multiLevelType w:val="singleLevel"/>
    <w:tmpl w:val="D517652D"/>
    <w:lvl w:ilvl="0" w:tentative="0">
      <w:start w:val="1"/>
      <w:numFmt w:val="chineseCounting"/>
      <w:suff w:val="nothing"/>
      <w:lvlText w:val="%1、"/>
      <w:lvlJc w:val="left"/>
      <w:rPr>
        <w:rFonts w:hint="eastAsia"/>
      </w:rPr>
    </w:lvl>
  </w:abstractNum>
  <w:abstractNum w:abstractNumId="3">
    <w:nsid w:val="FFFE2411"/>
    <w:multiLevelType w:val="singleLevel"/>
    <w:tmpl w:val="FFFE2411"/>
    <w:lvl w:ilvl="0" w:tentative="0">
      <w:start w:val="1"/>
      <w:numFmt w:val="decimal"/>
      <w:suff w:val="nothing"/>
      <w:lvlText w:val="（%1）"/>
      <w:lvlJc w:val="left"/>
    </w:lvl>
  </w:abstractNum>
  <w:abstractNum w:abstractNumId="4">
    <w:nsid w:val="00000016"/>
    <w:multiLevelType w:val="multilevel"/>
    <w:tmpl w:val="00000016"/>
    <w:lvl w:ilvl="0" w:tentative="0">
      <w:start w:val="1"/>
      <w:numFmt w:val="decimal"/>
      <w:lvlText w:val="%1．"/>
      <w:lvlJc w:val="left"/>
      <w:pPr>
        <w:tabs>
          <w:tab w:val="left" w:pos="840"/>
        </w:tabs>
        <w:ind w:left="840" w:hanging="3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5">
    <w:nsid w:val="052A4FA9"/>
    <w:multiLevelType w:val="singleLevel"/>
    <w:tmpl w:val="052A4FA9"/>
    <w:lvl w:ilvl="0" w:tentative="0">
      <w:start w:val="1"/>
      <w:numFmt w:val="decimal"/>
      <w:suff w:val="nothing"/>
      <w:lvlText w:val="%1、"/>
      <w:lvlJc w:val="left"/>
    </w:lvl>
  </w:abstractNum>
  <w:abstractNum w:abstractNumId="6">
    <w:nsid w:val="05A65CA1"/>
    <w:multiLevelType w:val="multilevel"/>
    <w:tmpl w:val="05A65CA1"/>
    <w:lvl w:ilvl="0" w:tentative="0">
      <w:start w:val="1"/>
      <w:numFmt w:val="decimal"/>
      <w:lvlText w:val="(%1)"/>
      <w:lvlJc w:val="left"/>
      <w:pPr>
        <w:tabs>
          <w:tab w:val="left" w:pos="1080"/>
        </w:tabs>
        <w:ind w:left="1080" w:hanging="60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7">
    <w:nsid w:val="07C82ACA"/>
    <w:multiLevelType w:val="multilevel"/>
    <w:tmpl w:val="07C82ACA"/>
    <w:lvl w:ilvl="0" w:tentative="0">
      <w:start w:val="1"/>
      <w:numFmt w:val="decimal"/>
      <w:lvlText w:val="（%1）"/>
      <w:lvlJc w:val="left"/>
      <w:pPr>
        <w:tabs>
          <w:tab w:val="left" w:pos="2339"/>
        </w:tabs>
        <w:ind w:left="2339" w:hanging="720"/>
      </w:pPr>
    </w:lvl>
    <w:lvl w:ilvl="1" w:tentative="0">
      <w:start w:val="1"/>
      <w:numFmt w:val="lowerLetter"/>
      <w:lvlText w:val="%2)"/>
      <w:lvlJc w:val="left"/>
      <w:pPr>
        <w:tabs>
          <w:tab w:val="left" w:pos="2459"/>
        </w:tabs>
        <w:ind w:left="2459" w:hanging="42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8">
    <w:nsid w:val="0C1C34D2"/>
    <w:multiLevelType w:val="multilevel"/>
    <w:tmpl w:val="0C1C34D2"/>
    <w:lvl w:ilvl="0" w:tentative="0">
      <w:start w:val="1"/>
      <w:numFmt w:val="decimal"/>
      <w:lvlText w:val="(%1)"/>
      <w:lvlJc w:val="left"/>
      <w:pPr>
        <w:tabs>
          <w:tab w:val="left" w:pos="1560"/>
        </w:tabs>
        <w:ind w:left="1560" w:hanging="1080"/>
      </w:pPr>
    </w:lvl>
    <w:lvl w:ilvl="1" w:tentative="0">
      <w:start w:val="1"/>
      <w:numFmt w:val="decimal"/>
      <w:lvlText w:val="（%2）"/>
      <w:lvlJc w:val="left"/>
      <w:pPr>
        <w:tabs>
          <w:tab w:val="left" w:pos="1620"/>
        </w:tabs>
        <w:ind w:left="1620" w:hanging="72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9">
    <w:nsid w:val="0EF61F1C"/>
    <w:multiLevelType w:val="multilevel"/>
    <w:tmpl w:val="0EF61F1C"/>
    <w:lvl w:ilvl="0" w:tentative="0">
      <w:start w:val="1"/>
      <w:numFmt w:val="decimal"/>
      <w:lvlText w:val="（%1）"/>
      <w:lvlJc w:val="left"/>
      <w:pPr>
        <w:tabs>
          <w:tab w:val="left" w:pos="960"/>
        </w:tabs>
        <w:ind w:left="960" w:hanging="72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0">
    <w:nsid w:val="1DE9DB90"/>
    <w:multiLevelType w:val="singleLevel"/>
    <w:tmpl w:val="1DE9DB90"/>
    <w:lvl w:ilvl="0" w:tentative="0">
      <w:start w:val="1"/>
      <w:numFmt w:val="decimal"/>
      <w:suff w:val="nothing"/>
      <w:lvlText w:val="%1、"/>
      <w:lvlJc w:val="left"/>
    </w:lvl>
  </w:abstractNum>
  <w:abstractNum w:abstractNumId="11">
    <w:nsid w:val="1E153F58"/>
    <w:multiLevelType w:val="multilevel"/>
    <w:tmpl w:val="1E153F58"/>
    <w:lvl w:ilvl="0" w:tentative="0">
      <w:start w:val="1"/>
      <w:numFmt w:val="decimal"/>
      <w:lvlText w:val="（%1）"/>
      <w:lvlJc w:val="left"/>
      <w:pPr>
        <w:tabs>
          <w:tab w:val="left" w:pos="2609"/>
        </w:tabs>
        <w:ind w:left="2609" w:hanging="72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2">
    <w:nsid w:val="253A68C1"/>
    <w:multiLevelType w:val="multilevel"/>
    <w:tmpl w:val="253A68C1"/>
    <w:lvl w:ilvl="0" w:tentative="0">
      <w:start w:val="1"/>
      <w:numFmt w:val="decimal"/>
      <w:lvlText w:val="(%1)"/>
      <w:lvlJc w:val="left"/>
      <w:pPr>
        <w:tabs>
          <w:tab w:val="left" w:pos="1440"/>
        </w:tabs>
        <w:ind w:left="1440" w:hanging="9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3">
    <w:nsid w:val="266F2840"/>
    <w:multiLevelType w:val="multilevel"/>
    <w:tmpl w:val="266F2840"/>
    <w:lvl w:ilvl="0" w:tentative="0">
      <w:start w:val="1"/>
      <w:numFmt w:val="decimal"/>
      <w:lvlText w:val="(%1)"/>
      <w:lvlJc w:val="left"/>
      <w:pPr>
        <w:tabs>
          <w:tab w:val="left" w:pos="1080"/>
        </w:tabs>
        <w:ind w:left="1080" w:hanging="60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4">
    <w:nsid w:val="32C43DC6"/>
    <w:multiLevelType w:val="multilevel"/>
    <w:tmpl w:val="32C43DC6"/>
    <w:lvl w:ilvl="0" w:tentative="0">
      <w:start w:val="1"/>
      <w:numFmt w:val="decimal"/>
      <w:lvlText w:val="(%1)"/>
      <w:lvlJc w:val="left"/>
      <w:pPr>
        <w:tabs>
          <w:tab w:val="left" w:pos="1560"/>
        </w:tabs>
        <w:ind w:left="1560" w:hanging="60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5">
    <w:nsid w:val="36B74DA9"/>
    <w:multiLevelType w:val="multilevel"/>
    <w:tmpl w:val="36B74DA9"/>
    <w:lvl w:ilvl="0" w:tentative="0">
      <w:start w:val="1"/>
      <w:numFmt w:val="decimal"/>
      <w:lvlText w:val="(%1)"/>
      <w:lvlJc w:val="left"/>
      <w:pPr>
        <w:tabs>
          <w:tab w:val="left" w:pos="1080"/>
        </w:tabs>
        <w:ind w:left="1080" w:hanging="60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6">
    <w:nsid w:val="3B2E0A0E"/>
    <w:multiLevelType w:val="multilevel"/>
    <w:tmpl w:val="3B2E0A0E"/>
    <w:lvl w:ilvl="0" w:tentative="0">
      <w:start w:val="1"/>
      <w:numFmt w:val="decimal"/>
      <w:lvlText w:val="(%1)"/>
      <w:lvlJc w:val="left"/>
      <w:pPr>
        <w:tabs>
          <w:tab w:val="left" w:pos="2443"/>
        </w:tabs>
        <w:ind w:left="2443" w:hanging="600"/>
      </w:pPr>
    </w:lvl>
    <w:lvl w:ilvl="1" w:tentative="0">
      <w:start w:val="1"/>
      <w:numFmt w:val="decimal"/>
      <w:lvlText w:val="（%2）"/>
      <w:lvlJc w:val="left"/>
      <w:pPr>
        <w:tabs>
          <w:tab w:val="left" w:pos="2983"/>
        </w:tabs>
        <w:ind w:left="2983" w:hanging="720"/>
      </w:pPr>
      <w:rPr>
        <w:rFonts w:ascii="宋体"/>
        <w:color w:val="auto"/>
      </w:rPr>
    </w:lvl>
    <w:lvl w:ilvl="2" w:tentative="0">
      <w:start w:val="1"/>
      <w:numFmt w:val="decimal"/>
      <w:lvlText w:val="%3."/>
      <w:lvlJc w:val="left"/>
      <w:pPr>
        <w:tabs>
          <w:tab w:val="left" w:pos="3523"/>
        </w:tabs>
        <w:ind w:left="3523" w:hanging="360"/>
      </w:pPr>
    </w:lvl>
    <w:lvl w:ilvl="3" w:tentative="0">
      <w:start w:val="1"/>
      <w:numFmt w:val="decimal"/>
      <w:lvlText w:val="%4."/>
      <w:lvlJc w:val="left"/>
      <w:pPr>
        <w:tabs>
          <w:tab w:val="left" w:pos="4243"/>
        </w:tabs>
        <w:ind w:left="4243" w:hanging="360"/>
      </w:pPr>
    </w:lvl>
    <w:lvl w:ilvl="4" w:tentative="0">
      <w:start w:val="1"/>
      <w:numFmt w:val="decimal"/>
      <w:lvlText w:val="%5."/>
      <w:lvlJc w:val="left"/>
      <w:pPr>
        <w:tabs>
          <w:tab w:val="left" w:pos="4963"/>
        </w:tabs>
        <w:ind w:left="4963" w:hanging="360"/>
      </w:pPr>
    </w:lvl>
    <w:lvl w:ilvl="5" w:tentative="0">
      <w:start w:val="1"/>
      <w:numFmt w:val="decimal"/>
      <w:lvlText w:val="%6."/>
      <w:lvlJc w:val="left"/>
      <w:pPr>
        <w:tabs>
          <w:tab w:val="left" w:pos="5683"/>
        </w:tabs>
        <w:ind w:left="5683" w:hanging="360"/>
      </w:pPr>
    </w:lvl>
    <w:lvl w:ilvl="6" w:tentative="0">
      <w:start w:val="1"/>
      <w:numFmt w:val="decimal"/>
      <w:lvlText w:val="%7."/>
      <w:lvlJc w:val="left"/>
      <w:pPr>
        <w:tabs>
          <w:tab w:val="left" w:pos="6403"/>
        </w:tabs>
        <w:ind w:left="6403" w:hanging="360"/>
      </w:pPr>
    </w:lvl>
    <w:lvl w:ilvl="7" w:tentative="0">
      <w:start w:val="1"/>
      <w:numFmt w:val="decimal"/>
      <w:lvlText w:val="%8."/>
      <w:lvlJc w:val="left"/>
      <w:pPr>
        <w:tabs>
          <w:tab w:val="left" w:pos="7123"/>
        </w:tabs>
        <w:ind w:left="7123" w:hanging="360"/>
      </w:pPr>
    </w:lvl>
    <w:lvl w:ilvl="8" w:tentative="0">
      <w:start w:val="1"/>
      <w:numFmt w:val="decimal"/>
      <w:lvlText w:val="%9."/>
      <w:lvlJc w:val="left"/>
      <w:pPr>
        <w:tabs>
          <w:tab w:val="left" w:pos="7843"/>
        </w:tabs>
        <w:ind w:left="7843" w:hanging="360"/>
      </w:pPr>
    </w:lvl>
  </w:abstractNum>
  <w:abstractNum w:abstractNumId="17">
    <w:nsid w:val="3E0758DE"/>
    <w:multiLevelType w:val="multilevel"/>
    <w:tmpl w:val="3E0758DE"/>
    <w:lvl w:ilvl="0" w:tentative="0">
      <w:start w:val="1"/>
      <w:numFmt w:val="decimal"/>
      <w:lvlText w:val="(%1)"/>
      <w:lvlJc w:val="left"/>
      <w:pPr>
        <w:tabs>
          <w:tab w:val="left" w:pos="1080"/>
        </w:tabs>
        <w:ind w:left="1080" w:hanging="60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8">
    <w:nsid w:val="42D478CF"/>
    <w:multiLevelType w:val="multilevel"/>
    <w:tmpl w:val="42D478CF"/>
    <w:lvl w:ilvl="0" w:tentative="0">
      <w:start w:val="1"/>
      <w:numFmt w:val="decimal"/>
      <w:lvlText w:val="(%1)"/>
      <w:lvlJc w:val="left"/>
      <w:pPr>
        <w:tabs>
          <w:tab w:val="left" w:pos="1080"/>
        </w:tabs>
        <w:ind w:left="1080" w:hanging="60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9">
    <w:nsid w:val="46D47E00"/>
    <w:multiLevelType w:val="multilevel"/>
    <w:tmpl w:val="46D47E00"/>
    <w:lvl w:ilvl="0" w:tentative="0">
      <w:start w:val="1"/>
      <w:numFmt w:val="decimal"/>
      <w:lvlText w:val="(%1)"/>
      <w:lvlJc w:val="left"/>
      <w:pPr>
        <w:tabs>
          <w:tab w:val="left" w:pos="960"/>
        </w:tabs>
        <w:ind w:left="960" w:hanging="48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0">
    <w:nsid w:val="4BE837E6"/>
    <w:multiLevelType w:val="multilevel"/>
    <w:tmpl w:val="4BE837E6"/>
    <w:lvl w:ilvl="0" w:tentative="0">
      <w:start w:val="1"/>
      <w:numFmt w:val="decimal"/>
      <w:lvlText w:val="（%1）"/>
      <w:lvlJc w:val="left"/>
      <w:pPr>
        <w:tabs>
          <w:tab w:val="left" w:pos="720"/>
        </w:tabs>
        <w:ind w:left="720" w:hanging="72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1">
    <w:nsid w:val="51880536"/>
    <w:multiLevelType w:val="multilevel"/>
    <w:tmpl w:val="51880536"/>
    <w:lvl w:ilvl="0" w:tentative="0">
      <w:start w:val="1"/>
      <w:numFmt w:val="decimal"/>
      <w:lvlText w:val="（%1）"/>
      <w:lvlJc w:val="left"/>
      <w:pPr>
        <w:tabs>
          <w:tab w:val="left" w:pos="840"/>
        </w:tabs>
        <w:ind w:left="840" w:hanging="72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2">
    <w:nsid w:val="55CC2CEE"/>
    <w:multiLevelType w:val="multilevel"/>
    <w:tmpl w:val="55CC2CEE"/>
    <w:lvl w:ilvl="0" w:tentative="0">
      <w:start w:val="1"/>
      <w:numFmt w:val="decimal"/>
      <w:lvlText w:val="(%1)"/>
      <w:lvlJc w:val="left"/>
      <w:pPr>
        <w:tabs>
          <w:tab w:val="left" w:pos="1440"/>
        </w:tabs>
        <w:ind w:left="1440" w:hanging="9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3">
    <w:nsid w:val="57D559DE"/>
    <w:multiLevelType w:val="multilevel"/>
    <w:tmpl w:val="57D559DE"/>
    <w:lvl w:ilvl="0" w:tentative="0">
      <w:start w:val="1"/>
      <w:numFmt w:val="decimal"/>
      <w:lvlText w:val="(%1)"/>
      <w:lvlJc w:val="left"/>
      <w:pPr>
        <w:tabs>
          <w:tab w:val="left" w:pos="1080"/>
        </w:tabs>
        <w:ind w:left="1080" w:hanging="60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4">
    <w:nsid w:val="5B691D0A"/>
    <w:multiLevelType w:val="multilevel"/>
    <w:tmpl w:val="5B691D0A"/>
    <w:lvl w:ilvl="0" w:tentative="0">
      <w:start w:val="1"/>
      <w:numFmt w:val="decimal"/>
      <w:lvlText w:val="(%1)"/>
      <w:lvlJc w:val="left"/>
      <w:pPr>
        <w:tabs>
          <w:tab w:val="left" w:pos="1560"/>
        </w:tabs>
        <w:ind w:left="1560" w:hanging="1080"/>
      </w:pPr>
    </w:lvl>
    <w:lvl w:ilvl="1" w:tentative="0">
      <w:start w:val="4"/>
      <w:numFmt w:val="decimal"/>
      <w:lvlText w:val="(%2)"/>
      <w:lvlJc w:val="left"/>
      <w:pPr>
        <w:tabs>
          <w:tab w:val="left" w:pos="1410"/>
        </w:tabs>
        <w:ind w:left="1410" w:hanging="51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5">
    <w:nsid w:val="5EEA705D"/>
    <w:multiLevelType w:val="multilevel"/>
    <w:tmpl w:val="5EEA705D"/>
    <w:lvl w:ilvl="0" w:tentative="0">
      <w:start w:val="1"/>
      <w:numFmt w:val="decimal"/>
      <w:lvlText w:val="(%1)"/>
      <w:lvlJc w:val="left"/>
      <w:pPr>
        <w:tabs>
          <w:tab w:val="left" w:pos="1080"/>
        </w:tabs>
        <w:ind w:left="1080" w:hanging="60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6">
    <w:nsid w:val="6035DB68"/>
    <w:multiLevelType w:val="multilevel"/>
    <w:tmpl w:val="6035DB68"/>
    <w:lvl w:ilvl="0" w:tentative="0">
      <w:start w:val="5"/>
      <w:numFmt w:val="decimal"/>
      <w:lvlText w:val="%1"/>
      <w:lvlJc w:val="left"/>
      <w:pPr>
        <w:tabs>
          <w:tab w:val="left" w:pos="840"/>
        </w:tabs>
        <w:ind w:left="84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7">
    <w:nsid w:val="62256771"/>
    <w:multiLevelType w:val="multilevel"/>
    <w:tmpl w:val="62256771"/>
    <w:lvl w:ilvl="0" w:tentative="0">
      <w:start w:val="1"/>
      <w:numFmt w:val="decimal"/>
      <w:lvlText w:val="(%1)"/>
      <w:lvlJc w:val="left"/>
      <w:pPr>
        <w:tabs>
          <w:tab w:val="left" w:pos="960"/>
        </w:tabs>
        <w:ind w:left="960" w:hanging="480"/>
      </w:pPr>
    </w:lvl>
    <w:lvl w:ilvl="1" w:tentative="0">
      <w:start w:val="1"/>
      <w:numFmt w:val="decimal"/>
      <w:lvlText w:val="（%2）"/>
      <w:lvlJc w:val="left"/>
      <w:pPr>
        <w:tabs>
          <w:tab w:val="left" w:pos="1980"/>
        </w:tabs>
        <w:ind w:left="1980" w:hanging="108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8">
    <w:nsid w:val="69774DF0"/>
    <w:multiLevelType w:val="multilevel"/>
    <w:tmpl w:val="69774DF0"/>
    <w:lvl w:ilvl="0" w:tentative="0">
      <w:start w:val="1"/>
      <w:numFmt w:val="decimal"/>
      <w:lvlText w:val="(%1)"/>
      <w:lvlJc w:val="left"/>
      <w:pPr>
        <w:tabs>
          <w:tab w:val="left" w:pos="1350"/>
        </w:tabs>
        <w:ind w:left="1350" w:hanging="870"/>
      </w:pPr>
    </w:lvl>
    <w:lvl w:ilvl="1" w:tentative="0">
      <w:start w:val="1"/>
      <w:numFmt w:val="decimal"/>
      <w:lvlText w:val="%2."/>
      <w:lvlJc w:val="left"/>
      <w:pPr>
        <w:tabs>
          <w:tab w:val="left" w:pos="1260"/>
        </w:tabs>
        <w:ind w:left="126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9">
    <w:nsid w:val="6B1548AB"/>
    <w:multiLevelType w:val="multilevel"/>
    <w:tmpl w:val="6B1548AB"/>
    <w:lvl w:ilvl="0" w:tentative="0">
      <w:start w:val="1"/>
      <w:numFmt w:val="decimal"/>
      <w:lvlText w:val="(%1)"/>
      <w:lvlJc w:val="left"/>
      <w:pPr>
        <w:tabs>
          <w:tab w:val="left" w:pos="990"/>
        </w:tabs>
        <w:ind w:left="990" w:hanging="99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0">
    <w:nsid w:val="6C1074F8"/>
    <w:multiLevelType w:val="multilevel"/>
    <w:tmpl w:val="6C1074F8"/>
    <w:lvl w:ilvl="0" w:tentative="0">
      <w:start w:val="1"/>
      <w:numFmt w:val="decimal"/>
      <w:lvlText w:val="(%1)"/>
      <w:lvlJc w:val="left"/>
      <w:pPr>
        <w:tabs>
          <w:tab w:val="left" w:pos="1110"/>
        </w:tabs>
        <w:ind w:left="1110" w:hanging="510"/>
      </w:pPr>
      <w:rPr>
        <w:color w:val="auto"/>
      </w:rPr>
    </w:lvl>
    <w:lvl w:ilvl="1" w:tentative="0">
      <w:start w:val="1"/>
      <w:numFmt w:val="decimal"/>
      <w:lvlText w:val="(%2)"/>
      <w:lvlJc w:val="left"/>
      <w:pPr>
        <w:tabs>
          <w:tab w:val="left" w:pos="1410"/>
        </w:tabs>
        <w:ind w:left="1410" w:hanging="390"/>
      </w:pPr>
    </w:lvl>
    <w:lvl w:ilvl="2" w:tentative="0">
      <w:start w:val="1"/>
      <w:numFmt w:val="decimal"/>
      <w:lvlText w:val="%3."/>
      <w:lvlJc w:val="left"/>
      <w:pPr>
        <w:tabs>
          <w:tab w:val="left" w:pos="2280"/>
        </w:tabs>
        <w:ind w:left="2280" w:hanging="360"/>
      </w:pPr>
    </w:lvl>
    <w:lvl w:ilvl="3" w:tentative="0">
      <w:start w:val="1"/>
      <w:numFmt w:val="decimal"/>
      <w:lvlText w:val="%4."/>
      <w:lvlJc w:val="left"/>
      <w:pPr>
        <w:tabs>
          <w:tab w:val="left" w:pos="3000"/>
        </w:tabs>
        <w:ind w:left="3000" w:hanging="360"/>
      </w:pPr>
    </w:lvl>
    <w:lvl w:ilvl="4" w:tentative="0">
      <w:start w:val="1"/>
      <w:numFmt w:val="decimal"/>
      <w:lvlText w:val="%5."/>
      <w:lvlJc w:val="left"/>
      <w:pPr>
        <w:tabs>
          <w:tab w:val="left" w:pos="3720"/>
        </w:tabs>
        <w:ind w:left="3720" w:hanging="360"/>
      </w:pPr>
    </w:lvl>
    <w:lvl w:ilvl="5" w:tentative="0">
      <w:start w:val="1"/>
      <w:numFmt w:val="decimal"/>
      <w:lvlText w:val="%6."/>
      <w:lvlJc w:val="left"/>
      <w:pPr>
        <w:tabs>
          <w:tab w:val="left" w:pos="4440"/>
        </w:tabs>
        <w:ind w:left="4440" w:hanging="360"/>
      </w:pPr>
    </w:lvl>
    <w:lvl w:ilvl="6" w:tentative="0">
      <w:start w:val="1"/>
      <w:numFmt w:val="decimal"/>
      <w:lvlText w:val="%7."/>
      <w:lvlJc w:val="left"/>
      <w:pPr>
        <w:tabs>
          <w:tab w:val="left" w:pos="5160"/>
        </w:tabs>
        <w:ind w:left="5160" w:hanging="360"/>
      </w:pPr>
    </w:lvl>
    <w:lvl w:ilvl="7" w:tentative="0">
      <w:start w:val="1"/>
      <w:numFmt w:val="decimal"/>
      <w:lvlText w:val="%8."/>
      <w:lvlJc w:val="left"/>
      <w:pPr>
        <w:tabs>
          <w:tab w:val="left" w:pos="5880"/>
        </w:tabs>
        <w:ind w:left="5880" w:hanging="360"/>
      </w:pPr>
    </w:lvl>
    <w:lvl w:ilvl="8" w:tentative="0">
      <w:start w:val="1"/>
      <w:numFmt w:val="decimal"/>
      <w:lvlText w:val="%9."/>
      <w:lvlJc w:val="left"/>
      <w:pPr>
        <w:tabs>
          <w:tab w:val="left" w:pos="6600"/>
        </w:tabs>
        <w:ind w:left="6600" w:hanging="360"/>
      </w:pPr>
    </w:lvl>
  </w:abstractNum>
  <w:abstractNum w:abstractNumId="31">
    <w:nsid w:val="6CBA5776"/>
    <w:multiLevelType w:val="multilevel"/>
    <w:tmpl w:val="6CBA5776"/>
    <w:lvl w:ilvl="0" w:tentative="0">
      <w:start w:val="1"/>
      <w:numFmt w:val="decimal"/>
      <w:lvlText w:val="(%1)"/>
      <w:lvlJc w:val="left"/>
      <w:pPr>
        <w:tabs>
          <w:tab w:val="left" w:pos="1560"/>
        </w:tabs>
        <w:ind w:left="1560" w:hanging="108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2">
    <w:nsid w:val="706D58B7"/>
    <w:multiLevelType w:val="multilevel"/>
    <w:tmpl w:val="706D58B7"/>
    <w:lvl w:ilvl="0" w:tentative="0">
      <w:start w:val="1"/>
      <w:numFmt w:val="decimal"/>
      <w:lvlText w:val="(%1)"/>
      <w:lvlJc w:val="left"/>
      <w:pPr>
        <w:tabs>
          <w:tab w:val="left" w:pos="1440"/>
        </w:tabs>
        <w:ind w:left="1440" w:hanging="9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3">
    <w:nsid w:val="774C6470"/>
    <w:multiLevelType w:val="multilevel"/>
    <w:tmpl w:val="774C6470"/>
    <w:lvl w:ilvl="0" w:tentative="0">
      <w:start w:val="1"/>
      <w:numFmt w:val="decimal"/>
      <w:lvlText w:val="(%1)"/>
      <w:lvlJc w:val="left"/>
      <w:pPr>
        <w:tabs>
          <w:tab w:val="left" w:pos="1560"/>
        </w:tabs>
        <w:ind w:left="1560" w:hanging="108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4">
    <w:nsid w:val="7BE858F9"/>
    <w:multiLevelType w:val="multilevel"/>
    <w:tmpl w:val="7BE858F9"/>
    <w:lvl w:ilvl="0" w:tentative="0">
      <w:start w:val="1"/>
      <w:numFmt w:val="decimal"/>
      <w:lvlText w:val="（%1）"/>
      <w:lvlJc w:val="left"/>
      <w:pPr>
        <w:ind w:left="2340" w:hanging="720"/>
      </w:pPr>
      <w:rPr>
        <w:rFonts w:hint="default" w:cs="仿宋"/>
      </w:rPr>
    </w:lvl>
    <w:lvl w:ilvl="1" w:tentative="0">
      <w:start w:val="1"/>
      <w:numFmt w:val="lowerLetter"/>
      <w:lvlText w:val="%2)"/>
      <w:lvlJc w:val="left"/>
      <w:pPr>
        <w:ind w:left="2460" w:hanging="420"/>
      </w:pPr>
    </w:lvl>
    <w:lvl w:ilvl="2" w:tentative="0">
      <w:start w:val="1"/>
      <w:numFmt w:val="lowerRoman"/>
      <w:lvlText w:val="%3."/>
      <w:lvlJc w:val="right"/>
      <w:pPr>
        <w:ind w:left="2880" w:hanging="420"/>
      </w:pPr>
    </w:lvl>
    <w:lvl w:ilvl="3" w:tentative="0">
      <w:start w:val="1"/>
      <w:numFmt w:val="decimal"/>
      <w:lvlText w:val="%4."/>
      <w:lvlJc w:val="left"/>
      <w:pPr>
        <w:ind w:left="3300" w:hanging="420"/>
      </w:pPr>
    </w:lvl>
    <w:lvl w:ilvl="4" w:tentative="0">
      <w:start w:val="1"/>
      <w:numFmt w:val="lowerLetter"/>
      <w:lvlText w:val="%5)"/>
      <w:lvlJc w:val="left"/>
      <w:pPr>
        <w:ind w:left="3720" w:hanging="420"/>
      </w:pPr>
    </w:lvl>
    <w:lvl w:ilvl="5" w:tentative="0">
      <w:start w:val="1"/>
      <w:numFmt w:val="lowerRoman"/>
      <w:lvlText w:val="%6."/>
      <w:lvlJc w:val="right"/>
      <w:pPr>
        <w:ind w:left="4140" w:hanging="420"/>
      </w:pPr>
    </w:lvl>
    <w:lvl w:ilvl="6" w:tentative="0">
      <w:start w:val="1"/>
      <w:numFmt w:val="decimal"/>
      <w:lvlText w:val="%7."/>
      <w:lvlJc w:val="left"/>
      <w:pPr>
        <w:ind w:left="4560" w:hanging="420"/>
      </w:pPr>
    </w:lvl>
    <w:lvl w:ilvl="7" w:tentative="0">
      <w:start w:val="1"/>
      <w:numFmt w:val="lowerLetter"/>
      <w:lvlText w:val="%8)"/>
      <w:lvlJc w:val="left"/>
      <w:pPr>
        <w:ind w:left="4980" w:hanging="420"/>
      </w:pPr>
    </w:lvl>
    <w:lvl w:ilvl="8" w:tentative="0">
      <w:start w:val="1"/>
      <w:numFmt w:val="lowerRoman"/>
      <w:lvlText w:val="%9."/>
      <w:lvlJc w:val="right"/>
      <w:pPr>
        <w:ind w:left="5400" w:hanging="420"/>
      </w:pPr>
    </w:lvl>
  </w:abstractNum>
  <w:abstractNum w:abstractNumId="35">
    <w:nsid w:val="7E9C6F08"/>
    <w:multiLevelType w:val="multilevel"/>
    <w:tmpl w:val="7E9C6F08"/>
    <w:lvl w:ilvl="0" w:tentative="0">
      <w:start w:val="1"/>
      <w:numFmt w:val="decimal"/>
      <w:lvlText w:val="(%1)"/>
      <w:lvlJc w:val="left"/>
      <w:pPr>
        <w:tabs>
          <w:tab w:val="left" w:pos="1200"/>
        </w:tabs>
        <w:ind w:left="1200" w:hanging="72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5"/>
  </w:num>
  <w:num w:numId="2">
    <w:abstractNumId w:val="10"/>
  </w:num>
  <w:num w:numId="3">
    <w:abstractNumId w:val="1"/>
  </w:num>
  <w:num w:numId="4">
    <w:abstractNumId w:val="2"/>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4"/>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4"/>
  </w:num>
  <w:num w:numId="3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
  </w:num>
  <w:num w:numId="34">
    <w:abstractNumId w:val="0"/>
  </w:num>
  <w:num w:numId="35">
    <w:abstractNumId w:val="4"/>
  </w:num>
  <w:num w:numId="36">
    <w:abstractNumId w:val="26"/>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revisionView w:markup="0"/>
  <w:trackRevisions w:val="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UzNTBjODY0OWYzMzA4NWRkOGM5NDA0MGM0NGYzNGYifQ=="/>
  </w:docVars>
  <w:rsids>
    <w:rsidRoot w:val="00BB12A7"/>
    <w:rsid w:val="00064BAE"/>
    <w:rsid w:val="0008193E"/>
    <w:rsid w:val="000B0642"/>
    <w:rsid w:val="000C3E23"/>
    <w:rsid w:val="000E3370"/>
    <w:rsid w:val="00137012"/>
    <w:rsid w:val="001577CE"/>
    <w:rsid w:val="00185ACE"/>
    <w:rsid w:val="00213748"/>
    <w:rsid w:val="00231F1F"/>
    <w:rsid w:val="00252722"/>
    <w:rsid w:val="002964C8"/>
    <w:rsid w:val="00321A09"/>
    <w:rsid w:val="003820FE"/>
    <w:rsid w:val="003D0DCB"/>
    <w:rsid w:val="00404970"/>
    <w:rsid w:val="00470C99"/>
    <w:rsid w:val="00525992"/>
    <w:rsid w:val="005D10F6"/>
    <w:rsid w:val="006069AF"/>
    <w:rsid w:val="00621345"/>
    <w:rsid w:val="00621B2C"/>
    <w:rsid w:val="00663E8B"/>
    <w:rsid w:val="006F0C76"/>
    <w:rsid w:val="006F4F24"/>
    <w:rsid w:val="007025C0"/>
    <w:rsid w:val="00712F0B"/>
    <w:rsid w:val="00763CCB"/>
    <w:rsid w:val="00871601"/>
    <w:rsid w:val="009B49CB"/>
    <w:rsid w:val="00B12FBE"/>
    <w:rsid w:val="00B968E9"/>
    <w:rsid w:val="00BB12A7"/>
    <w:rsid w:val="00BB7E21"/>
    <w:rsid w:val="00C25F31"/>
    <w:rsid w:val="00C35B93"/>
    <w:rsid w:val="00C60B75"/>
    <w:rsid w:val="00D02ABB"/>
    <w:rsid w:val="00D9284C"/>
    <w:rsid w:val="00DA17D6"/>
    <w:rsid w:val="00DA3A95"/>
    <w:rsid w:val="00DB1902"/>
    <w:rsid w:val="00DC5628"/>
    <w:rsid w:val="00E3430F"/>
    <w:rsid w:val="00E54DB0"/>
    <w:rsid w:val="00ED5F33"/>
    <w:rsid w:val="00ED6266"/>
    <w:rsid w:val="00F04C02"/>
    <w:rsid w:val="00F460CA"/>
    <w:rsid w:val="00F56A54"/>
    <w:rsid w:val="00F62330"/>
    <w:rsid w:val="00F7043D"/>
    <w:rsid w:val="00F91E78"/>
    <w:rsid w:val="00F94126"/>
    <w:rsid w:val="00FD39FE"/>
    <w:rsid w:val="00FE54E5"/>
    <w:rsid w:val="015B40ED"/>
    <w:rsid w:val="01965A8B"/>
    <w:rsid w:val="01BB3CD7"/>
    <w:rsid w:val="02085147"/>
    <w:rsid w:val="0233485E"/>
    <w:rsid w:val="027E2B86"/>
    <w:rsid w:val="030207BE"/>
    <w:rsid w:val="03192A39"/>
    <w:rsid w:val="031C69F7"/>
    <w:rsid w:val="03882AA3"/>
    <w:rsid w:val="03A1581A"/>
    <w:rsid w:val="03BF4766"/>
    <w:rsid w:val="03D654A6"/>
    <w:rsid w:val="049E6A7D"/>
    <w:rsid w:val="053F68BD"/>
    <w:rsid w:val="05551283"/>
    <w:rsid w:val="06F17B69"/>
    <w:rsid w:val="070756BC"/>
    <w:rsid w:val="0707784B"/>
    <w:rsid w:val="07097B70"/>
    <w:rsid w:val="075C3D1F"/>
    <w:rsid w:val="07CD3F90"/>
    <w:rsid w:val="07F961B7"/>
    <w:rsid w:val="0814603A"/>
    <w:rsid w:val="08A2050D"/>
    <w:rsid w:val="08FC1BD4"/>
    <w:rsid w:val="090624B6"/>
    <w:rsid w:val="0955211A"/>
    <w:rsid w:val="096409E5"/>
    <w:rsid w:val="0AAB7859"/>
    <w:rsid w:val="0B8B40BA"/>
    <w:rsid w:val="0C255584"/>
    <w:rsid w:val="0C5E2336"/>
    <w:rsid w:val="0CB057A5"/>
    <w:rsid w:val="0CC35C86"/>
    <w:rsid w:val="0D0B595A"/>
    <w:rsid w:val="0D2F5197"/>
    <w:rsid w:val="0D5A3ADB"/>
    <w:rsid w:val="0DEF0C72"/>
    <w:rsid w:val="0E016558"/>
    <w:rsid w:val="0E2A1448"/>
    <w:rsid w:val="0E9329A7"/>
    <w:rsid w:val="0F21767C"/>
    <w:rsid w:val="0F911D11"/>
    <w:rsid w:val="0FA1287E"/>
    <w:rsid w:val="10134FF0"/>
    <w:rsid w:val="10610ACC"/>
    <w:rsid w:val="10A8547C"/>
    <w:rsid w:val="11142FE9"/>
    <w:rsid w:val="11314FE1"/>
    <w:rsid w:val="1141667B"/>
    <w:rsid w:val="119E3805"/>
    <w:rsid w:val="11A11042"/>
    <w:rsid w:val="123C7D9C"/>
    <w:rsid w:val="125C296C"/>
    <w:rsid w:val="130E4711"/>
    <w:rsid w:val="134901FB"/>
    <w:rsid w:val="13E9328B"/>
    <w:rsid w:val="14182E24"/>
    <w:rsid w:val="14863642"/>
    <w:rsid w:val="14887FE3"/>
    <w:rsid w:val="14CE4BC2"/>
    <w:rsid w:val="14EC1C61"/>
    <w:rsid w:val="14F40ECD"/>
    <w:rsid w:val="157C5E3E"/>
    <w:rsid w:val="16425A3D"/>
    <w:rsid w:val="1656474A"/>
    <w:rsid w:val="165D6CB3"/>
    <w:rsid w:val="16747B68"/>
    <w:rsid w:val="168D4A5F"/>
    <w:rsid w:val="16966CFA"/>
    <w:rsid w:val="17263DB1"/>
    <w:rsid w:val="17D5247A"/>
    <w:rsid w:val="17F93839"/>
    <w:rsid w:val="18BA12FB"/>
    <w:rsid w:val="18DF0A6B"/>
    <w:rsid w:val="19661683"/>
    <w:rsid w:val="19866520"/>
    <w:rsid w:val="19DB0D66"/>
    <w:rsid w:val="1A586D24"/>
    <w:rsid w:val="1B0F0693"/>
    <w:rsid w:val="1B366823"/>
    <w:rsid w:val="1BD0657E"/>
    <w:rsid w:val="1C714915"/>
    <w:rsid w:val="1DB05195"/>
    <w:rsid w:val="1E9D5BC4"/>
    <w:rsid w:val="1EC94C27"/>
    <w:rsid w:val="1EE9176C"/>
    <w:rsid w:val="1FDD11A3"/>
    <w:rsid w:val="1FED4841"/>
    <w:rsid w:val="21C91DAE"/>
    <w:rsid w:val="21E33C49"/>
    <w:rsid w:val="220F4F71"/>
    <w:rsid w:val="224A320D"/>
    <w:rsid w:val="229345FB"/>
    <w:rsid w:val="229F5759"/>
    <w:rsid w:val="22AD4BF2"/>
    <w:rsid w:val="22DB05E4"/>
    <w:rsid w:val="22ED6423"/>
    <w:rsid w:val="237C1C3C"/>
    <w:rsid w:val="23B652CE"/>
    <w:rsid w:val="23FA3DB3"/>
    <w:rsid w:val="24841BFD"/>
    <w:rsid w:val="25D80104"/>
    <w:rsid w:val="25F652FA"/>
    <w:rsid w:val="26693DF4"/>
    <w:rsid w:val="270B5105"/>
    <w:rsid w:val="27292E6F"/>
    <w:rsid w:val="273962E4"/>
    <w:rsid w:val="27710E46"/>
    <w:rsid w:val="278316D6"/>
    <w:rsid w:val="278A36ED"/>
    <w:rsid w:val="280F7AA8"/>
    <w:rsid w:val="28101807"/>
    <w:rsid w:val="2849474C"/>
    <w:rsid w:val="284C3595"/>
    <w:rsid w:val="285558FF"/>
    <w:rsid w:val="28AF5639"/>
    <w:rsid w:val="291D4CD1"/>
    <w:rsid w:val="29264159"/>
    <w:rsid w:val="29DE28FE"/>
    <w:rsid w:val="2A1D59B7"/>
    <w:rsid w:val="2AB479C8"/>
    <w:rsid w:val="2B5554F0"/>
    <w:rsid w:val="2BBE7BD1"/>
    <w:rsid w:val="2BCF3A6B"/>
    <w:rsid w:val="2C1B0D9C"/>
    <w:rsid w:val="2C32031E"/>
    <w:rsid w:val="2CBF7461"/>
    <w:rsid w:val="2CD56F4E"/>
    <w:rsid w:val="2CDC277E"/>
    <w:rsid w:val="2CF23D41"/>
    <w:rsid w:val="2CF86FCF"/>
    <w:rsid w:val="2D09034D"/>
    <w:rsid w:val="2D982B2B"/>
    <w:rsid w:val="2DCD1704"/>
    <w:rsid w:val="2E3631E5"/>
    <w:rsid w:val="2E3709AA"/>
    <w:rsid w:val="2E7E3003"/>
    <w:rsid w:val="2EC14CF7"/>
    <w:rsid w:val="2F1F0080"/>
    <w:rsid w:val="2FA26EB6"/>
    <w:rsid w:val="2FE9389D"/>
    <w:rsid w:val="30244CFE"/>
    <w:rsid w:val="30ED7060"/>
    <w:rsid w:val="30FE3C0C"/>
    <w:rsid w:val="313034EA"/>
    <w:rsid w:val="32167BF0"/>
    <w:rsid w:val="325F1C6B"/>
    <w:rsid w:val="328162F5"/>
    <w:rsid w:val="32F80CE2"/>
    <w:rsid w:val="32FD2C0E"/>
    <w:rsid w:val="32FF2430"/>
    <w:rsid w:val="330344C5"/>
    <w:rsid w:val="33741E73"/>
    <w:rsid w:val="338A233A"/>
    <w:rsid w:val="33E72630"/>
    <w:rsid w:val="340A48D2"/>
    <w:rsid w:val="341B6F1A"/>
    <w:rsid w:val="342A12F0"/>
    <w:rsid w:val="350B192E"/>
    <w:rsid w:val="359B2845"/>
    <w:rsid w:val="36345EEA"/>
    <w:rsid w:val="363D31D1"/>
    <w:rsid w:val="3689343F"/>
    <w:rsid w:val="36E336FA"/>
    <w:rsid w:val="37643EED"/>
    <w:rsid w:val="37663E6F"/>
    <w:rsid w:val="37C526AA"/>
    <w:rsid w:val="38081237"/>
    <w:rsid w:val="38252AAD"/>
    <w:rsid w:val="385C2877"/>
    <w:rsid w:val="387B329C"/>
    <w:rsid w:val="387E0E47"/>
    <w:rsid w:val="38DC5A05"/>
    <w:rsid w:val="3A23459E"/>
    <w:rsid w:val="3A82463C"/>
    <w:rsid w:val="3AEE65BD"/>
    <w:rsid w:val="3B455C1D"/>
    <w:rsid w:val="3B707977"/>
    <w:rsid w:val="3B766F88"/>
    <w:rsid w:val="3C795D45"/>
    <w:rsid w:val="3C9B232D"/>
    <w:rsid w:val="3C9C048A"/>
    <w:rsid w:val="3CB74DA0"/>
    <w:rsid w:val="3CD536E2"/>
    <w:rsid w:val="3CEF6556"/>
    <w:rsid w:val="3DA54139"/>
    <w:rsid w:val="3DF13806"/>
    <w:rsid w:val="3EA57D92"/>
    <w:rsid w:val="3EEE6DC2"/>
    <w:rsid w:val="3EF10C97"/>
    <w:rsid w:val="3F6343AB"/>
    <w:rsid w:val="3FB55ABC"/>
    <w:rsid w:val="3FFD7E20"/>
    <w:rsid w:val="40333683"/>
    <w:rsid w:val="41153A37"/>
    <w:rsid w:val="416559A5"/>
    <w:rsid w:val="418B5245"/>
    <w:rsid w:val="41F50F2F"/>
    <w:rsid w:val="420740A2"/>
    <w:rsid w:val="42353485"/>
    <w:rsid w:val="428761B5"/>
    <w:rsid w:val="42E71A52"/>
    <w:rsid w:val="4300507B"/>
    <w:rsid w:val="434069F5"/>
    <w:rsid w:val="442B2D19"/>
    <w:rsid w:val="4463034C"/>
    <w:rsid w:val="446F1746"/>
    <w:rsid w:val="4476662F"/>
    <w:rsid w:val="44BD4DAB"/>
    <w:rsid w:val="453E7040"/>
    <w:rsid w:val="45647D1F"/>
    <w:rsid w:val="466C691A"/>
    <w:rsid w:val="46D10194"/>
    <w:rsid w:val="46E30709"/>
    <w:rsid w:val="471926FE"/>
    <w:rsid w:val="47195ED8"/>
    <w:rsid w:val="472F78EA"/>
    <w:rsid w:val="47F47502"/>
    <w:rsid w:val="4863501F"/>
    <w:rsid w:val="486B5DE0"/>
    <w:rsid w:val="48A6413A"/>
    <w:rsid w:val="48BE0532"/>
    <w:rsid w:val="491A4769"/>
    <w:rsid w:val="493A685C"/>
    <w:rsid w:val="494D6293"/>
    <w:rsid w:val="49616C7F"/>
    <w:rsid w:val="497A2811"/>
    <w:rsid w:val="49A06FFD"/>
    <w:rsid w:val="4A561A83"/>
    <w:rsid w:val="4A666FA9"/>
    <w:rsid w:val="4AEF71F2"/>
    <w:rsid w:val="4AF929A9"/>
    <w:rsid w:val="4B431BC0"/>
    <w:rsid w:val="4B8E71BC"/>
    <w:rsid w:val="4B9C0FB5"/>
    <w:rsid w:val="4BA35625"/>
    <w:rsid w:val="4BED3B86"/>
    <w:rsid w:val="4BF56495"/>
    <w:rsid w:val="4C5F2B64"/>
    <w:rsid w:val="4D815A20"/>
    <w:rsid w:val="4DE66281"/>
    <w:rsid w:val="4E3F33D0"/>
    <w:rsid w:val="4E677AC3"/>
    <w:rsid w:val="4F2F3703"/>
    <w:rsid w:val="4F4D4001"/>
    <w:rsid w:val="4F5728DC"/>
    <w:rsid w:val="4F66424D"/>
    <w:rsid w:val="4FF07632"/>
    <w:rsid w:val="4FF87EB9"/>
    <w:rsid w:val="50112E52"/>
    <w:rsid w:val="50125E3D"/>
    <w:rsid w:val="506F328F"/>
    <w:rsid w:val="50B05D80"/>
    <w:rsid w:val="513D7EDA"/>
    <w:rsid w:val="51AF398B"/>
    <w:rsid w:val="51BE6FF5"/>
    <w:rsid w:val="520A6223"/>
    <w:rsid w:val="520D26A3"/>
    <w:rsid w:val="523C5A16"/>
    <w:rsid w:val="527A38EF"/>
    <w:rsid w:val="529754ED"/>
    <w:rsid w:val="52FC20C4"/>
    <w:rsid w:val="532C2252"/>
    <w:rsid w:val="5353545D"/>
    <w:rsid w:val="535B4023"/>
    <w:rsid w:val="53E63DE5"/>
    <w:rsid w:val="5427076F"/>
    <w:rsid w:val="542F3BA1"/>
    <w:rsid w:val="546B24C7"/>
    <w:rsid w:val="54C50130"/>
    <w:rsid w:val="54CA02A1"/>
    <w:rsid w:val="55A446D4"/>
    <w:rsid w:val="5636643F"/>
    <w:rsid w:val="566E6FDE"/>
    <w:rsid w:val="56A8176B"/>
    <w:rsid w:val="56A93FDE"/>
    <w:rsid w:val="56EF34BE"/>
    <w:rsid w:val="579F5997"/>
    <w:rsid w:val="57DC4092"/>
    <w:rsid w:val="581315E1"/>
    <w:rsid w:val="58CF27D9"/>
    <w:rsid w:val="58D21141"/>
    <w:rsid w:val="5957775F"/>
    <w:rsid w:val="59635AF4"/>
    <w:rsid w:val="59BF3961"/>
    <w:rsid w:val="5A5B12C4"/>
    <w:rsid w:val="5A6C3440"/>
    <w:rsid w:val="5AC642EA"/>
    <w:rsid w:val="5B072A13"/>
    <w:rsid w:val="5BD95A5B"/>
    <w:rsid w:val="5C0D4124"/>
    <w:rsid w:val="5C0E5C4D"/>
    <w:rsid w:val="5C64028B"/>
    <w:rsid w:val="5C787DCA"/>
    <w:rsid w:val="5C9F2A1E"/>
    <w:rsid w:val="5CAF68D3"/>
    <w:rsid w:val="5CCE20A1"/>
    <w:rsid w:val="5CD264B6"/>
    <w:rsid w:val="5D7B6442"/>
    <w:rsid w:val="5DDB535C"/>
    <w:rsid w:val="5E1D4502"/>
    <w:rsid w:val="5E224F1E"/>
    <w:rsid w:val="5E280456"/>
    <w:rsid w:val="5E367F00"/>
    <w:rsid w:val="5E9900EF"/>
    <w:rsid w:val="5F101FAC"/>
    <w:rsid w:val="5F533996"/>
    <w:rsid w:val="5F6353C0"/>
    <w:rsid w:val="61513795"/>
    <w:rsid w:val="61813765"/>
    <w:rsid w:val="62CB2DEA"/>
    <w:rsid w:val="62D0186E"/>
    <w:rsid w:val="63077E28"/>
    <w:rsid w:val="63DF069D"/>
    <w:rsid w:val="64512509"/>
    <w:rsid w:val="64B72AA5"/>
    <w:rsid w:val="65733FF2"/>
    <w:rsid w:val="65EA504D"/>
    <w:rsid w:val="66120C36"/>
    <w:rsid w:val="661E7ED9"/>
    <w:rsid w:val="66436F02"/>
    <w:rsid w:val="666D7E19"/>
    <w:rsid w:val="66DE22DC"/>
    <w:rsid w:val="66E55C01"/>
    <w:rsid w:val="67085902"/>
    <w:rsid w:val="674C249E"/>
    <w:rsid w:val="67FD181E"/>
    <w:rsid w:val="67FF0E5D"/>
    <w:rsid w:val="68157D0A"/>
    <w:rsid w:val="68745474"/>
    <w:rsid w:val="68D61693"/>
    <w:rsid w:val="697D1558"/>
    <w:rsid w:val="69B15B5C"/>
    <w:rsid w:val="69B4596C"/>
    <w:rsid w:val="6A0B7D2D"/>
    <w:rsid w:val="6A2A7F89"/>
    <w:rsid w:val="6A382E6D"/>
    <w:rsid w:val="6A451B8F"/>
    <w:rsid w:val="6A5C2384"/>
    <w:rsid w:val="6A5E1AAE"/>
    <w:rsid w:val="6A8C4B12"/>
    <w:rsid w:val="6AA25F18"/>
    <w:rsid w:val="6B942FF8"/>
    <w:rsid w:val="6C0D3ABD"/>
    <w:rsid w:val="6C2F7FCF"/>
    <w:rsid w:val="6C564A2C"/>
    <w:rsid w:val="6C72441C"/>
    <w:rsid w:val="6C8F0234"/>
    <w:rsid w:val="6DEF346A"/>
    <w:rsid w:val="6E651935"/>
    <w:rsid w:val="6E7169B2"/>
    <w:rsid w:val="6EE43963"/>
    <w:rsid w:val="6F7E594E"/>
    <w:rsid w:val="6FC73359"/>
    <w:rsid w:val="6FEE3766"/>
    <w:rsid w:val="708B5693"/>
    <w:rsid w:val="70A262D4"/>
    <w:rsid w:val="712C3E28"/>
    <w:rsid w:val="71E40816"/>
    <w:rsid w:val="71EC42E8"/>
    <w:rsid w:val="71FA422C"/>
    <w:rsid w:val="71FF76BF"/>
    <w:rsid w:val="7289572C"/>
    <w:rsid w:val="72A44BC2"/>
    <w:rsid w:val="730B464C"/>
    <w:rsid w:val="730E3D4F"/>
    <w:rsid w:val="734F1FA3"/>
    <w:rsid w:val="7364649D"/>
    <w:rsid w:val="737D5039"/>
    <w:rsid w:val="73E76DB8"/>
    <w:rsid w:val="740E1F0C"/>
    <w:rsid w:val="743B2172"/>
    <w:rsid w:val="7457131C"/>
    <w:rsid w:val="74637395"/>
    <w:rsid w:val="74A500D1"/>
    <w:rsid w:val="74F752F5"/>
    <w:rsid w:val="75564F56"/>
    <w:rsid w:val="75A42401"/>
    <w:rsid w:val="7610159B"/>
    <w:rsid w:val="76B4249D"/>
    <w:rsid w:val="76F653BF"/>
    <w:rsid w:val="77682B99"/>
    <w:rsid w:val="77CE1B5B"/>
    <w:rsid w:val="7839253A"/>
    <w:rsid w:val="78545B85"/>
    <w:rsid w:val="78560196"/>
    <w:rsid w:val="789E340A"/>
    <w:rsid w:val="79275416"/>
    <w:rsid w:val="7A136C6B"/>
    <w:rsid w:val="7AE21DC0"/>
    <w:rsid w:val="7B6E48BB"/>
    <w:rsid w:val="7BAE3CC4"/>
    <w:rsid w:val="7BCF7BBB"/>
    <w:rsid w:val="7C084F0E"/>
    <w:rsid w:val="7C101ABA"/>
    <w:rsid w:val="7C540C4B"/>
    <w:rsid w:val="7C6D550A"/>
    <w:rsid w:val="7C9E7A01"/>
    <w:rsid w:val="7CBC527A"/>
    <w:rsid w:val="7CC4574B"/>
    <w:rsid w:val="7CF8756D"/>
    <w:rsid w:val="7E09220C"/>
    <w:rsid w:val="7E0A1EA6"/>
    <w:rsid w:val="7E6C387B"/>
    <w:rsid w:val="7E8D34A6"/>
    <w:rsid w:val="7EDD3B81"/>
    <w:rsid w:val="7F0D7464"/>
    <w:rsid w:val="7F32323D"/>
    <w:rsid w:val="7F3F7A80"/>
    <w:rsid w:val="FF5BEB63"/>
    <w:rsid w:val="FFE35E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iPriority="99" w:name="index 8"/>
    <w:lsdException w:unhideWhenUsed="0" w:uiPriority="0" w:semiHidden="0" w:name="index 9"/>
    <w:lsdException w:qFormat="1" w:unhideWhenUsed="0" w:uiPriority="0" w:name="toc 1"/>
    <w:lsdException w:qFormat="1" w:uiPriority="39"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99" w:name="Body Text 2"/>
    <w:lsdException w:qFormat="1" w:unhideWhenUsed="0" w:uiPriority="99" w:semiHidden="0" w:name="Body Text 3"/>
    <w:lsdException w:qFormat="1" w:unhideWhenUsed="0" w:uiPriority="99" w:name="Body Text Indent 2"/>
    <w:lsdException w:qFormat="1" w:unhideWhenUsed="0" w:uiPriority="99"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4"/>
    <w:qFormat/>
    <w:uiPriority w:val="0"/>
    <w:pPr>
      <w:keepNext/>
      <w:keepLines/>
      <w:spacing w:before="340" w:after="330" w:line="578" w:lineRule="auto"/>
      <w:outlineLvl w:val="0"/>
    </w:pPr>
    <w:rPr>
      <w:b/>
      <w:bCs/>
      <w:kern w:val="44"/>
      <w:sz w:val="36"/>
      <w:szCs w:val="44"/>
    </w:rPr>
  </w:style>
  <w:style w:type="paragraph" w:styleId="4">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31">
    <w:name w:val="Default Paragraph Font"/>
    <w:autoRedefine/>
    <w:semiHidden/>
    <w:unhideWhenUsed/>
    <w:qFormat/>
    <w:uiPriority w:val="1"/>
  </w:style>
  <w:style w:type="table" w:default="1" w:styleId="29">
    <w:name w:val="Normal Table"/>
    <w:semiHidden/>
    <w:unhideWhenUsed/>
    <w:qFormat/>
    <w:uiPriority w:val="99"/>
    <w:tblPr>
      <w:tblCellMar>
        <w:top w:w="0" w:type="dxa"/>
        <w:left w:w="108" w:type="dxa"/>
        <w:bottom w:w="0" w:type="dxa"/>
        <w:right w:w="108" w:type="dxa"/>
      </w:tblCellMar>
    </w:tblPr>
  </w:style>
  <w:style w:type="paragraph" w:customStyle="1" w:styleId="2">
    <w:name w:val="_Style 3"/>
    <w:qFormat/>
    <w:uiPriority w:val="1"/>
    <w:pPr>
      <w:widowControl w:val="0"/>
      <w:jc w:val="both"/>
    </w:pPr>
    <w:rPr>
      <w:rFonts w:ascii="Times New Roman" w:hAnsi="Times New Roman" w:eastAsia="宋体" w:cs="Times New Roman"/>
      <w:kern w:val="2"/>
      <w:sz w:val="21"/>
      <w:szCs w:val="22"/>
      <w:lang w:val="en-US" w:eastAsia="zh-CN" w:bidi="ar-SA"/>
    </w:rPr>
  </w:style>
  <w:style w:type="paragraph" w:styleId="6">
    <w:name w:val="index 8"/>
    <w:basedOn w:val="1"/>
    <w:next w:val="1"/>
    <w:semiHidden/>
    <w:unhideWhenUsed/>
    <w:qFormat/>
    <w:uiPriority w:val="99"/>
    <w:pPr>
      <w:ind w:left="1400" w:leftChars="1400"/>
    </w:pPr>
  </w:style>
  <w:style w:type="paragraph" w:styleId="7">
    <w:name w:val="Normal Indent"/>
    <w:basedOn w:val="1"/>
    <w:qFormat/>
    <w:uiPriority w:val="99"/>
    <w:pPr>
      <w:ind w:firstLine="420"/>
    </w:pPr>
    <w:rPr>
      <w:rFonts w:cs="Times New Roman"/>
    </w:rPr>
  </w:style>
  <w:style w:type="paragraph" w:styleId="8">
    <w:name w:val="toa heading"/>
    <w:basedOn w:val="1"/>
    <w:next w:val="1"/>
    <w:qFormat/>
    <w:uiPriority w:val="0"/>
    <w:pPr>
      <w:spacing w:before="120"/>
    </w:pPr>
    <w:rPr>
      <w:rFonts w:ascii="Arial" w:hAnsi="Arial"/>
      <w:sz w:val="24"/>
    </w:rPr>
  </w:style>
  <w:style w:type="paragraph" w:styleId="9">
    <w:name w:val="annotation text"/>
    <w:basedOn w:val="1"/>
    <w:autoRedefine/>
    <w:qFormat/>
    <w:uiPriority w:val="0"/>
    <w:pPr>
      <w:jc w:val="left"/>
    </w:pPr>
  </w:style>
  <w:style w:type="paragraph" w:styleId="10">
    <w:name w:val="Body Text 3"/>
    <w:basedOn w:val="1"/>
    <w:next w:val="1"/>
    <w:qFormat/>
    <w:uiPriority w:val="99"/>
    <w:pPr>
      <w:spacing w:after="120"/>
    </w:pPr>
    <w:rPr>
      <w:rFonts w:ascii="Times New Roman" w:hAnsi="Times New Roman" w:cs="Times New Roman"/>
      <w:kern w:val="0"/>
      <w:sz w:val="16"/>
      <w:szCs w:val="16"/>
    </w:rPr>
  </w:style>
  <w:style w:type="paragraph" w:styleId="11">
    <w:name w:val="Body Text"/>
    <w:basedOn w:val="1"/>
    <w:next w:val="1"/>
    <w:link w:val="44"/>
    <w:qFormat/>
    <w:uiPriority w:val="0"/>
    <w:pPr>
      <w:spacing w:after="120"/>
    </w:pPr>
  </w:style>
  <w:style w:type="paragraph" w:styleId="12">
    <w:name w:val="Body Text Indent"/>
    <w:basedOn w:val="1"/>
    <w:unhideWhenUsed/>
    <w:qFormat/>
    <w:uiPriority w:val="99"/>
    <w:pPr>
      <w:spacing w:after="120"/>
      <w:ind w:left="420" w:leftChars="200"/>
    </w:pPr>
  </w:style>
  <w:style w:type="paragraph" w:styleId="13">
    <w:name w:val="Block Text"/>
    <w:qFormat/>
    <w:uiPriority w:val="0"/>
    <w:pPr>
      <w:widowControl w:val="0"/>
      <w:spacing w:line="440" w:lineRule="exact"/>
      <w:ind w:left="-540" w:leftChars="-257" w:right="-334" w:rightChars="-159" w:firstLine="1140"/>
      <w:jc w:val="both"/>
    </w:pPr>
    <w:rPr>
      <w:rFonts w:ascii="Times New Roman" w:hAnsi="Times New Roman" w:eastAsia="宋体" w:cs="Times New Roman"/>
      <w:kern w:val="2"/>
      <w:sz w:val="24"/>
      <w:szCs w:val="20"/>
      <w:lang w:val="en-US" w:eastAsia="zh-CN" w:bidi="ar-SA"/>
    </w:rPr>
  </w:style>
  <w:style w:type="paragraph" w:styleId="14">
    <w:name w:val="toc 3"/>
    <w:basedOn w:val="1"/>
    <w:next w:val="1"/>
    <w:qFormat/>
    <w:uiPriority w:val="0"/>
    <w:pPr>
      <w:ind w:left="420"/>
      <w:jc w:val="left"/>
    </w:pPr>
    <w:rPr>
      <w:rFonts w:ascii="Calibri" w:hAnsi="Calibri"/>
      <w:i/>
      <w:iCs/>
      <w:sz w:val="20"/>
      <w:szCs w:val="20"/>
    </w:rPr>
  </w:style>
  <w:style w:type="paragraph" w:styleId="15">
    <w:name w:val="Plain Text"/>
    <w:basedOn w:val="1"/>
    <w:link w:val="42"/>
    <w:qFormat/>
    <w:uiPriority w:val="0"/>
    <w:rPr>
      <w:rFonts w:ascii="宋体" w:hAnsi="Courier New" w:eastAsia="Times New Roman" w:cs="Times New Roman"/>
      <w:szCs w:val="20"/>
    </w:rPr>
  </w:style>
  <w:style w:type="paragraph" w:styleId="16">
    <w:name w:val="Date"/>
    <w:basedOn w:val="1"/>
    <w:next w:val="1"/>
    <w:qFormat/>
    <w:uiPriority w:val="0"/>
    <w:pPr>
      <w:widowControl w:val="0"/>
      <w:jc w:val="both"/>
    </w:pPr>
    <w:rPr>
      <w:rFonts w:ascii="楷体_GB2312" w:eastAsia="楷体_GB2312"/>
      <w:kern w:val="2"/>
      <w:sz w:val="28"/>
    </w:rPr>
  </w:style>
  <w:style w:type="paragraph" w:styleId="17">
    <w:name w:val="Body Text Indent 2"/>
    <w:basedOn w:val="1"/>
    <w:next w:val="1"/>
    <w:semiHidden/>
    <w:qFormat/>
    <w:uiPriority w:val="99"/>
    <w:pPr>
      <w:tabs>
        <w:tab w:val="left" w:pos="4970"/>
      </w:tabs>
      <w:spacing w:line="360" w:lineRule="auto"/>
      <w:ind w:firstLine="480" w:firstLineChars="200"/>
    </w:pPr>
    <w:rPr>
      <w:rFonts w:ascii="Times New Roman" w:hAnsi="Times New Roman" w:cs="Times New Roman"/>
      <w:kern w:val="0"/>
      <w:sz w:val="24"/>
      <w:szCs w:val="24"/>
    </w:rPr>
  </w:style>
  <w:style w:type="paragraph" w:styleId="18">
    <w:name w:val="Balloon Text"/>
    <w:basedOn w:val="1"/>
    <w:link w:val="41"/>
    <w:qFormat/>
    <w:uiPriority w:val="0"/>
    <w:rPr>
      <w:sz w:val="18"/>
      <w:szCs w:val="18"/>
    </w:rPr>
  </w:style>
  <w:style w:type="paragraph" w:styleId="19">
    <w:name w:val="footer"/>
    <w:basedOn w:val="1"/>
    <w:link w:val="40"/>
    <w:qFormat/>
    <w:uiPriority w:val="0"/>
    <w:pPr>
      <w:tabs>
        <w:tab w:val="center" w:pos="4153"/>
        <w:tab w:val="right" w:pos="8306"/>
      </w:tabs>
      <w:snapToGrid w:val="0"/>
      <w:jc w:val="left"/>
    </w:pPr>
    <w:rPr>
      <w:sz w:val="18"/>
      <w:szCs w:val="18"/>
    </w:rPr>
  </w:style>
  <w:style w:type="paragraph" w:styleId="20">
    <w:name w:val="header"/>
    <w:basedOn w:val="1"/>
    <w:link w:val="39"/>
    <w:autoRedefine/>
    <w:qFormat/>
    <w:uiPriority w:val="0"/>
    <w:pPr>
      <w:pBdr>
        <w:bottom w:val="single" w:color="auto" w:sz="6" w:space="1"/>
      </w:pBdr>
      <w:tabs>
        <w:tab w:val="center" w:pos="4153"/>
        <w:tab w:val="right" w:pos="8306"/>
      </w:tabs>
      <w:snapToGrid w:val="0"/>
      <w:jc w:val="center"/>
    </w:pPr>
    <w:rPr>
      <w:sz w:val="18"/>
      <w:szCs w:val="18"/>
    </w:rPr>
  </w:style>
  <w:style w:type="paragraph" w:styleId="21">
    <w:name w:val="toc 1"/>
    <w:basedOn w:val="1"/>
    <w:next w:val="1"/>
    <w:semiHidden/>
    <w:qFormat/>
    <w:uiPriority w:val="0"/>
  </w:style>
  <w:style w:type="paragraph" w:styleId="22">
    <w:name w:val="Body Text Indent 3"/>
    <w:basedOn w:val="1"/>
    <w:next w:val="1"/>
    <w:semiHidden/>
    <w:qFormat/>
    <w:uiPriority w:val="99"/>
    <w:pPr>
      <w:spacing w:line="360" w:lineRule="auto"/>
      <w:ind w:left="1978" w:leftChars="942"/>
    </w:pPr>
    <w:rPr>
      <w:rFonts w:ascii="Times New Roman" w:hAnsi="宋体" w:cs="Times New Roman"/>
      <w:kern w:val="0"/>
      <w:sz w:val="24"/>
      <w:szCs w:val="24"/>
    </w:rPr>
  </w:style>
  <w:style w:type="paragraph" w:styleId="23">
    <w:name w:val="toc 2"/>
    <w:basedOn w:val="1"/>
    <w:next w:val="1"/>
    <w:unhideWhenUsed/>
    <w:qFormat/>
    <w:uiPriority w:val="39"/>
    <w:pPr>
      <w:ind w:left="420" w:leftChars="200"/>
    </w:pPr>
  </w:style>
  <w:style w:type="paragraph" w:styleId="24">
    <w:name w:val="Body Text 2"/>
    <w:basedOn w:val="1"/>
    <w:next w:val="1"/>
    <w:semiHidden/>
    <w:qFormat/>
    <w:uiPriority w:val="99"/>
    <w:rPr>
      <w:rFonts w:ascii="Times New Roman" w:hAnsi="Times New Roman" w:eastAsia="楷体_GB2312" w:cs="Times New Roman"/>
      <w:b/>
      <w:bCs/>
      <w:kern w:val="0"/>
      <w:sz w:val="24"/>
      <w:szCs w:val="24"/>
    </w:rPr>
  </w:style>
  <w:style w:type="paragraph" w:styleId="25">
    <w:name w:val="Normal (Web)"/>
    <w:basedOn w:val="1"/>
    <w:qFormat/>
    <w:uiPriority w:val="0"/>
    <w:pPr>
      <w:spacing w:beforeAutospacing="1" w:afterAutospacing="1"/>
      <w:jc w:val="left"/>
    </w:pPr>
    <w:rPr>
      <w:rFonts w:cs="Times New Roman"/>
      <w:kern w:val="0"/>
      <w:sz w:val="24"/>
    </w:rPr>
  </w:style>
  <w:style w:type="paragraph" w:styleId="26">
    <w:name w:val="Title"/>
    <w:basedOn w:val="1"/>
    <w:next w:val="1"/>
    <w:qFormat/>
    <w:uiPriority w:val="0"/>
    <w:pPr>
      <w:widowControl w:val="0"/>
      <w:spacing w:before="240" w:after="60"/>
      <w:ind w:left="0" w:right="0"/>
      <w:jc w:val="center"/>
      <w:outlineLvl w:val="0"/>
    </w:pPr>
    <w:rPr>
      <w:rFonts w:ascii="Calibri Light" w:hAnsi="Calibri Light"/>
      <w:b/>
      <w:kern w:val="2"/>
      <w:sz w:val="32"/>
      <w:szCs w:val="32"/>
    </w:rPr>
  </w:style>
  <w:style w:type="paragraph" w:styleId="27">
    <w:name w:val="Body Text First Indent"/>
    <w:basedOn w:val="11"/>
    <w:link w:val="45"/>
    <w:qFormat/>
    <w:uiPriority w:val="0"/>
    <w:pPr>
      <w:tabs>
        <w:tab w:val="left" w:pos="420"/>
        <w:tab w:val="left" w:pos="720"/>
      </w:tabs>
      <w:ind w:firstLine="560" w:firstLineChars="200"/>
      <w:jc w:val="left"/>
    </w:pPr>
    <w:rPr>
      <w:rFonts w:ascii="Arial" w:hAnsi="Arial" w:eastAsia="宋体" w:cs="Times New Roman"/>
    </w:rPr>
  </w:style>
  <w:style w:type="paragraph" w:styleId="28">
    <w:name w:val="Body Text First Indent 2"/>
    <w:basedOn w:val="12"/>
    <w:qFormat/>
    <w:uiPriority w:val="0"/>
  </w:style>
  <w:style w:type="table" w:styleId="30">
    <w:name w:val="Table Grid"/>
    <w:basedOn w:val="2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2">
    <w:name w:val="Strong"/>
    <w:basedOn w:val="31"/>
    <w:qFormat/>
    <w:uiPriority w:val="0"/>
    <w:rPr>
      <w:b/>
    </w:rPr>
  </w:style>
  <w:style w:type="character" w:styleId="33">
    <w:name w:val="page number"/>
    <w:basedOn w:val="31"/>
    <w:qFormat/>
    <w:uiPriority w:val="0"/>
  </w:style>
  <w:style w:type="character" w:styleId="34">
    <w:name w:val="FollowedHyperlink"/>
    <w:basedOn w:val="31"/>
    <w:qFormat/>
    <w:uiPriority w:val="0"/>
    <w:rPr>
      <w:color w:val="333333"/>
      <w:u w:val="none"/>
    </w:rPr>
  </w:style>
  <w:style w:type="character" w:styleId="35">
    <w:name w:val="Hyperlink"/>
    <w:basedOn w:val="31"/>
    <w:qFormat/>
    <w:uiPriority w:val="0"/>
    <w:rPr>
      <w:color w:val="333333"/>
      <w:u w:val="none"/>
    </w:rPr>
  </w:style>
  <w:style w:type="character" w:styleId="36">
    <w:name w:val="annotation reference"/>
    <w:qFormat/>
    <w:uiPriority w:val="99"/>
    <w:rPr>
      <w:sz w:val="21"/>
      <w:szCs w:val="21"/>
    </w:rPr>
  </w:style>
  <w:style w:type="paragraph" w:customStyle="1" w:styleId="37">
    <w:name w:val="默认格式"/>
    <w:basedOn w:val="1"/>
    <w:next w:val="1"/>
    <w:qFormat/>
    <w:uiPriority w:val="0"/>
    <w:pPr>
      <w:adjustRightInd w:val="0"/>
      <w:snapToGrid w:val="0"/>
      <w:spacing w:line="360" w:lineRule="auto"/>
      <w:jc w:val="center"/>
    </w:pPr>
    <w:rPr>
      <w:sz w:val="24"/>
      <w:szCs w:val="22"/>
    </w:rPr>
  </w:style>
  <w:style w:type="paragraph" w:customStyle="1" w:styleId="38">
    <w:name w:val="正文正"/>
    <w:basedOn w:val="1"/>
    <w:qFormat/>
    <w:uiPriority w:val="0"/>
    <w:pPr>
      <w:spacing w:line="560" w:lineRule="exact"/>
      <w:ind w:firstLine="561"/>
    </w:pPr>
    <w:rPr>
      <w:rFonts w:eastAsia="仿宋_GB2312"/>
      <w:sz w:val="28"/>
    </w:rPr>
  </w:style>
  <w:style w:type="character" w:customStyle="1" w:styleId="39">
    <w:name w:val="页眉 字符"/>
    <w:basedOn w:val="31"/>
    <w:link w:val="20"/>
    <w:qFormat/>
    <w:uiPriority w:val="0"/>
    <w:rPr>
      <w:rFonts w:asciiTheme="minorHAnsi" w:hAnsiTheme="minorHAnsi" w:eastAsiaTheme="minorEastAsia" w:cstheme="minorBidi"/>
      <w:kern w:val="2"/>
      <w:sz w:val="18"/>
      <w:szCs w:val="18"/>
    </w:rPr>
  </w:style>
  <w:style w:type="character" w:customStyle="1" w:styleId="40">
    <w:name w:val="页脚 字符"/>
    <w:basedOn w:val="31"/>
    <w:link w:val="19"/>
    <w:autoRedefine/>
    <w:qFormat/>
    <w:uiPriority w:val="0"/>
    <w:rPr>
      <w:rFonts w:asciiTheme="minorHAnsi" w:hAnsiTheme="minorHAnsi" w:eastAsiaTheme="minorEastAsia" w:cstheme="minorBidi"/>
      <w:kern w:val="2"/>
      <w:sz w:val="18"/>
      <w:szCs w:val="18"/>
    </w:rPr>
  </w:style>
  <w:style w:type="character" w:customStyle="1" w:styleId="41">
    <w:name w:val="批注框文本 字符"/>
    <w:basedOn w:val="31"/>
    <w:link w:val="18"/>
    <w:qFormat/>
    <w:uiPriority w:val="0"/>
    <w:rPr>
      <w:rFonts w:asciiTheme="minorHAnsi" w:hAnsiTheme="minorHAnsi" w:eastAsiaTheme="minorEastAsia" w:cstheme="minorBidi"/>
      <w:kern w:val="2"/>
      <w:sz w:val="18"/>
      <w:szCs w:val="18"/>
    </w:rPr>
  </w:style>
  <w:style w:type="character" w:customStyle="1" w:styleId="42">
    <w:name w:val="纯文本 字符"/>
    <w:basedOn w:val="31"/>
    <w:link w:val="15"/>
    <w:qFormat/>
    <w:uiPriority w:val="0"/>
    <w:rPr>
      <w:rFonts w:ascii="宋体" w:hAnsi="Courier New" w:eastAsia="Times New Roman"/>
      <w:kern w:val="2"/>
      <w:sz w:val="21"/>
    </w:rPr>
  </w:style>
  <w:style w:type="paragraph" w:customStyle="1" w:styleId="43">
    <w:name w:val="Table Paragraph"/>
    <w:basedOn w:val="1"/>
    <w:autoRedefine/>
    <w:qFormat/>
    <w:uiPriority w:val="1"/>
    <w:pPr>
      <w:jc w:val="left"/>
    </w:pPr>
    <w:rPr>
      <w:kern w:val="0"/>
      <w:sz w:val="22"/>
      <w:lang w:eastAsia="en-US"/>
    </w:rPr>
  </w:style>
  <w:style w:type="character" w:customStyle="1" w:styleId="44">
    <w:name w:val="正文文本 字符"/>
    <w:basedOn w:val="31"/>
    <w:link w:val="11"/>
    <w:autoRedefine/>
    <w:qFormat/>
    <w:uiPriority w:val="0"/>
    <w:rPr>
      <w:rFonts w:asciiTheme="minorHAnsi" w:hAnsiTheme="minorHAnsi" w:eastAsiaTheme="minorEastAsia" w:cstheme="minorBidi"/>
      <w:kern w:val="2"/>
      <w:sz w:val="21"/>
      <w:szCs w:val="24"/>
    </w:rPr>
  </w:style>
  <w:style w:type="character" w:customStyle="1" w:styleId="45">
    <w:name w:val="正文文本首行缩进 字符"/>
    <w:basedOn w:val="44"/>
    <w:link w:val="27"/>
    <w:autoRedefine/>
    <w:qFormat/>
    <w:uiPriority w:val="0"/>
    <w:rPr>
      <w:rFonts w:ascii="Arial" w:hAnsi="Arial" w:eastAsiaTheme="minorEastAsia" w:cstheme="minorBidi"/>
      <w:kern w:val="2"/>
      <w:sz w:val="21"/>
      <w:szCs w:val="24"/>
    </w:rPr>
  </w:style>
  <w:style w:type="paragraph" w:styleId="46">
    <w:name w:val="List Paragraph"/>
    <w:basedOn w:val="1"/>
    <w:qFormat/>
    <w:uiPriority w:val="99"/>
    <w:pPr>
      <w:ind w:firstLine="420" w:firstLineChars="200"/>
    </w:pPr>
  </w:style>
  <w:style w:type="character" w:customStyle="1" w:styleId="47">
    <w:name w:val="font41"/>
    <w:basedOn w:val="31"/>
    <w:qFormat/>
    <w:uiPriority w:val="0"/>
    <w:rPr>
      <w:rFonts w:hint="default" w:ascii="Times New Roman" w:hAnsi="Times New Roman" w:cs="Times New Roman"/>
      <w:b/>
      <w:bCs/>
      <w:color w:val="000000"/>
      <w:sz w:val="32"/>
      <w:szCs w:val="32"/>
      <w:u w:val="none"/>
    </w:rPr>
  </w:style>
  <w:style w:type="character" w:customStyle="1" w:styleId="48">
    <w:name w:val="font11"/>
    <w:basedOn w:val="31"/>
    <w:qFormat/>
    <w:uiPriority w:val="0"/>
    <w:rPr>
      <w:rFonts w:hint="eastAsia" w:ascii="宋体" w:hAnsi="宋体" w:eastAsia="宋体" w:cs="宋体"/>
      <w:b/>
      <w:bCs/>
      <w:color w:val="000000"/>
      <w:sz w:val="32"/>
      <w:szCs w:val="32"/>
      <w:u w:val="none"/>
    </w:rPr>
  </w:style>
  <w:style w:type="character" w:customStyle="1" w:styleId="49">
    <w:name w:val="font81"/>
    <w:basedOn w:val="31"/>
    <w:autoRedefine/>
    <w:qFormat/>
    <w:uiPriority w:val="0"/>
    <w:rPr>
      <w:rFonts w:hint="default" w:ascii="Times New Roman" w:hAnsi="Times New Roman" w:cs="Times New Roman"/>
      <w:color w:val="000000"/>
      <w:sz w:val="22"/>
      <w:szCs w:val="22"/>
      <w:u w:val="none"/>
    </w:rPr>
  </w:style>
  <w:style w:type="character" w:customStyle="1" w:styleId="50">
    <w:name w:val="font01"/>
    <w:basedOn w:val="31"/>
    <w:autoRedefine/>
    <w:qFormat/>
    <w:uiPriority w:val="0"/>
    <w:rPr>
      <w:rFonts w:hint="eastAsia" w:ascii="宋体" w:hAnsi="宋体" w:eastAsia="宋体" w:cs="宋体"/>
      <w:color w:val="000000"/>
      <w:sz w:val="22"/>
      <w:szCs w:val="22"/>
      <w:u w:val="none"/>
    </w:rPr>
  </w:style>
  <w:style w:type="paragraph" w:customStyle="1" w:styleId="51">
    <w:name w:val="CM39"/>
    <w:basedOn w:val="52"/>
    <w:next w:val="52"/>
    <w:qFormat/>
    <w:uiPriority w:val="0"/>
    <w:rPr>
      <w:color w:val="auto"/>
    </w:rPr>
  </w:style>
  <w:style w:type="paragraph" w:customStyle="1" w:styleId="52">
    <w:name w:val="Default"/>
    <w:next w:val="1"/>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53">
    <w:name w:val="font91"/>
    <w:basedOn w:val="31"/>
    <w:autoRedefine/>
    <w:qFormat/>
    <w:uiPriority w:val="0"/>
    <w:rPr>
      <w:rFonts w:hint="eastAsia" w:ascii="宋体" w:hAnsi="宋体" w:eastAsia="宋体" w:cs="宋体"/>
      <w:b/>
      <w:bCs/>
      <w:color w:val="000000"/>
      <w:sz w:val="20"/>
      <w:szCs w:val="20"/>
      <w:u w:val="none"/>
    </w:rPr>
  </w:style>
  <w:style w:type="character" w:customStyle="1" w:styleId="54">
    <w:name w:val="font101"/>
    <w:basedOn w:val="31"/>
    <w:qFormat/>
    <w:uiPriority w:val="0"/>
    <w:rPr>
      <w:rFonts w:hint="eastAsia" w:ascii="宋体" w:hAnsi="宋体" w:eastAsia="宋体" w:cs="宋体"/>
      <w:color w:val="000000"/>
      <w:sz w:val="20"/>
      <w:szCs w:val="20"/>
      <w:u w:val="none"/>
    </w:rPr>
  </w:style>
  <w:style w:type="character" w:customStyle="1" w:styleId="55">
    <w:name w:val="font31"/>
    <w:basedOn w:val="31"/>
    <w:qFormat/>
    <w:uiPriority w:val="0"/>
    <w:rPr>
      <w:rFonts w:hint="default" w:ascii="Times New Roman" w:hAnsi="Times New Roman" w:cs="Times New Roman"/>
      <w:color w:val="000000"/>
      <w:sz w:val="18"/>
      <w:szCs w:val="18"/>
      <w:u w:val="none"/>
    </w:rPr>
  </w:style>
  <w:style w:type="character" w:customStyle="1" w:styleId="56">
    <w:name w:val="font112"/>
    <w:basedOn w:val="31"/>
    <w:autoRedefine/>
    <w:qFormat/>
    <w:uiPriority w:val="0"/>
    <w:rPr>
      <w:rFonts w:hint="eastAsia" w:ascii="宋体" w:hAnsi="宋体" w:eastAsia="宋体" w:cs="宋体"/>
      <w:color w:val="000000"/>
      <w:sz w:val="20"/>
      <w:szCs w:val="20"/>
      <w:u w:val="none"/>
    </w:rPr>
  </w:style>
  <w:style w:type="character" w:customStyle="1" w:styleId="57">
    <w:name w:val="font71"/>
    <w:basedOn w:val="31"/>
    <w:autoRedefine/>
    <w:qFormat/>
    <w:uiPriority w:val="0"/>
    <w:rPr>
      <w:rFonts w:hint="default" w:ascii="Times New Roman" w:hAnsi="Times New Roman" w:cs="Times New Roman"/>
      <w:color w:val="000000"/>
      <w:sz w:val="18"/>
      <w:szCs w:val="18"/>
      <w:u w:val="none"/>
    </w:rPr>
  </w:style>
  <w:style w:type="character" w:customStyle="1" w:styleId="58">
    <w:name w:val="font21"/>
    <w:basedOn w:val="31"/>
    <w:qFormat/>
    <w:uiPriority w:val="0"/>
    <w:rPr>
      <w:rFonts w:hint="eastAsia" w:ascii="宋体" w:hAnsi="宋体" w:eastAsia="宋体" w:cs="宋体"/>
      <w:color w:val="000000"/>
      <w:sz w:val="24"/>
      <w:szCs w:val="24"/>
      <w:u w:val="none"/>
    </w:rPr>
  </w:style>
  <w:style w:type="character" w:customStyle="1" w:styleId="59">
    <w:name w:val="font61"/>
    <w:basedOn w:val="31"/>
    <w:qFormat/>
    <w:uiPriority w:val="0"/>
    <w:rPr>
      <w:rFonts w:hint="eastAsia" w:ascii="宋体" w:hAnsi="宋体" w:eastAsia="宋体" w:cs="宋体"/>
      <w:b/>
      <w:bCs/>
      <w:color w:val="000000"/>
      <w:sz w:val="24"/>
      <w:szCs w:val="24"/>
      <w:u w:val="none"/>
    </w:rPr>
  </w:style>
  <w:style w:type="paragraph" w:customStyle="1" w:styleId="60">
    <w:name w:val="Plain Text1"/>
    <w:basedOn w:val="1"/>
    <w:qFormat/>
    <w:uiPriority w:val="0"/>
    <w:rPr>
      <w:rFonts w:ascii="宋体" w:hAnsi="Courier New" w:eastAsia="宋体" w:cs="Courier New"/>
      <w:szCs w:val="21"/>
    </w:rPr>
  </w:style>
  <w:style w:type="paragraph" w:customStyle="1" w:styleId="61">
    <w:name w:val="Plain Text"/>
    <w:basedOn w:val="1"/>
    <w:qFormat/>
    <w:uiPriority w:val="0"/>
    <w:rPr>
      <w:rFonts w:ascii="宋体" w:hAnsi="Courier New" w:eastAsia="Times New Roman"/>
      <w:kern w:val="2"/>
      <w:sz w:val="21"/>
    </w:rPr>
  </w:style>
  <w:style w:type="paragraph" w:customStyle="1" w:styleId="62">
    <w:name w:val="文一"/>
    <w:basedOn w:val="1"/>
    <w:qFormat/>
    <w:uiPriority w:val="0"/>
    <w:pPr>
      <w:topLinePunct/>
      <w:adjustRightInd w:val="0"/>
      <w:snapToGrid w:val="0"/>
      <w:spacing w:line="360" w:lineRule="auto"/>
      <w:ind w:firstLine="200" w:firstLineChars="200"/>
    </w:pPr>
    <w:rPr>
      <w:rFonts w:eastAsia="宋体"/>
      <w:snapToGrid w:val="0"/>
      <w:spacing w:val="4"/>
      <w:kern w:val="0"/>
      <w:sz w:val="24"/>
      <w:szCs w:val="24"/>
    </w:rPr>
  </w:style>
  <w:style w:type="paragraph" w:customStyle="1" w:styleId="63">
    <w:name w:val="_Style 5"/>
    <w:next w:val="1"/>
    <w:qFormat/>
    <w:uiPriority w:val="0"/>
    <w:pPr>
      <w:keepNext/>
      <w:keepLines/>
      <w:widowControl/>
      <w:spacing w:before="480" w:after="0" w:line="276" w:lineRule="auto"/>
      <w:jc w:val="left"/>
      <w:outlineLvl w:val="9"/>
    </w:pPr>
    <w:rPr>
      <w:rFonts w:ascii="Cambria" w:hAnsi="Cambria" w:eastAsia="宋体" w:cs="Times New Roman"/>
      <w:b/>
      <w:bCs/>
      <w:color w:val="365F91"/>
      <w:kern w:val="0"/>
      <w:sz w:val="28"/>
      <w:szCs w:val="28"/>
      <w:lang w:val="en-US" w:eastAsia="zh-CN" w:bidi="ar-SA"/>
    </w:rPr>
  </w:style>
  <w:style w:type="paragraph" w:customStyle="1" w:styleId="64">
    <w:name w:val="Normal Indent"/>
    <w:basedOn w:val="1"/>
    <w:autoRedefine/>
    <w:qFormat/>
    <w:uiPriority w:val="0"/>
    <w:pPr>
      <w:ind w:firstLine="420" w:firstLineChars="200"/>
    </w:pPr>
    <w:rPr>
      <w:rFonts w:ascii="Times New Roman" w:hAnsi="Times New Roman" w:eastAsia="楷体_GB2312"/>
      <w:szCs w:val="20"/>
    </w:rPr>
  </w:style>
  <w:style w:type="paragraph" w:customStyle="1" w:styleId="65">
    <w:name w:val="正文 New New New New New New"/>
    <w:qFormat/>
    <w:uiPriority w:val="0"/>
    <w:pPr>
      <w:widowControl w:val="0"/>
      <w:jc w:val="both"/>
    </w:pPr>
    <w:rPr>
      <w:rFonts w:ascii="Times New Roman" w:hAnsi="Times New Roman" w:eastAsia="宋体" w:cs="Times New Roman"/>
      <w:kern w:val="2"/>
      <w:sz w:val="28"/>
      <w:lang w:val="en-US" w:eastAsia="zh-CN" w:bidi="ar-SA"/>
    </w:rPr>
  </w:style>
  <w:style w:type="paragraph" w:customStyle="1" w:styleId="66">
    <w:name w:val="_Style 4"/>
    <w:basedOn w:val="3"/>
    <w:next w:val="1"/>
    <w:autoRedefine/>
    <w:qFormat/>
    <w:uiPriority w:val="99"/>
    <w:pPr>
      <w:widowControl w:val="0"/>
      <w:numPr>
        <w:ilvl w:val="0"/>
        <w:numId w:val="0"/>
      </w:numPr>
      <w:tabs>
        <w:tab w:val="left" w:pos="432"/>
      </w:tabs>
      <w:spacing w:line="576" w:lineRule="auto"/>
      <w:jc w:val="both"/>
      <w:outlineLvl w:val="9"/>
    </w:pPr>
    <w:rPr>
      <w:rFonts w:ascii="Calibri" w:hAnsi="Calibri" w:cs="Calibri"/>
      <w:kern w:val="44"/>
      <w:sz w:val="44"/>
      <w:szCs w:val="44"/>
    </w:rPr>
  </w:style>
  <w:style w:type="paragraph" w:customStyle="1" w:styleId="67">
    <w:name w:val="table"/>
    <w:autoRedefine/>
    <w:qFormat/>
    <w:uiPriority w:val="0"/>
    <w:pPr>
      <w:framePr w:hSpace="180" w:wrap="around" w:vAnchor="text" w:hAnchor="margin" w:y="1418"/>
      <w:adjustRightInd w:val="0"/>
      <w:snapToGrid w:val="0"/>
    </w:pPr>
    <w:rPr>
      <w:rFonts w:ascii="宋体" w:hAnsi="Calibri" w:eastAsia="宋体" w:cs="Times New Roman"/>
      <w:kern w:val="2"/>
      <w:sz w:val="24"/>
      <w:szCs w:val="22"/>
      <w:lang w:val="en-US" w:eastAsia="zh-CN" w:bidi="ar-SA"/>
    </w:rPr>
  </w:style>
  <w:style w:type="paragraph" w:customStyle="1" w:styleId="68">
    <w:name w:val="x_msonormal"/>
    <w:basedOn w:val="1"/>
    <w:autoRedefine/>
    <w:qFormat/>
    <w:uiPriority w:val="99"/>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5" Type="http://schemas.openxmlformats.org/officeDocument/2006/relationships/fontTable" Target="fontTable.xml"/><Relationship Id="rId24" Type="http://schemas.openxmlformats.org/officeDocument/2006/relationships/customXml" Target="../customXml/item2.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theme" Target="theme/theme1.xml"/><Relationship Id="rId20" Type="http://schemas.openxmlformats.org/officeDocument/2006/relationships/footer" Target="footer12.xml"/><Relationship Id="rId2" Type="http://schemas.openxmlformats.org/officeDocument/2006/relationships/settings" Target="settings.xml"/><Relationship Id="rId19" Type="http://schemas.openxmlformats.org/officeDocument/2006/relationships/header" Target="header6.xml"/><Relationship Id="rId18" Type="http://schemas.openxmlformats.org/officeDocument/2006/relationships/footer" Target="footer11.xml"/><Relationship Id="rId17" Type="http://schemas.openxmlformats.org/officeDocument/2006/relationships/footer" Target="footer10.xml"/><Relationship Id="rId16" Type="http://schemas.openxmlformats.org/officeDocument/2006/relationships/footer" Target="footer9.xml"/><Relationship Id="rId15" Type="http://schemas.openxmlformats.org/officeDocument/2006/relationships/footer" Target="footer8.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contractReview xmlns="http://schemas.wps.cn/vas-ai-hub/contract-review">
  <reviewItems>
    <reviewItem>
      <errorID>75468b3f-cda5-4f64-b468-7137bb3b31c7</errorID>
      <errorWord>二○二五</errorWord>
      <group>L1_Knowledge</group>
      <groupName>知识性问题</groupName>
      <ability>L2_Knowledge</ability>
      <abilityName>其他知识</abilityName>
      <candidateList>
        <item>二〇二五</item>
      </candidateList>
      <explain/>
      <paraID>2F6A545F</paraID>
      <start>0</start>
      <end>4</end>
      <status>ignored</status>
      <modifiedWord/>
      <trackRevisions>false</trackRevisions>
    </reviewItem>
    <reviewItem>
      <errorID>26e3c537-a750-4630-9f5e-f4a28d89ca45</errorID>
      <errorWord>-</errorWord>
      <group>L1_Format</group>
      <groupName>格式问题</groupName>
      <ability>L2_HalfPunc</ability>
      <abilityName>全半角检查</abilityName>
      <candidateList>
        <item>－</item>
      </candidateList>
      <explain>文本全半角错误。</explain>
      <paraID>37EAD08C</paraID>
      <start>20</start>
      <end>21</end>
      <status>ignored</status>
      <modifiedWord/>
      <trackRevisions>false</trackRevisions>
    </reviewItem>
    <reviewItem>
      <errorID>a7d3fafd-6662-4e85-8609-9faba41429c7</errorID>
      <errorWord>，</errorWord>
      <group>L1_Word</group>
      <groupName>字词问题</groupName>
      <ability>L2_Typo</ability>
      <abilityName>字词错误</abilityName>
      <candidateList>
        <item>，在</item>
      </candidateList>
      <explain/>
      <paraID>37EAD08C</paraID>
      <start>63</start>
      <end>66</end>
      <status>modified</status>
      <modifiedWord>，在</modifiedWord>
      <trackRevisions>true</trackRevisions>
    </reviewItem>
    <reviewItem>
      <errorID>fb549819-a38c-4487-8220-5b286549d42d</errorID>
      <errorWord>城市次千路</errorWord>
      <group>L1_Knowledge</group>
      <groupName>知识性问题</groupName>
      <ability>L2_Term</ability>
      <abilityName>专业术语</abilityName>
      <candidateList>
        <item>城市次干路</item>
      </candidateList>
      <explain/>
      <paraID>1AE0CC43</paraID>
      <start>100</start>
      <end>105</end>
      <status>ignored</status>
      <modifiedWord/>
      <trackRevisions>false</trackRevisions>
    </reviewItem>
    <reviewItem>
      <errorID>bf74db86-338f-4e81-ba4d-55f03ac60894</errorID>
      <errorWord>工程等</errorWord>
      <group>L1_Grammar</group>
      <groupName>语法问题</groupName>
      <ability>L2_Illogical</ability>
      <abilityName>不合逻辑</abilityName>
      <candidateList>
        <item>等工程</item>
      </candidateList>
      <explain>句子中可能存在因果关系错误、自相矛盾、概念误用、主客倒置、否定不当、前后缺乏呼应等问题。</explain>
      <paraID>1AE0CC43</paraID>
      <start>143</start>
      <end>146</end>
      <status>ignored</status>
      <modifiedWord/>
      <trackRevisions>false</trackRevisions>
    </reviewItem>
    <reviewItem>
      <errorID>17d1748c-3ab0-4782-852b-12fe350e50e7</errorID>
      <errorWord>(</errorWord>
      <group>L1_Format</group>
      <groupName>格式问题</groupName>
      <ability>L2_HalfPunc</ability>
      <abilityName>全半角检查</abilityName>
      <candidateList>
        <item>（</item>
      </candidateList>
      <explain>文本全半角错误。</explain>
      <paraID>27D59DA3</paraID>
      <start>21</start>
      <end>22</end>
      <status>ignored</status>
      <modifiedWord/>
      <trackRevisions>false</trackRevisions>
    </reviewItem>
    <reviewItem>
      <errorID>404f25d6-101e-4115-96d4-ba8f4639dd9c</errorID>
      <errorWord>-</errorWord>
      <group>L1_Format</group>
      <groupName>格式问题</groupName>
      <ability>L2_HalfPunc</ability>
      <abilityName>全半角检查</abilityName>
      <candidateList>
        <item>－</item>
      </candidateList>
      <explain>文本全半角错误。</explain>
      <paraID>27D59DA3</paraID>
      <start>26</start>
      <end>27</end>
      <status>ignored</status>
      <modifiedWord/>
      <trackRevisions>false</trackRevisions>
    </reviewItem>
    <reviewItem>
      <errorID>8087e629-5f84-4709-ad02-334819a37184</errorID>
      <errorWord>)</errorWord>
      <group>L1_Format</group>
      <groupName>格式问题</groupName>
      <ability>L2_HalfPunc</ability>
      <abilityName>全半角检查</abilityName>
      <candidateList>
        <item>）</item>
      </candidateList>
      <explain>文本全半角错误。</explain>
      <paraID>27D59DA3</paraID>
      <start>32</start>
      <end>33</end>
      <status>ignored</status>
      <modifiedWord/>
      <trackRevisions>false</trackRevisions>
    </reviewItem>
    <reviewItem>
      <errorID>1eee3c5b-2550-4127-88e7-038371575c21</errorID>
      <errorWord>〉</errorWord>
      <group>L1_Punc</group>
      <groupName>标点问题</groupName>
      <ability>L2_Punc</ability>
      <abilityName>标点符号检查</abilityName>
      <candidateList/>
      <explain/>
      <paraID> 81C4F01</paraID>
      <start>145</start>
      <end>146</end>
      <status>ignored</status>
      <modifiedWord/>
      <trackRevisions>false</trackRevisions>
    </reviewItem>
    <reviewItem>
      <errorID>ab590ae2-7d48-4643-a264-ac7632403670</errorID>
      <errorWord>0%-5%</errorWord>
      <group>L1_Knowledge</group>
      <groupName>知识性问题</groupName>
      <ability>L2_Knowledge</ability>
      <abilityName>其他知识</abilityName>
      <candidateList>
        <item>0%—5%</item>
      </candidateList>
      <explain>1. “0%-5%”中的单位“%”仅出现在后一个数字上，容易引起歧义；根据《现代汉语标点符号数字用法规范手册》，数字表示范围两边需要使用统一的格式。2. 根据标点国标 4.13 中的规则，数字、时间或地域连接符应使用（视觉上更长的）“—”或“～”。</explain>
      <paraID>20D71CCE</paraID>
      <start>42</start>
      <end>47</end>
      <status>ignored</status>
      <modifiedWord/>
      <trackRevisions>false</trackRevisions>
    </reviewItem>
    <reviewItem>
      <errorID>4cd95a22-b959-4e5f-a155-b5265d137f27</errorID>
      <errorWord>，</errorWord>
      <group>L1_Word</group>
      <groupName>字词问题</groupName>
      <ability>L2_Typo</ability>
      <abilityName>字词错误</abilityName>
      <candidateList>
        <item>，由</item>
      </candidateList>
      <explain/>
      <paraID>7A4ADE9F</paraID>
      <start>58</start>
      <end>61</end>
      <status>modified</status>
      <modifiedWord>，由</modifiedWord>
      <trackRevisions>true</trackRevisions>
    </reviewItem>
    <reviewItem>
      <errorID>69e17531-da33-4052-9020-ec99abc7f209</errorID>
      <errorWord>-</errorWord>
      <group>L1_Format</group>
      <groupName>格式问题</groupName>
      <ability>L2_HalfPunc</ability>
      <abilityName>全半角检查</abilityName>
      <candidateList>
        <item>－</item>
      </candidateList>
      <explain>文本全半角错误。</explain>
      <paraID> A4A6E57</paraID>
      <start>17</start>
      <end>18</end>
      <status>ignored</status>
      <modifiedWord/>
      <trackRevisions>false</trackRevisions>
    </reviewItem>
    <reviewItem>
      <errorID>0198e9a3-00c3-4265-aeb9-ec6fc1f009de</errorID>
      <errorWord>〉</errorWord>
      <group>L1_Punc</group>
      <groupName>标点问题</groupName>
      <ability>L2_Punc</ability>
      <abilityName>标点符号检查</abilityName>
      <candidateList/>
      <explain/>
      <paraID>72F0F597</paraID>
      <start>143</start>
      <end>144</end>
      <status>ignored</status>
      <modifiedWord/>
      <trackRevisions>false</trackRevisions>
    </reviewItem>
    <reviewItem>
      <errorID>ad71f52e-842d-4a7a-80db-e9e5ac69bf4e</errorID>
      <errorWord>0%-5%</errorWord>
      <group>L1_Knowledge</group>
      <groupName>知识性问题</groupName>
      <ability>L2_Knowledge</ability>
      <abilityName>其他知识</abilityName>
      <candidateList>
        <item>0%—5%</item>
      </candidateList>
      <explain>1. “0%-5%”中的单位“%”仅出现在后一个数字上，容易引起歧义；根据《现代汉语标点符号数字用法规范手册》，数字表示范围两边需要使用统一的格式。2. 根据标点国标 4.13 中的规则，数字、时间或地域连接符应使用（视觉上更长的）“—”或“～”。</explain>
      <paraID> 7030D23</paraID>
      <start>35</start>
      <end>40</end>
      <status>ignored</status>
      <modifiedWord/>
      <trackRevisions>false</trackRevisions>
    </reviewItem>
    <reviewItem>
      <errorID>253eeec0-f931-47a5-889e-301fcfa20640</errorID>
      <errorWord>-</errorWord>
      <group>L1_Format</group>
      <groupName>格式问题</groupName>
      <ability>L2_HalfPunc</ability>
      <abilityName>全半角检查</abilityName>
      <candidateList>
        <item>－</item>
      </candidateList>
      <explain>文本全半角错误。</explain>
      <paraID>19A613B9</paraID>
      <start>17</start>
      <end>18</end>
      <status>ignored</status>
      <modifiedWord/>
      <trackRevisions>false</trackRevisions>
    </reviewItem>
    <reviewItem>
      <errorID>86f35003-bf6e-4efe-94dc-0a3c90fd51e0</errorID>
      <errorWord>病虫害检测</errorWord>
      <group>L1_Knowledge</group>
      <groupName>知识性问题</groupName>
      <ability>L2_Term</ability>
      <abilityName>专业术语</abilityName>
      <candidateList>
        <item>病虫害监测</item>
      </candidateList>
      <explain/>
      <paraID>1B52F32C</paraID>
      <start>64</start>
      <end>69</end>
      <status>ignored</status>
      <modifiedWord/>
      <trackRevisions>false</trackRevisions>
    </reviewItem>
    <reviewItem>
      <errorID>9432afd5-1b81-46fa-b140-c84b19a52394</errorID>
      <errorWord>&gt;</errorWord>
      <group>L1_Format</group>
      <groupName>格式问题</groupName>
      <ability>L2_HalfPunc</ability>
      <abilityName>全半角检查</abilityName>
      <candidateList>
        <item>〉</item>
      </candidateList>
      <explain>文本全半角错误。</explain>
      <paraID>5472562E</paraID>
      <start>16</start>
      <end>17</end>
      <status>ignored</status>
      <modifiedWord/>
      <trackRevisions>false</trackRevisions>
    </reviewItem>
    <reviewItem>
      <errorID>51704a84-8faa-4971-8f27-391c3bcd84de</errorID>
      <errorWord>&gt;</errorWord>
      <group>L1_Format</group>
      <groupName>格式问题</groupName>
      <ability>L2_HalfPunc</ability>
      <abilityName>全半角检查</abilityName>
      <candidateList>
        <item>〉</item>
      </candidateList>
      <explain>文本全半角错误。</explain>
      <paraID>5472562E</paraID>
      <start>32</start>
      <end>33</end>
      <status>ignored</status>
      <modifiedWord/>
      <trackRevisions>false</trackRevisions>
    </reviewItem>
    <reviewItem>
      <errorID>261b3ef4-27db-47eb-bbb6-5c3aca03dd09</errorID>
      <errorWord>情况有</errorWord>
      <group>L1_Word</group>
      <groupName>字词问题</groupName>
      <ability>L2_Typo</ability>
      <abilityName>字词错误</abilityName>
      <candidateList>
        <item>情况</item>
      </candidateList>
      <explain>〈名〉❶情形：思想～｜工作～｜～特殊。❷指军事上的变化，泛指事情的变化、动向：这两天前线没有什么～｜他俩的关系最近又有了新的～。</explain>
      <paraID>5472562E</paraID>
      <start>49</start>
      <end>52</end>
      <status>ignored</status>
      <modifiedWord/>
      <trackRevisions>false</trackRevisions>
    </reviewItem>
    <reviewItem>
      <errorID>bdfe18cd-ec79-45e1-9174-47d6ca6b7cc9</errorID>
      <errorWord>二位</errorWord>
      <group>L1_Word</group>
      <groupName>字词问题</groupName>
      <ability>L2_Typo</ability>
      <abilityName>字词错误</abilityName>
      <candidateList>
        <item>两位</item>
      </candidateList>
      <explain/>
      <paraID>274D955A</paraID>
      <start>96</start>
      <end>100</end>
      <status>modified</status>
      <modifiedWord>两位</modifiedWord>
      <trackRevisions>true</trackRevisions>
    </reviewItem>
    <reviewItem>
      <errorID>d7b7178e-4cde-4bb2-a196-de3a5568e070</errorID>
      <errorWord>其他可</errorWord>
      <group>L1_Word</group>
      <groupName>字词问题</groupName>
      <ability>L2_Typo</ability>
      <abilityName>字词错误</abilityName>
      <candidateList>
        <item>其他</item>
      </candidateList>
      <explain>〈代〉指示代词。别的：今天的文娱晚会，除了京剧、曲艺以外，还有～精彩节目。</explain>
      <paraID>3B5DA85F</paraID>
      <start>81</start>
      <end>84</end>
      <status>ignored</status>
      <modifiedWord/>
      <trackRevisions>false</trackRevisions>
    </reviewItem>
    <reviewItem>
      <errorID>3e1417cd-b59c-4a40-954a-180680c2c2dd</errorID>
      <errorWord>人事部</errorWord>
      <group>L1_Knowledge</group>
      <groupName>知识性问题</groupName>
      <ability>L2_Organization</ability>
      <abilityName>机构检查</abilityName>
      <candidateList>
        <item>人力资源和社会保障部</item>
      </candidateList>
      <explain>2008年3月，根据第十一届全国人民代表大会第一次会议审议通过的《国务院机构改革方案》，组建人力资源和社会保障部。将人事部职责整合划入人力资源和社会保障部，不再保留人事部。</explain>
      <paraID>4999A889</paraID>
      <start>11</start>
      <end>14</end>
      <status>ignored</status>
      <modifiedWord/>
      <trackRevisions>false</trackRevisions>
    </reviewItem>
    <reviewItem>
      <errorID>3bb2fa19-dd6d-46b2-9c16-12cb6b0f99a2</errorID>
      <errorWord>房</errorWord>
      <group>L1_Word</group>
      <groupName>字词问题</groupName>
      <ability>L2_Typo</ability>
      <abilityName>字词错误</abilityName>
      <candidateList>
        <item>房和</item>
      </candidateList>
      <explain/>
      <paraID>4999A889</paraID>
      <start>91</start>
      <end>94</end>
      <status>modified</status>
      <modifiedWord>房和</modifiedWord>
      <trackRevisions>true</trackRevisions>
    </reviewItem>
    <reviewItem>
      <errorID>db43ee49-67bb-4b83-be3e-24dbe82a851c</errorID>
      <errorWord>件</errorWord>
      <group>L1_Word</group>
      <groupName>字词问题</groupName>
      <ability>L2_Typo</ability>
      <abilityName>字词错误</abilityName>
      <candidateList>
        <item>件和</item>
      </candidateList>
      <explain/>
      <paraID>3E5B4EE6</paraID>
      <start>65</start>
      <end>66</end>
      <status>ignored</status>
      <modifiedWord/>
      <trackRevisions>false</trackRevisions>
    </reviewItem>
    <reviewItem>
      <errorID>9f0bca71-d00b-4c1c-bc62-f3fab719beef</errorID>
      <errorWord>-</errorWord>
      <group>L1_Format</group>
      <groupName>格式问题</groupName>
      <ability>L2_HalfPunc</ability>
      <abilityName>全半角检查</abilityName>
      <candidateList>
        <item>－</item>
      </candidateList>
      <explain>文本全半角错误。</explain>
      <paraID>17C8256B</paraID>
      <start>12</start>
      <end>13</end>
      <status>ignored</status>
      <modifiedWord/>
      <trackRevisions>false</trackRevisions>
    </reviewItem>
    <reviewItem>
      <errorID>eea667b2-e9b9-4dd0-a3f7-ff80ebd9bf6e</errorID>
      <errorWord>(</errorWord>
      <group>L1_Format</group>
      <groupName>格式问题</groupName>
      <ability>L2_HalfPunc</ability>
      <abilityName>全半角检查</abilityName>
      <candidateList>
        <item>（</item>
      </candidateList>
      <explain>文本全半角错误。</explain>
      <paraID> DE8B1BC</paraID>
      <start>12</start>
      <end>13</end>
      <status>ignored</status>
      <modifiedWord/>
      <trackRevisions>false</trackRevisions>
    </reviewItem>
    <reviewItem>
      <errorID>dbcfb0d2-b66e-4c99-8024-79abf5236781</errorID>
      <errorWord>-</errorWord>
      <group>L1_Format</group>
      <groupName>格式问题</groupName>
      <ability>L2_HalfPunc</ability>
      <abilityName>全半角检查</abilityName>
      <candidateList>
        <item>－</item>
      </candidateList>
      <explain>文本全半角错误。</explain>
      <paraID> DE8B1BC</paraID>
      <start>17</start>
      <end>18</end>
      <status>ignored</status>
      <modifiedWord/>
      <trackRevisions>false</trackRevisions>
    </reviewItem>
    <reviewItem>
      <errorID>6a448e77-93e4-4b64-8459-3d5219bc01e8</errorID>
      <errorWord>)</errorWord>
      <group>L1_Format</group>
      <groupName>格式问题</groupName>
      <ability>L2_HalfPunc</ability>
      <abilityName>全半角检查</abilityName>
      <candidateList>
        <item>）</item>
      </candidateList>
      <explain>文本全半角错误。</explain>
      <paraID> DE8B1BC</paraID>
      <start>23</start>
      <end>24</end>
      <status>ignored</status>
      <modifiedWord/>
      <trackRevisions>false</trackRevisions>
    </reviewItem>
    <reviewItem>
      <errorID>8ebe297e-62b9-4efd-8d30-796fbe12be44</errorID>
      <errorWord>(</errorWord>
      <group>L1_Format</group>
      <groupName>格式问题</groupName>
      <ability>L2_HalfPunc</ability>
      <abilityName>全半角检查</abilityName>
      <candidateList>
        <item>（</item>
      </candidateList>
      <explain>文本全半角错误。</explain>
      <paraID>3DD1F97C</paraID>
      <start>7</start>
      <end>8</end>
      <status>ignored</status>
      <modifiedWord/>
      <trackRevisions>false</trackRevisions>
    </reviewItem>
    <reviewItem>
      <errorID>68727428-5403-4524-b1c0-4bdeab4b8ff6</errorID>
      <errorWord>-</errorWord>
      <group>L1_Format</group>
      <groupName>格式问题</groupName>
      <ability>L2_HalfPunc</ability>
      <abilityName>全半角检查</abilityName>
      <candidateList>
        <item>－</item>
      </candidateList>
      <explain>文本全半角错误。</explain>
      <paraID>3DD1F97C</paraID>
      <start>12</start>
      <end>13</end>
      <status>ignored</status>
      <modifiedWord/>
      <trackRevisions>false</trackRevisions>
    </reviewItem>
    <reviewItem>
      <errorID>a5c34d1e-0613-42d5-9365-9de48106dd7c</errorID>
      <errorWord>)</errorWord>
      <group>L1_Format</group>
      <groupName>格式问题</groupName>
      <ability>L2_HalfPunc</ability>
      <abilityName>全半角检查</abilityName>
      <candidateList>
        <item>）</item>
      </candidateList>
      <explain>文本全半角错误。</explain>
      <paraID>3DD1F97C</paraID>
      <start>18</start>
      <end>19</end>
      <status>ignored</status>
      <modifiedWord/>
      <trackRevisions>false</trackRevisions>
    </reviewItem>
    <reviewItem>
      <errorID>9e848c28-18f8-4fc2-a935-9e6a534fcdfe</errorID>
      <errorWord>二位</errorWord>
      <group>L1_Word</group>
      <groupName>字词问题</groupName>
      <ability>L2_Typo</ability>
      <abilityName>字词错误</abilityName>
      <candidateList>
        <item>两位</item>
      </candidateList>
      <explain/>
      <paraID>538DE5EA</paraID>
      <start>16</start>
      <end>20</end>
      <status>modified</status>
      <modifiedWord>两位</modifiedWord>
      <trackRevisions>true</trackRevisions>
    </reviewItem>
    <reviewItem>
      <errorID>dc396d13-13da-4f07-a03b-bb0690e6fea2</errorID>
      <errorWord>-</errorWord>
      <group>L1_Format</group>
      <groupName>格式问题</groupName>
      <ability>L2_HalfPunc</ability>
      <abilityName>全半角检查</abilityName>
      <candidateList>
        <item>－</item>
      </candidateList>
      <explain>文本全半角错误。</explain>
      <paraID>199C31A5</paraID>
      <start>105</start>
      <end>106</end>
      <status>ignored</status>
      <modifiedWord/>
      <trackRevisions>false</trackRevisions>
    </reviewItem>
    <reviewItem>
      <errorID>84f8429f-fce8-4039-8d83-a33f3f3d937a</errorID>
      <errorWord>-</errorWord>
      <group>L1_Format</group>
      <groupName>格式问题</groupName>
      <ability>L2_HalfPunc</ability>
      <abilityName>全半角检查</abilityName>
      <candidateList>
        <item>－</item>
      </candidateList>
      <explain>文本全半角错误。</explain>
      <paraID>4FC107E5</paraID>
      <start>17</start>
      <end>18</end>
      <status>ignored</status>
      <modifiedWord/>
      <trackRevisions>false</trackRevisions>
    </reviewItem>
    <reviewItem>
      <errorID>d11d09b7-8a37-446b-9510-c52b7a5103eb</errorID>
      <errorWord>-</errorWord>
      <group>L1_Format</group>
      <groupName>格式问题</groupName>
      <ability>L2_HalfPunc</ability>
      <abilityName>全半角检查</abilityName>
      <candidateList>
        <item>－</item>
      </candidateList>
      <explain>文本全半角错误。</explain>
      <paraID>5A9F6082</paraID>
      <start>17</start>
      <end>18</end>
      <status>ignored</status>
      <modifiedWord/>
      <trackRevisions>false</trackRevisions>
    </reviewItem>
    <reviewItem>
      <errorID>1d299dee-cc55-45d5-882a-6262129e4d34</errorID>
      <errorWord>-</errorWord>
      <group>L1_Format</group>
      <groupName>格式问题</groupName>
      <ability>L2_HalfPunc</ability>
      <abilityName>全半角检查</abilityName>
      <candidateList>
        <item>－</item>
      </candidateList>
      <explain>文本全半角错误。</explain>
      <paraID>47834331</paraID>
      <start>21</start>
      <end>22</end>
      <status>ignored</status>
      <modifiedWord/>
      <trackRevisions>false</trackRevisions>
    </reviewItem>
    <reviewItem>
      <errorID>cccea558-608b-4bc3-93d7-da8ebe4b8cb3</errorID>
      <errorWord>，</errorWord>
      <group>L1_Word</group>
      <groupName>字词问题</groupName>
      <ability>L2_Typo</ability>
      <abilityName>字词错误</abilityName>
      <candidateList>
        <item>，在</item>
      </candidateList>
      <explain/>
      <paraID>47834331</paraID>
      <start>52</start>
      <end>53</end>
      <status>ignored</status>
      <modifiedWord/>
      <trackRevisions>false</trackRevisions>
    </reviewItem>
    <reviewItem>
      <errorID>163a657a-caf1-49d7-926e-8b22af296088</errorID>
      <errorWord>(</errorWord>
      <group>L1_Format</group>
      <groupName>格式问题</groupName>
      <ability>L2_HalfPunc</ability>
      <abilityName>全半角检查</abilityName>
      <candidateList>
        <item>（</item>
      </candidateList>
      <explain>文本全半角错误。</explain>
      <paraID>6F2805CC</paraID>
      <start>13</start>
      <end>14</end>
      <status>ignored</status>
      <modifiedWord/>
      <trackRevisions>false</trackRevisions>
    </reviewItem>
    <reviewItem>
      <errorID>64399271-277f-45be-bfa8-a367bdf1f087</errorID>
      <errorWord>-</errorWord>
      <group>L1_Format</group>
      <groupName>格式问题</groupName>
      <ability>L2_HalfPunc</ability>
      <abilityName>全半角检查</abilityName>
      <candidateList>
        <item>－</item>
      </candidateList>
      <explain>文本全半角错误。</explain>
      <paraID>6F2805CC</paraID>
      <start>18</start>
      <end>19</end>
      <status>ignored</status>
      <modifiedWord/>
      <trackRevisions>false</trackRevisions>
    </reviewItem>
    <reviewItem>
      <errorID>c354ad2b-d285-4f95-bc74-4670e0bb02bd</errorID>
      <errorWord>)</errorWord>
      <group>L1_Format</group>
      <groupName>格式问题</groupName>
      <ability>L2_HalfPunc</ability>
      <abilityName>全半角检查</abilityName>
      <candidateList>
        <item>）</item>
      </candidateList>
      <explain>文本全半角错误。</explain>
      <paraID>6F2805CC</paraID>
      <start>24</start>
      <end>25</end>
      <status>ignored</status>
      <modifiedWord/>
      <trackRevisions>false</trackRevisions>
    </reviewItem>
    <reviewItem>
      <errorID>f7eb0168-22c4-4610-98e9-1927fa9deb35</errorID>
      <errorWord>:</errorWord>
      <group>L1_Format</group>
      <groupName>格式问题</groupName>
      <ability>L2_HalfPunc</ability>
      <abilityName>全半角检查</abilityName>
      <candidateList>
        <item>：</item>
      </candidateList>
      <explain>文本全半角错误。</explain>
      <paraID>1122319B</paraID>
      <start>7</start>
      <end>8</end>
      <status>ignored</status>
      <modifiedWord/>
      <trackRevisions>false</trackRevisions>
    </reviewItem>
    <reviewItem>
      <errorID>0a0e3b27-15c8-42a3-86ca-9242d687fa6c</errorID>
      <errorWord>-</errorWord>
      <group>L1_Format</group>
      <groupName>格式问题</groupName>
      <ability>L2_HalfPunc</ability>
      <abilityName>全半角检查</abilityName>
      <candidateList>
        <item>－</item>
      </candidateList>
      <explain>文本全半角错误。</explain>
      <paraID>1122319B</paraID>
      <start>20</start>
      <end>21</end>
      <status>ignored</status>
      <modifiedWord/>
      <trackRevisions>false</trackRevisions>
    </reviewItem>
    <reviewItem>
      <errorID>0738f6d9-870c-4ab7-9f61-6202d565af6a</errorID>
      <errorWord>:</errorWord>
      <group>L1_Format</group>
      <groupName>格式问题</groupName>
      <ability>L2_HalfPunc</ability>
      <abilityName>全半角检查</abilityName>
      <candidateList>
        <item>：</item>
      </candidateList>
      <explain>文本全半角错误。</explain>
      <paraID>5D1CE02B</paraID>
      <start>8</start>
      <end>9</end>
      <status>ignored</status>
      <modifiedWord/>
      <trackRevisions>false</trackRevisions>
    </reviewItem>
    <reviewItem>
      <errorID>a9683a69-75d0-4b84-b4fb-8d0d730ba97f</errorID>
      <errorWord>:</errorWord>
      <group>L1_Format</group>
      <groupName>格式问题</groupName>
      <ability>L2_HalfPunc</ability>
      <abilityName>全半角检查</abilityName>
      <candidateList>
        <item>：</item>
      </candidateList>
      <explain>文本全半角错误。</explain>
      <paraID>7117C53B</paraID>
      <start>7</start>
      <end>8</end>
      <status>ignored</status>
      <modifiedWord/>
      <trackRevisions>false</trackRevisions>
    </reviewItem>
    <reviewItem>
      <errorID>3f62a2ec-d3f3-4d4b-9843-2856b7708a8e</errorID>
      <errorWord>-</errorWord>
      <group>L1_Format</group>
      <groupName>格式问题</groupName>
      <ability>L2_HalfPunc</ability>
      <abilityName>全半角检查</abilityName>
      <candidateList>
        <item>－</item>
      </candidateList>
      <explain>文本全半角错误。</explain>
      <paraID>6D0ED7FB</paraID>
      <start>17</start>
      <end>18</end>
      <status>ignored</status>
      <modifiedWord/>
      <trackRevisions>false</trackRevisions>
    </reviewItem>
    <reviewItem>
      <errorID>72fdb00b-cbb0-43a7-908d-b1a88c4fbbb8</errorID>
      <errorWord>.</errorWord>
      <group>L1_Punc</group>
      <groupName>标点问题</groupName>
      <ability>L2_Punc</ability>
      <abilityName>标点符号检查</abilityName>
      <candidateList/>
      <explain/>
      <paraID>2EDE1B1B</paraID>
      <start>0</start>
      <end>1</end>
      <status>ignored</status>
      <modifiedWord/>
      <trackRevisions>false</trackRevisions>
    </reviewItem>
    <reviewItem>
      <errorID>6e1fb0c3-5fc3-4991-b5c5-97e122b00f89</errorID>
      <errorWord>(</errorWord>
      <group>L1_Format</group>
      <groupName>格式问题</groupName>
      <ability>L2_HalfPunc</ability>
      <abilityName>全半角检查</abilityName>
      <candidateList>
        <item>（</item>
      </candidateList>
      <explain>文本全半角错误。</explain>
      <paraID>2EDE1B1B</paraID>
      <start>17</start>
      <end>18</end>
      <status>ignored</status>
      <modifiedWord/>
      <trackRevisions>false</trackRevisions>
    </reviewItem>
    <reviewItem>
      <errorID>18309e8c-e5a6-4bcc-9320-85d297a56ee6</errorID>
      <errorWord>-</errorWord>
      <group>L1_Format</group>
      <groupName>格式问题</groupName>
      <ability>L2_HalfPunc</ability>
      <abilityName>全半角检查</abilityName>
      <candidateList>
        <item>－</item>
      </candidateList>
      <explain>文本全半角错误。</explain>
      <paraID>2EDE1B1B</paraID>
      <start>23</start>
      <end>24</end>
      <status>ignored</status>
      <modifiedWord/>
      <trackRevisions>false</trackRevisions>
    </reviewItem>
    <reviewItem>
      <errorID>f8b80706-3bd4-49c0-9920-1ebc6ee850f2</errorID>
      <errorWord>)</errorWord>
      <group>L1_Format</group>
      <groupName>格式问题</groupName>
      <ability>L2_HalfPunc</ability>
      <abilityName>全半角检查</abilityName>
      <candidateList>
        <item>）</item>
      </candidateList>
      <explain>文本全半角错误。</explain>
      <paraID>2EDE1B1B</paraID>
      <start>29</start>
      <end>30</end>
      <status>ignored</status>
      <modifiedWord/>
      <trackRevisions>false</trackRevisions>
    </reviewItem>
    <reviewItem>
      <errorID>1bc3376d-0a8f-4f47-a4bb-4204235eb7cc</errorID>
      <errorWord>(</errorWord>
      <group>L1_Format</group>
      <groupName>格式问题</groupName>
      <ability>L2_HalfPunc</ability>
      <abilityName>全半角检查</abilityName>
      <candidateList>
        <item>（</item>
      </candidateList>
      <explain>文本全半角错误。</explain>
      <paraID>771BD4A2</paraID>
      <start>19</start>
      <end>20</end>
      <status>ignored</status>
      <modifiedWord/>
      <trackRevisions>false</trackRevisions>
    </reviewItem>
    <reviewItem>
      <errorID>579d3d0d-b565-4325-9036-c679a9c8d4b4</errorID>
      <errorWord>(</errorWord>
      <group>L1_Format</group>
      <groupName>格式问题</groupName>
      <ability>L2_HalfPunc</ability>
      <abilityName>全半角检查</abilityName>
      <candidateList>
        <item>（</item>
      </candidateList>
      <explain>文本全半角错误。</explain>
      <paraID>4FC08209</paraID>
      <start>11</start>
      <end>12</end>
      <status>ignored</status>
      <modifiedWord/>
      <trackRevisions>false</trackRevisions>
    </reviewItem>
    <reviewItem>
      <errorID>a412bbf2-8ca5-42da-8844-070c30f9747c</errorID>
      <errorWord>)</errorWord>
      <group>L1_Format</group>
      <groupName>格式问题</groupName>
      <ability>L2_HalfPunc</ability>
      <abilityName>全半角检查</abilityName>
      <candidateList>
        <item>）</item>
      </candidateList>
      <explain>文本全半角错误。</explain>
      <paraID>4FC08209</paraID>
      <start>15</start>
      <end>16</end>
      <status>ignored</status>
      <modifiedWord/>
      <trackRevisions>false</trackRevisions>
    </reviewItem>
    <reviewItem>
      <errorID>a73e148a-1926-45ca-bf9d-04dbfd8ede6c</errorID>
      <errorWord>(</errorWord>
      <group>L1_Format</group>
      <groupName>格式问题</groupName>
      <ability>L2_HalfPunc</ability>
      <abilityName>全半角检查</abilityName>
      <candidateList>
        <item>（</item>
      </candidateList>
      <explain>文本全半角错误。</explain>
      <paraID>39D121E5</paraID>
      <start>12</start>
      <end>13</end>
      <status>ignored</status>
      <modifiedWord/>
      <trackRevisions>false</trackRevisions>
    </reviewItem>
    <reviewItem>
      <errorID>2c9476b1-5970-4dca-8c3c-439887374b98</errorID>
      <errorWord>)</errorWord>
      <group>L1_Format</group>
      <groupName>格式问题</groupName>
      <ability>L2_HalfPunc</ability>
      <abilityName>全半角检查</abilityName>
      <candidateList>
        <item>）</item>
      </candidateList>
      <explain>文本全半角错误。</explain>
      <paraID>39D121E5</paraID>
      <start>15</start>
      <end>16</end>
      <status>ignored</status>
      <modifiedWord/>
      <trackRevisions>false</trackRevisions>
    </reviewItem>
    <reviewItem>
      <errorID>e97f41ee-aec5-43eb-aeb4-009d8bb5da0d</errorID>
      <errorWord>(</errorWord>
      <group>L1_Format</group>
      <groupName>格式问题</groupName>
      <ability>L2_HalfPunc</ability>
      <abilityName>全半角检查</abilityName>
      <candidateList>
        <item>（</item>
      </candidateList>
      <explain>文本全半角错误。</explain>
      <paraID>5FB5A888</paraID>
      <start>2</start>
      <end>3</end>
      <status>ignored</status>
      <modifiedWord/>
      <trackRevisions>false</trackRevisions>
    </reviewItem>
    <reviewItem>
      <errorID>b88e9b87-a41e-4f16-957b-c3dbac1abbed</errorID>
      <errorWord>)</errorWord>
      <group>L1_Format</group>
      <groupName>格式问题</groupName>
      <ability>L2_HalfPunc</ability>
      <abilityName>全半角检查</abilityName>
      <candidateList>
        <item>）</item>
      </candidateList>
      <explain>文本全半角错误。</explain>
      <paraID>5FB5A888</paraID>
      <start>5</start>
      <end>6</end>
      <status>ignored</status>
      <modifiedWord/>
      <trackRevisions>false</trackRevisions>
    </reviewItem>
    <reviewItem>
      <errorID>c291549b-c5ed-4a23-a80f-90f56370d162</errorID>
      <errorWord>１</errorWord>
      <group>L1_Format</group>
      <groupName>格式问题</groupName>
      <ability>L2_HalfPunc</ability>
      <abilityName>全半角检查</abilityName>
      <candidateList>
        <item>1</item>
      </candidateList>
      <explain>文本全半角错误。</explain>
      <paraID>4D10A72C</paraID>
      <start>2</start>
      <end>3</end>
      <status>ignored</status>
      <modifiedWord/>
      <trackRevisions>false</trackRevisions>
    </reviewItem>
    <reviewItem>
      <errorID>44d3ecd7-4b9e-4e36-a176-bec256723968</errorID>
      <errorWord>通用</errorWord>
      <group>L1_Word</group>
      <groupName>字词问题</groupName>
      <ability>L2_Typo</ability>
      <abilityName>字词错误</abilityName>
      <candidateList>
        <item>适用</item>
      </candidateList>
      <explain>〈形〉适合使用：这套耕作方法，在我们这个地区也完全～。</explain>
      <paraID>1A856F68</paraID>
      <start>36</start>
      <end>38</end>
      <status>ignored</status>
      <modifiedWord/>
      <trackRevisions>false</trackRevisions>
    </reviewItem>
    <reviewItem>
      <errorID>53f4d07c-47b4-4f40-a755-b573bd72a899</errorID>
      <errorWord>人</errorWord>
      <group>L1_Word</group>
      <groupName>字词问题</groupName>
      <ability>L2_Typo</ability>
      <abilityName>字词错误</abilityName>
      <candidateList>
        <item>人和</item>
      </candidateList>
      <explain/>
      <paraID>33C9EE54</paraID>
      <start>54</start>
      <end>55</end>
      <status>ignored</status>
      <modifiedWord/>
      <trackRevisions>false</trackRevisions>
    </reviewItem>
    <reviewItem>
      <errorID>7ea2b03f-4d7d-4c19-9fca-36342e6a2947</errorID>
      <errorWord>２</errorWord>
      <group>L1_Format</group>
      <groupName>格式问题</groupName>
      <ability>L2_HalfPunc</ability>
      <abilityName>全半角检查</abilityName>
      <candidateList>
        <item>2</item>
      </candidateList>
      <explain>文本全半角错误。</explain>
      <paraID>16FA4107</paraID>
      <start>2</start>
      <end>3</end>
      <status>ignored</status>
      <modifiedWord/>
      <trackRevisions>false</trackRevisions>
    </reviewItem>
    <reviewItem>
      <errorID>03c31d43-8d30-4de1-9c6c-af2de9435ba7</errorID>
      <errorWord>３</errorWord>
      <group>L1_Format</group>
      <groupName>格式问题</groupName>
      <ability>L2_HalfPunc</ability>
      <abilityName>全半角检查</abilityName>
      <candidateList>
        <item>3</item>
      </candidateList>
      <explain>文本全半角错误。</explain>
      <paraID>7F025643</paraID>
      <start>2</start>
      <end>3</end>
      <status>ignored</status>
      <modifiedWord/>
      <trackRevisions>false</trackRevisions>
    </reviewItem>
    <reviewItem>
      <errorID>adabcb1f-39e0-44b1-9c03-9cd58d4b05c0</errorID>
      <errorWord>４</errorWord>
      <group>L1_Format</group>
      <groupName>格式问题</groupName>
      <ability>L2_HalfPunc</ability>
      <abilityName>全半角检查</abilityName>
      <candidateList>
        <item>4</item>
      </candidateList>
      <explain>文本全半角错误。</explain>
      <paraID>7CE0B661</paraID>
      <start>2</start>
      <end>3</end>
      <status>ignored</status>
      <modifiedWord/>
      <trackRevisions>false</trackRevisions>
    </reviewItem>
    <reviewItem>
      <errorID>14945d6a-8201-40de-84f8-005b5861a162</errorID>
      <errorWord>５</errorWord>
      <group>L1_Format</group>
      <groupName>格式问题</groupName>
      <ability>L2_HalfPunc</ability>
      <abilityName>全半角检查</abilityName>
      <candidateList>
        <item>5</item>
      </candidateList>
      <explain>文本全半角错误。</explain>
      <paraID>66BE148D</paraID>
      <start>2</start>
      <end>3</end>
      <status>ignored</status>
      <modifiedWord/>
      <trackRevisions>false</trackRevisions>
    </reviewItem>
    <reviewItem>
      <errorID>45d4f613-4c53-4b91-bbb7-70b2ad39484f</errorID>
      <errorWord>６</errorWord>
      <group>L1_Format</group>
      <groupName>格式问题</groupName>
      <ability>L2_HalfPunc</ability>
      <abilityName>全半角检查</abilityName>
      <candidateList>
        <item>6</item>
      </candidateList>
      <explain>文本全半角错误。</explain>
      <paraID> EBC1CA9</paraID>
      <start>2</start>
      <end>3</end>
      <status>ignored</status>
      <modifiedWord/>
      <trackRevisions>false</trackRevisions>
    </reviewItem>
    <reviewItem>
      <errorID>d264035d-be44-411e-bc4e-3282f23391fb</errorID>
      <errorWord>７</errorWord>
      <group>L1_Format</group>
      <groupName>格式问题</groupName>
      <ability>L2_HalfPunc</ability>
      <abilityName>全半角检查</abilityName>
      <candidateList>
        <item>7</item>
      </candidateList>
      <explain>文本全半角错误。</explain>
      <paraID>55AD3890</paraID>
      <start>2</start>
      <end>3</end>
      <status>ignored</status>
      <modifiedWord/>
      <trackRevisions>false</trackRevisions>
    </reviewItem>
    <reviewItem>
      <errorID>bb600d30-5724-4c84-92d2-84d89abe5676</errorID>
      <errorWord>工程师关交报告</errorWord>
      <group>L1_Word</group>
      <groupName>字词问题</groupName>
      <ability>L2_Typo</ability>
      <abilityName>字词错误</abilityName>
      <candidateList>
        <item>工程师提交报告</item>
      </candidateList>
      <explain/>
      <paraID> 24DD7E9</paraID>
      <start>103</start>
      <end>110</end>
      <status>ignored</status>
      <modifiedWord/>
      <trackRevisions>false</trackRevisions>
    </reviewItem>
    <reviewItem>
      <errorID>1fa921ce-7ba3-4b87-8918-a16bd111402f</errorID>
      <errorWord>关</errorWord>
      <group>L1_Word</group>
      <groupName>字词问题</groupName>
      <ability>L2_Typo</ability>
      <abilityName>字词错误</abilityName>
      <candidateList>
        <item>并</item>
      </candidateList>
      <explain>（並、竝）bìnɡ❶〈动〉两种或两种以上的事物平排着：～蒂莲｜我们手挽着手，肩～着肩。❷〈副〉表示不同的事物同时存在，不同的事情同时进行：两说～存｜相提～论。❸〈副〉用在否定词前面加强否定的语气，略带反驳的意味：你以为他糊涂，其实他～不糊涂｜所谓团结～非一团和气。❹〈连〉并且：我完全同意～拥护领导的决定。❺〈书〉〈介〉用法跟“连”相同（常跟“而”、“亦”呼应）：～此而不知｜～此浅近原理亦不能明。</explain>
      <paraID>6D19EB92</paraID>
      <start>36</start>
      <end>38</end>
      <status>modified</status>
      <modifiedWord>并</modifiedWord>
      <trackRevisions>true</trackRevisions>
    </reviewItem>
    <reviewItem>
      <errorID>d6848b94-e935-4009-a924-91a32051ee31</errorID>
      <errorWord>８</errorWord>
      <group>L1_Format</group>
      <groupName>格式问题</groupName>
      <ability>L2_HalfPunc</ability>
      <abilityName>全半角检查</abilityName>
      <candidateList>
        <item>8</item>
      </candidateList>
      <explain>文本全半角错误。</explain>
      <paraID>428EE937</paraID>
      <start>2</start>
      <end>3</end>
      <status>ignored</status>
      <modifiedWord/>
      <trackRevisions>false</trackRevisions>
    </reviewItem>
    <reviewItem>
      <errorID>66a6bdd1-b118-4544-bd5f-db4180921fd8</errorID>
      <errorWord>９</errorWord>
      <group>L1_Format</group>
      <groupName>格式问题</groupName>
      <ability>L2_HalfPunc</ability>
      <abilityName>全半角检查</abilityName>
      <candidateList>
        <item>9</item>
      </candidateList>
      <explain>文本全半角错误。</explain>
      <paraID>128218FE</paraID>
      <start>2</start>
      <end>3</end>
      <status>ignored</status>
      <modifiedWord/>
      <trackRevisions>false</trackRevisions>
    </reviewItem>
    <reviewItem>
      <errorID>80c2ce40-2644-4d7d-82ff-556b0fc7066c</errorID>
      <errorWord>，产</errorWord>
      <group>L1_Word</group>
      <groupName>字词问题</groupName>
      <ability>L2_Typo</ability>
      <abilityName>字词错误</abilityName>
      <candidateList>
        <item>，</item>
      </candidateList>
      <explain/>
      <paraID>4AC44D10</paraID>
      <start>32</start>
      <end>34</end>
      <status>ignored</status>
      <modifiedWord/>
      <trackRevisions>false</trackRevisions>
    </reviewItem>
    <reviewItem>
      <errorID>9d697573-07fd-498b-bc5d-6460f13a4907</errorID>
      <errorWord>，</errorWord>
      <group>L1_Word</group>
      <groupName>字词问题</groupName>
      <ability>L2_Typo</ability>
      <abilityName>字词错误</abilityName>
      <candidateList>
        <item>，由</item>
      </candidateList>
      <explain/>
      <paraID>5A6DA69F</paraID>
      <start>66</start>
      <end>67</end>
      <status>ignored</status>
      <modifiedWord/>
      <trackRevisions>false</trackRevisions>
    </reviewItem>
    <reviewItem>
      <errorID>d90b1670-2255-45da-a38d-4cffd153f743</errorID>
      <errorWord>１０</errorWord>
      <group>L1_Format</group>
      <groupName>格式问题</groupName>
      <ability>L2_HalfPunc</ability>
      <abilityName>全半角检查</abilityName>
      <candidateList>
        <item>10</item>
      </candidateList>
      <explain>文本全半角错误。</explain>
      <paraID>1B052D04</paraID>
      <start>2</start>
      <end>4</end>
      <status>ignored</status>
      <modifiedWord/>
      <trackRevisions>false</trackRevisions>
    </reviewItem>
    <reviewItem>
      <errorID>cf0bf82e-d3d1-4948-81a3-d9c9a8d23902</errorID>
      <errorWord>１１</errorWord>
      <group>L1_Format</group>
      <groupName>格式问题</groupName>
      <ability>L2_HalfPunc</ability>
      <abilityName>全半角检查</abilityName>
      <candidateList>
        <item>11</item>
      </candidateList>
      <explain>文本全半角错误。</explain>
      <paraID>1AC46D13</paraID>
      <start>2</start>
      <end>4</end>
      <status>ignored</status>
      <modifiedWord/>
      <trackRevisions>false</trackRevisions>
    </reviewItem>
    <reviewItem>
      <errorID>3e531fe8-7f12-41a0-86b6-9a07bea61670</errorID>
      <errorWord>１２</errorWord>
      <group>L1_Format</group>
      <groupName>格式问题</groupName>
      <ability>L2_HalfPunc</ability>
      <abilityName>全半角检查</abilityName>
      <candidateList>
        <item>12</item>
      </candidateList>
      <explain>文本全半角错误。</explain>
      <paraID>6E51F11E</paraID>
      <start>2</start>
      <end>4</end>
      <status>ignored</status>
      <modifiedWord/>
      <trackRevisions>false</trackRevisions>
    </reviewItem>
    <reviewItem>
      <errorID>eb70debf-4125-448d-992e-d2c5994be30d</errorID>
      <errorWord>作出的</errorWord>
      <group>L1_Word</group>
      <groupName>字词问题</groupName>
      <ability>L2_Typo</ability>
      <abilityName>字词错误</abilityName>
      <candidateList>
        <item>作出</item>
      </candidateList>
      <explain/>
      <paraID>6CF790E7</paraID>
      <start>114</start>
      <end>117</end>
      <status>ignored</status>
      <modifiedWord/>
      <trackRevisions>false</trackRevisions>
    </reviewItem>
    <reviewItem>
      <errorID>06174371-f443-4e02-903b-3152cc0f5663</errorID>
      <errorWord>１３</errorWord>
      <group>L1_Format</group>
      <groupName>格式问题</groupName>
      <ability>L2_HalfPunc</ability>
      <abilityName>全半角检查</abilityName>
      <candidateList>
        <item>13</item>
      </candidateList>
      <explain>文本全半角错误。</explain>
      <paraID>4AE9AA72</paraID>
      <start>2</start>
      <end>4</end>
      <status>ignored</status>
      <modifiedWord/>
      <trackRevisions>false</trackRevisions>
    </reviewItem>
    <reviewItem>
      <errorID>0148554b-5772-47b0-ad5c-a9e1b0b48443</errorID>
      <errorWord>１４</errorWord>
      <group>L1_Format</group>
      <groupName>格式问题</groupName>
      <ability>L2_HalfPunc</ability>
      <abilityName>全半角检查</abilityName>
      <candidateList>
        <item>14</item>
      </candidateList>
      <explain>文本全半角错误。</explain>
      <paraID>210737C4</paraID>
      <start>2</start>
      <end>4</end>
      <status>ignored</status>
      <modifiedWord/>
      <trackRevisions>false</trackRevisions>
    </reviewItem>
    <reviewItem>
      <errorID>770b460f-4474-4b1a-a7f8-d157e8a36b94</errorID>
      <errorWord>１５</errorWord>
      <group>L1_Format</group>
      <groupName>格式问题</groupName>
      <ability>L2_HalfPunc</ability>
      <abilityName>全半角检查</abilityName>
      <candidateList>
        <item>15</item>
      </candidateList>
      <explain>文本全半角错误。</explain>
      <paraID> 54299A2</paraID>
      <start>2</start>
      <end>4</end>
      <status>ignored</status>
      <modifiedWord/>
      <trackRevisions>false</trackRevisions>
    </reviewItem>
    <reviewItem>
      <errorID>641a0da3-f114-4a47-8f32-42f34c1bc2c5</errorID>
      <errorWord>１６</errorWord>
      <group>L1_Format</group>
      <groupName>格式问题</groupName>
      <ability>L2_HalfPunc</ability>
      <abilityName>全半角检查</abilityName>
      <candidateList>
        <item>16</item>
      </candidateList>
      <explain>文本全半角错误。</explain>
      <paraID>7E8E98C6</paraID>
      <start>2</start>
      <end>4</end>
      <status>ignored</status>
      <modifiedWord/>
      <trackRevisions>false</trackRevisions>
    </reviewItem>
    <reviewItem>
      <errorID>dc73e809-8365-487f-930c-a340ef7c7501</errorID>
      <errorWord>工程师的</errorWord>
      <group>L1_Word</group>
      <groupName>字词问题</groupName>
      <ability>L2_Typo</ability>
      <abilityName>字词错误</abilityName>
      <candidateList>
        <item>工程师</item>
      </candidateList>
      <explain/>
      <paraID> 1CCA744</paraID>
      <start>21</start>
      <end>25</end>
      <status>ignored</status>
      <modifiedWord/>
      <trackRevisions>false</trackRevisions>
    </reviewItem>
    <reviewItem>
      <errorID>d48609bc-eb43-47e5-8f8d-c93da9f680d8</errorID>
      <errorWord>１７</errorWord>
      <group>L1_Format</group>
      <groupName>格式问题</groupName>
      <ability>L2_HalfPunc</ability>
      <abilityName>全半角检查</abilityName>
      <candidateList>
        <item>17</item>
      </candidateList>
      <explain>文本全半角错误。</explain>
      <paraID>247BFA2C</paraID>
      <start>2</start>
      <end>4</end>
      <status>ignored</status>
      <modifiedWord/>
      <trackRevisions>false</trackRevisions>
    </reviewItem>
    <reviewItem>
      <errorID>1e324fcd-35fa-449d-8874-3d5fcf63e99c</errorID>
      <errorWord>１８</errorWord>
      <group>L1_Format</group>
      <groupName>格式问题</groupName>
      <ability>L2_HalfPunc</ability>
      <abilityName>全半角检查</abilityName>
      <candidateList>
        <item>18</item>
      </candidateList>
      <explain>文本全半角错误。</explain>
      <paraID> DF8E3EB</paraID>
      <start>2</start>
      <end>4</end>
      <status>ignored</status>
      <modifiedWord/>
      <trackRevisions>false</trackRevisions>
    </reviewItem>
    <reviewItem>
      <errorID>279439f7-3e15-47dc-9b6d-61da1768ebf0</errorID>
      <errorWord>１９</errorWord>
      <group>L1_Format</group>
      <groupName>格式问题</groupName>
      <ability>L2_HalfPunc</ability>
      <abilityName>全半角检查</abilityName>
      <candidateList>
        <item>19</item>
      </candidateList>
      <explain>文本全半角错误。</explain>
      <paraID>7FD3CFAB</paraID>
      <start>2</start>
      <end>4</end>
      <status>ignored</status>
      <modifiedWord/>
      <trackRevisions>false</trackRevisions>
    </reviewItem>
    <reviewItem>
      <errorID>1e982ac4-2f40-42da-99e7-ace2265b0835</errorID>
      <errorWord>，</errorWord>
      <group>L1_Word</group>
      <groupName>字词问题</groupName>
      <ability>L2_Typo</ability>
      <abilityName>字词错误</abilityName>
      <candidateList>
        <item>，由</item>
      </candidateList>
      <explain/>
      <paraID>34883B79</paraID>
      <start>105</start>
      <end>106</end>
      <status>ignored</status>
      <modifiedWord/>
      <trackRevisions>false</trackRevisions>
    </reviewItem>
    <reviewItem>
      <errorID>f0490c76-4ab1-47b2-b4e9-03ec25631812</errorID>
      <errorWord>２０</errorWord>
      <group>L1_Format</group>
      <groupName>格式问题</groupName>
      <ability>L2_HalfPunc</ability>
      <abilityName>全半角检查</abilityName>
      <candidateList>
        <item>20</item>
      </candidateList>
      <explain>文本全半角错误。</explain>
      <paraID>23A874C2</paraID>
      <start>2</start>
      <end>4</end>
      <status>ignored</status>
      <modifiedWord/>
      <trackRevisions>false</trackRevisions>
    </reviewItem>
    <reviewItem>
      <errorID>c9637a81-5770-4b7d-a807-bea986209f73</errorID>
      <errorWord>２１</errorWord>
      <group>L1_Format</group>
      <groupName>格式问题</groupName>
      <ability>L2_HalfPunc</ability>
      <abilityName>全半角检查</abilityName>
      <candidateList>
        <item>21</item>
      </candidateList>
      <explain>文本全半角错误。</explain>
      <paraID>67E503C5</paraID>
      <start>2</start>
      <end>4</end>
      <status>ignored</status>
      <modifiedWord/>
      <trackRevisions>false</trackRevisions>
    </reviewItem>
    <reviewItem>
      <errorID>ce10a0db-cb66-409e-9832-bcf7c224e570</errorID>
      <errorWord>２２</errorWord>
      <group>L1_Format</group>
      <groupName>格式问题</groupName>
      <ability>L2_HalfPunc</ability>
      <abilityName>全半角检查</abilityName>
      <candidateList>
        <item>22</item>
      </candidateList>
      <explain>文本全半角错误。</explain>
      <paraID> 390E769</paraID>
      <start>2</start>
      <end>4</end>
      <status>ignored</status>
      <modifiedWord/>
      <trackRevisions>false</trackRevisions>
    </reviewItem>
    <reviewItem>
      <errorID>8d7b2ccb-5586-4cdc-bf56-d5db26ac78b1</errorID>
      <errorWord>人</errorWord>
      <group>L1_Word</group>
      <groupName>字词问题</groupName>
      <ability>L2_Typo</ability>
      <abilityName>字词错误</abilityName>
      <candidateList>
        <item>人和</item>
      </candidateList>
      <explain/>
      <paraID>5F091557</paraID>
      <start>8</start>
      <end>9</end>
      <status>ignored</status>
      <modifiedWord/>
      <trackRevisions>false</trackRevisions>
    </reviewItem>
    <reviewItem>
      <errorID>025f032f-4caa-4d8c-acf2-efd340da7cb5</errorID>
      <errorWord>２３</errorWord>
      <group>L1_Format</group>
      <groupName>格式问题</groupName>
      <ability>L2_HalfPunc</ability>
      <abilityName>全半角检查</abilityName>
      <candidateList>
        <item>23</item>
      </candidateList>
      <explain>文本全半角错误。</explain>
      <paraID>1E07E0DF</paraID>
      <start>2</start>
      <end>4</end>
      <status>ignored</status>
      <modifiedWord/>
      <trackRevisions>false</trackRevisions>
    </reviewItem>
    <reviewItem>
      <errorID>3f3bdaf4-9e2a-4d24-a611-4ffba585e460</errorID>
      <errorWord>２４</errorWord>
      <group>L1_Format</group>
      <groupName>格式问题</groupName>
      <ability>L2_HalfPunc</ability>
      <abilityName>全半角检查</abilityName>
      <candidateList>
        <item>24</item>
      </candidateList>
      <explain>文本全半角错误。</explain>
      <paraID>122B4D91</paraID>
      <start>2</start>
      <end>4</end>
      <status>ignored</status>
      <modifiedWord/>
      <trackRevisions>false</trackRevisions>
    </reviewItem>
    <reviewItem>
      <errorID>8997b712-216d-49a7-885a-7f51db5c8fb9</errorID>
      <errorWord>预付时间</errorWord>
      <group>L1_Knowledge</group>
      <groupName>知识性问题</groupName>
      <ability>L2_Term</ability>
      <abilityName>专业术语</abilityName>
      <candidateList>
        <item>预热时间</item>
      </candidateList>
      <explain/>
      <paraID> 8AA37F8</paraID>
      <start>59</start>
      <end>63</end>
      <status>ignored</status>
      <modifiedWord/>
      <trackRevisions>false</trackRevisions>
    </reviewItem>
    <reviewItem>
      <errorID>7efd8c5f-e2ad-49e7-b337-25b002f527c6</errorID>
      <errorWord>２５</errorWord>
      <group>L1_Format</group>
      <groupName>格式问题</groupName>
      <ability>L2_HalfPunc</ability>
      <abilityName>全半角检查</abilityName>
      <candidateList>
        <item>25</item>
      </candidateList>
      <explain>文本全半角错误。</explain>
      <paraID> FAC39B0</paraID>
      <start>2</start>
      <end>4</end>
      <status>ignored</status>
      <modifiedWord/>
      <trackRevisions>false</trackRevisions>
    </reviewItem>
    <reviewItem>
      <errorID>7608570e-7bad-4a49-b693-9fa8854138f4</errorID>
      <errorWord>２６</errorWord>
      <group>L1_Format</group>
      <groupName>格式问题</groupName>
      <ability>L2_HalfPunc</ability>
      <abilityName>全半角检查</abilityName>
      <candidateList>
        <item>26</item>
      </candidateList>
      <explain>文本全半角错误。</explain>
      <paraID> 7A86AED</paraID>
      <start>2</start>
      <end>4</end>
      <status>ignored</status>
      <modifiedWord/>
      <trackRevisions>false</trackRevisions>
    </reviewItem>
    <reviewItem>
      <errorID>591932c6-2889-44f2-b59a-7becb048b7c9</errorID>
      <errorWord>应付款</errorWord>
      <group>L1_Word</group>
      <groupName>字词问题</groupName>
      <ability>L2_Typo</ability>
      <abilityName>字词错误</abilityName>
      <candidateList>
        <item>应付</item>
      </candidateList>
      <explain/>
      <paraID>3545C71A</paraID>
      <start>123</start>
      <end>126</end>
      <status>ignored</status>
      <modifiedWord/>
      <trackRevisions>false</trackRevisions>
    </reviewItem>
    <reviewItem>
      <errorID>0c3ec0d7-a9fe-4e2c-b67e-3cc970374273</errorID>
      <errorWord>２７</errorWord>
      <group>L1_Format</group>
      <groupName>格式问题</groupName>
      <ability>L2_HalfPunc</ability>
      <abilityName>全半角检查</abilityName>
      <candidateList>
        <item>27</item>
      </candidateList>
      <explain>文本全半角错误。</explain>
      <paraID>3C514502</paraID>
      <start>2</start>
      <end>4</end>
      <status>ignored</status>
      <modifiedWord/>
      <trackRevisions>false</trackRevisions>
    </reviewItem>
    <reviewItem>
      <errorID>50e96f3a-3a7e-46da-8d73-92ff07bad049</errorID>
      <errorWord>到贷</errorWord>
      <group>L1_Word</group>
      <groupName>字词问题</groupName>
      <ability>L2_Typo</ability>
      <abilityName>字词错误</abilityName>
      <candidateList>
        <item>到货</item>
      </candidateList>
      <explain>存在字形相近字词的误用。</explain>
      <paraID> 40E89F7</paraID>
      <start>56</start>
      <end>60</end>
      <status>modified</status>
      <modifiedWord>到货</modifiedWord>
      <trackRevisions>true</trackRevisions>
    </reviewItem>
    <reviewItem>
      <errorID>affd0012-a777-4cab-89b2-bedce65cec42</errorID>
      <errorWord>到贷</errorWord>
      <group>L1_Word</group>
      <groupName>字词问题</groupName>
      <ability>L2_Typo</ability>
      <abilityName>字词错误</abilityName>
      <candidateList>
        <item>到货</item>
      </candidateList>
      <explain/>
      <paraID>3A84E70F</paraID>
      <start>5</start>
      <end>9</end>
      <status>modified</status>
      <modifiedWord>到货</modifiedWord>
      <trackRevisions>true</trackRevisions>
    </reviewItem>
    <reviewItem>
      <errorID>7dec0f5d-e502-40d3-8b30-ed37ff34a7ee</errorID>
      <errorWord>到贷时间</errorWord>
      <group>L1_Word</group>
      <groupName>字词问题</groupName>
      <ability>L2_Typo</ability>
      <abilityName>字词错误</abilityName>
      <candidateList>
        <item>到货时间</item>
      </candidateList>
      <explain/>
      <paraID>251193A6</paraID>
      <start>5</start>
      <end>13</end>
      <status>modified</status>
      <modifiedWord>到货时间</modifiedWord>
      <trackRevisions>true</trackRevisions>
    </reviewItem>
    <reviewItem>
      <errorID>edc3e2b0-ae70-426b-a379-880343766632</errorID>
      <errorWord>到贷时间</errorWord>
      <group>L1_Word</group>
      <groupName>字词问题</groupName>
      <ability>L2_Typo</ability>
      <abilityName>字词错误</abilityName>
      <candidateList>
        <item>到货时间</item>
      </candidateList>
      <explain/>
      <paraID>251193A6</paraID>
      <start>39</start>
      <end>47</end>
      <status>modified</status>
      <modifiedWord>到货时间</modifiedWord>
      <trackRevisions>true</trackRevisions>
    </reviewItem>
    <reviewItem>
      <errorID>65d6dd77-c450-4372-8766-ce302460fc68</errorID>
      <errorWord>，</errorWord>
      <group>L1_Word</group>
      <groupName>字词问题</groupName>
      <ability>L2_Typo</ability>
      <abilityName>字词错误</abilityName>
      <candidateList>
        <item>，由</item>
      </candidateList>
      <explain/>
      <paraID>251193A6</paraID>
      <start>59</start>
      <end>60</end>
      <status>ignored</status>
      <modifiedWord/>
      <trackRevisions>false</trackRevisions>
    </reviewItem>
    <reviewItem>
      <errorID>8220c98d-4c60-4668-8740-200e0f6e24dc</errorID>
      <errorWord>２８</errorWord>
      <group>L1_Format</group>
      <groupName>格式问题</groupName>
      <ability>L2_HalfPunc</ability>
      <abilityName>全半角检查</abilityName>
      <candidateList>
        <item>28</item>
      </candidateList>
      <explain>文本全半角错误。</explain>
      <paraID>1900DD03</paraID>
      <start>2</start>
      <end>4</end>
      <status>ignored</status>
      <modifiedWord/>
      <trackRevisions>false</trackRevisions>
    </reviewItem>
    <reviewItem>
      <errorID>de244750-6ecd-4be5-867b-517abadf35bd</errorID>
      <errorWord>２９</errorWord>
      <group>L1_Format</group>
      <groupName>格式问题</groupName>
      <ability>L2_HalfPunc</ability>
      <abilityName>全半角检查</abilityName>
      <candidateList>
        <item>29</item>
      </candidateList>
      <explain>文本全半角错误。</explain>
      <paraID> F387058</paraID>
      <start>3</start>
      <end>5</end>
      <status>ignored</status>
      <modifiedWord/>
      <trackRevisions>false</trackRevisions>
    </reviewItem>
    <reviewItem>
      <errorID>15f6cfa2-c81a-4233-a8b7-1ee5b39eb82b</errorID>
      <errorWord>人</errorWord>
      <group>L1_Word</group>
      <groupName>字词问题</groupName>
      <ability>L2_Typo</ability>
      <abilityName>字词错误</abilityName>
      <candidateList>
        <item>人与</item>
      </candidateList>
      <explain/>
      <paraID>2E5721ED</paraID>
      <start>33</start>
      <end>34</end>
      <status>ignored</status>
      <modifiedWord/>
      <trackRevisions>false</trackRevisions>
    </reviewItem>
    <reviewItem>
      <errorID>f834d007-c8de-4715-ba99-62683f182346</errorID>
      <errorWord>３０</errorWord>
      <group>L1_Format</group>
      <groupName>格式问题</groupName>
      <ability>L2_HalfPunc</ability>
      <abilityName>全半角检查</abilityName>
      <candidateList>
        <item>30</item>
      </candidateList>
      <explain>文本全半角错误。</explain>
      <paraID>3A539AC7</paraID>
      <start>2</start>
      <end>4</end>
      <status>ignored</status>
      <modifiedWord/>
      <trackRevisions>false</trackRevisions>
    </reviewItem>
    <reviewItem>
      <errorID>a50b8b4a-f748-4b18-a916-8f00f7d54318</errorID>
      <errorWord>３１</errorWord>
      <group>L1_Format</group>
      <groupName>格式问题</groupName>
      <ability>L2_HalfPunc</ability>
      <abilityName>全半角检查</abilityName>
      <candidateList>
        <item>31</item>
      </candidateList>
      <explain>文本全半角错误。</explain>
      <paraID>77279CE1</paraID>
      <start>2</start>
      <end>4</end>
      <status>ignored</status>
      <modifiedWord/>
      <trackRevisions>false</trackRevisions>
    </reviewItem>
    <reviewItem>
      <errorID>00534adc-e5af-4c41-8dbd-66fdc63fc15f</errorID>
      <errorWord>介款</errorWord>
      <group>L1_Word</group>
      <groupName>字词问题</groupName>
      <ability>L2_Typo</ability>
      <abilityName>字词错误</abilityName>
      <candidateList>
        <item>价款</item>
      </candidateList>
      <explain>存在字形相近字词的误用。</explain>
      <paraID>1329A6F5</paraID>
      <start>33</start>
      <end>37</end>
      <status>modified</status>
      <modifiedWord>价款</modifiedWord>
      <trackRevisions>true</trackRevisions>
    </reviewItem>
    <reviewItem>
      <errorID>d527721c-49ac-4761-b978-c08e82cb4d01</errorID>
      <errorWord>３２</errorWord>
      <group>L1_Format</group>
      <groupName>格式问题</groupName>
      <ability>L2_HalfPunc</ability>
      <abilityName>全半角检查</abilityName>
      <candidateList>
        <item>32</item>
      </candidateList>
      <explain>文本全半角错误。</explain>
      <paraID>2B09400E</paraID>
      <start>2</start>
      <end>4</end>
      <status>ignored</status>
      <modifiedWord/>
      <trackRevisions>false</trackRevisions>
    </reviewItem>
    <reviewItem>
      <errorID>083ce0f4-e5af-449c-a979-fc01656ef4bc</errorID>
      <errorWord>３３</errorWord>
      <group>L1_Format</group>
      <groupName>格式问题</groupName>
      <ability>L2_HalfPunc</ability>
      <abilityName>全半角检查</abilityName>
      <candidateList>
        <item>33</item>
      </candidateList>
      <explain>文本全半角错误。</explain>
      <paraID>7CA5E096</paraID>
      <start>2</start>
      <end>4</end>
      <status>ignored</status>
      <modifiedWord/>
      <trackRevisions>false</trackRevisions>
    </reviewItem>
    <reviewItem>
      <errorID>280e6b10-e04e-411c-959d-1cc649f0a0ff</errorID>
      <errorWord>３４</errorWord>
      <group>L1_Format</group>
      <groupName>格式问题</groupName>
      <ability>L2_HalfPunc</ability>
      <abilityName>全半角检查</abilityName>
      <candidateList>
        <item>34</item>
      </candidateList>
      <explain>文本全半角错误。</explain>
      <paraID> 72B15D4</paraID>
      <start>2</start>
      <end>4</end>
      <status>ignored</status>
      <modifiedWord/>
      <trackRevisions>false</trackRevisions>
    </reviewItem>
    <reviewItem>
      <errorID>7539490a-9017-47e1-8668-dc84dced03f4</errorID>
      <errorWord>在关</errorWord>
      <group>L1_Word</group>
      <groupName>字词问题</groupName>
      <ability>L2_Typo</ability>
      <abilityName>字词错误</abilityName>
      <candidateList>
        <item>有关</item>
      </candidateList>
      <explain>存在字形相近字词的误用。</explain>
      <paraID>26EDC777</paraID>
      <start>30</start>
      <end>34</end>
      <status>modified</status>
      <modifiedWord>有关</modifiedWord>
      <trackRevisions>true</trackRevisions>
    </reviewItem>
    <reviewItem>
      <errorID>ef76ab82-4a72-4875-a7ab-75dcfd36be12</errorID>
      <errorWord>３</errorWord>
      <group>L1_Format</group>
      <groupName>格式问题</groupName>
      <ability>L2_HalfPunc</ability>
      <abilityName>全半角检查</abilityName>
      <candidateList>
        <item>3</item>
      </candidateList>
      <explain>文本全半角错误。</explain>
      <paraID>46482711</paraID>
      <start>52</start>
      <end>53</end>
      <status>ignored</status>
      <modifiedWord/>
      <trackRevisions>false</trackRevisions>
    </reviewItem>
    <reviewItem>
      <errorID>d95c6439-e23e-449b-9716-0ff2f78b284a</errorID>
      <errorWord>３５</errorWord>
      <group>L1_Format</group>
      <groupName>格式问题</groupName>
      <ability>L2_HalfPunc</ability>
      <abilityName>全半角检查</abilityName>
      <candidateList>
        <item>35</item>
      </candidateList>
      <explain>文本全半角错误。</explain>
      <paraID>1E493265</paraID>
      <start>2</start>
      <end>4</end>
      <status>ignored</status>
      <modifiedWord/>
      <trackRevisions>false</trackRevisions>
    </reviewItem>
    <reviewItem>
      <errorID>4ce720d7-0e63-4d60-9944-15885df49816</errorID>
      <errorWord>数额可</errorWord>
      <group>L1_Word</group>
      <groupName>字词问题</groupName>
      <ability>L2_Typo</ability>
      <abilityName>字词错误</abilityName>
      <candidateList>
        <item>数额</item>
      </candidateList>
      <explain/>
      <paraID>44CBFB5F</paraID>
      <start>67</start>
      <end>70</end>
      <status>ignored</status>
      <modifiedWord/>
      <trackRevisions>false</trackRevisions>
    </reviewItem>
    <reviewItem>
      <errorID>86f81d4b-53a1-4167-a739-a835b878a4a7</errorID>
      <errorWord>违给方</errorWord>
      <group>L1_Word</group>
      <groupName>字词问题</groupName>
      <ability>L2_Typo</ability>
      <abilityName>字词错误</abilityName>
      <candidateList>
        <item>违约方</item>
      </candidateList>
      <explain/>
      <paraID>652B4E41</paraID>
      <start>17</start>
      <end>23</end>
      <status>modified</status>
      <modifiedWord>违约方</modifiedWord>
      <trackRevisions>true</trackRevisions>
    </reviewItem>
    <reviewItem>
      <errorID>f11e77f2-b7cf-458e-b557-4a57ff2da90e</errorID>
      <errorWord>３６</errorWord>
      <group>L1_Format</group>
      <groupName>格式问题</groupName>
      <ability>L2_HalfPunc</ability>
      <abilityName>全半角检查</abilityName>
      <candidateList>
        <item>36</item>
      </candidateList>
      <explain>文本全半角错误。</explain>
      <paraID>13326942</paraID>
      <start>2</start>
      <end>4</end>
      <status>ignored</status>
      <modifiedWord/>
      <trackRevisions>false</trackRevisions>
    </reviewItem>
    <reviewItem>
      <errorID>b5dc5f37-272b-45b4-861c-cf655ce3aa08</errorID>
      <errorWord>３７</errorWord>
      <group>L1_Format</group>
      <groupName>格式问题</groupName>
      <ability>L2_HalfPunc</ability>
      <abilityName>全半角检查</abilityName>
      <candidateList>
        <item>37</item>
      </candidateList>
      <explain>文本全半角错误。</explain>
      <paraID>34D76ECC</paraID>
      <start>2</start>
      <end>4</end>
      <status>ignored</status>
      <modifiedWord/>
      <trackRevisions>false</trackRevisions>
    </reviewItem>
    <reviewItem>
      <errorID>cb15671a-02de-4809-b01c-373e026aa997</errorID>
      <errorWord>人</errorWord>
      <group>L1_Word</group>
      <groupName>字词问题</groupName>
      <ability>L2_Typo</ability>
      <abilityName>字词错误</abilityName>
      <candidateList>
        <item>人与</item>
      </candidateList>
      <explain/>
      <paraID>2A6DD93F</paraID>
      <start>8</start>
      <end>9</end>
      <status>ignored</status>
      <modifiedWord/>
      <trackRevisions>false</trackRevisions>
    </reviewItem>
    <reviewItem>
      <errorID>a9499c16-b02b-4db4-8cd3-f6230709d5f0</errorID>
      <errorWord>完</errorWord>
      <group>L1_Word</group>
      <groupName>字词问题</groupName>
      <ability>L2_Typo</ability>
      <abilityName>字词错误</abilityName>
      <candidateList>
        <item>完成</item>
      </candidateList>
      <explain>〈动〉按照预期的目的结束；做成：～任务｜～作业｜计划完得成。</explain>
      <paraID>4BE79EB2</paraID>
      <start>44</start>
      <end>45</end>
      <status>ignored</status>
      <modifiedWord/>
      <trackRevisions>false</trackRevisions>
    </reviewItem>
    <reviewItem>
      <errorID>d66ab683-558b-42fa-bffe-b16216b99744</errorID>
      <errorWord>３８</errorWord>
      <group>L1_Format</group>
      <groupName>格式问题</groupName>
      <ability>L2_HalfPunc</ability>
      <abilityName>全半角检查</abilityName>
      <candidateList>
        <item>38</item>
      </candidateList>
      <explain>文本全半角错误。</explain>
      <paraID>1E467A7C</paraID>
      <start>2</start>
      <end>4</end>
      <status>ignored</status>
      <modifiedWord/>
      <trackRevisions>false</trackRevisions>
    </reviewItem>
    <reviewItem>
      <errorID>224a008b-fdfa-4fba-8fe4-78d5086d1f30</errorID>
      <errorWord>３９</errorWord>
      <group>L1_Format</group>
      <groupName>格式问题</groupName>
      <ability>L2_HalfPunc</ability>
      <abilityName>全半角检查</abilityName>
      <candidateList>
        <item>39</item>
      </candidateList>
      <explain>文本全半角错误。</explain>
      <paraID>20AE7BB4</paraID>
      <start>2</start>
      <end>4</end>
      <status>ignored</status>
      <modifiedWord/>
      <trackRevisions>false</trackRevisions>
    </reviewItem>
    <reviewItem>
      <errorID>0dd67f89-cf4b-44a0-b334-66083ead8792</errorID>
      <errorWord>产</errorWord>
      <group>L1_Word</group>
      <groupName>字词问题</groupName>
      <ability>L2_Typo</ability>
      <abilityName>字词错误</abilityName>
      <candidateList>
        <item>在</item>
      </candidateList>
      <explain>❶〈动〉存在；生存：精神永～｜留得青山～，不怕没柴烧｜父母都～。❷〈动〉表示人或事物的位置：我今天晚上不～厂里｜你的钢笔～桌子上呢。❸〈动〉留在：～职｜～位。❹〈动〉参加（某团体）；属于（某团体）：～党｜～组织。❺〈动〉在于；决定于：事～人为｜学习好，主要～自己努力。❻“在”和“所”连用，表示强调，下面多连“不”：～所不辞｜～所不惜｜～所不计｜～所难免。❼〈介〉表示时间、处所、范围、条件等：事情发生～去年｜～礼堂开会｜这件事～方式上还可以研究｜～他的帮助下，我取得了较好的成绩。❽〈副〉正在：风～刮，雨～下｜姐姐～做功课。</explain>
      <paraID>62D5C1A6</paraID>
      <start>28</start>
      <end>29</end>
      <status>ignored</status>
      <modifiedWord/>
      <trackRevisions>false</trackRevisions>
    </reviewItem>
    <reviewItem>
      <errorID>5dc8d07a-0cea-463d-84c6-94a1d6a62232</errorID>
      <errorWord>尽力</errorWord>
      <group>L1_Word</group>
      <groupName>字词问题</groupName>
      <ability>L2_Typo</ability>
      <abilityName>字词错误</abilityName>
      <candidateList>
        <item>尽量</item>
      </candidateList>
      <explain/>
      <paraID>62D5C1A6</paraID>
      <start>45</start>
      <end>47</end>
      <status>ignored</status>
      <modifiedWord/>
      <trackRevisions>false</trackRevisions>
    </reviewItem>
    <reviewItem>
      <errorID>3fb3db4e-17a7-4645-abc8-f23528af85c6</errorID>
      <errorWord>，</errorWord>
      <group>L1_Word</group>
      <groupName>字词问题</groupName>
      <ability>L2_Typo</ability>
      <abilityName>字词错误</abilityName>
      <candidateList>
        <item>，以</item>
      </candidateList>
      <explain/>
      <paraID>62D5C1A6</paraID>
      <start>98</start>
      <end>99</end>
      <status>ignored</status>
      <modifiedWord/>
      <trackRevisions>false</trackRevisions>
    </reviewItem>
    <reviewItem>
      <errorID>987f45f7-9afa-43e6-9f0f-f2099c1a3389</errorID>
      <errorWord>４０</errorWord>
      <group>L1_Format</group>
      <groupName>格式问题</groupName>
      <ability>L2_HalfPunc</ability>
      <abilityName>全半角检查</abilityName>
      <candidateList>
        <item>40</item>
      </candidateList>
      <explain>文本全半角错误。</explain>
      <paraID>6A1389FF</paraID>
      <start>2</start>
      <end>4</end>
      <status>ignored</status>
      <modifiedWord/>
      <trackRevisions>false</trackRevisions>
    </reviewItem>
    <reviewItem>
      <errorID>679d4d13-e397-42ad-9efd-2825a5bf80fb</errorID>
      <errorWord>人事</errorWord>
      <group>L1_Word</group>
      <groupName>字词问题</groupName>
      <ability>L2_Typo</ability>
      <abilityName>字词错误</abilityName>
      <candidateList>
        <item>从事</item>
      </candidateList>
      <explain>存在字形相近字词的误用。</explain>
      <paraID>60792EB1</paraID>
      <start>12</start>
      <end>14</end>
      <status>ignored</status>
      <modifiedWord/>
      <trackRevisions>false</trackRevisions>
    </reviewItem>
    <reviewItem>
      <errorID>579a7073-ef25-4eb0-967e-7ed05cd1c821</errorID>
      <errorWord>４１</errorWord>
      <group>L1_Format</group>
      <groupName>格式问题</groupName>
      <ability>L2_HalfPunc</ability>
      <abilityName>全半角检查</abilityName>
      <candidateList>
        <item>41</item>
      </candidateList>
      <explain>文本全半角错误。</explain>
      <paraID>49EDF385</paraID>
      <start>2</start>
      <end>4</end>
      <status>ignored</status>
      <modifiedWord/>
      <trackRevisions>false</trackRevisions>
    </reviewItem>
    <reviewItem>
      <errorID>2136dc02-1b5e-4c98-b484-76d144ec25d6</errorID>
      <errorWord>人</errorWord>
      <group>L1_Word</group>
      <groupName>字词问题</groupName>
      <ability>L2_Typo</ability>
      <abilityName>字词错误</abilityName>
      <candidateList>
        <item>人和</item>
      </candidateList>
      <explain/>
      <paraID>26FCFFE2</paraID>
      <start>8</start>
      <end>9</end>
      <status>ignored</status>
      <modifiedWord/>
      <trackRevisions>false</trackRevisions>
    </reviewItem>
    <reviewItem>
      <errorID>ce9f86fd-3302-41d8-b8e9-caca2d20e89c</errorID>
      <errorWord>４２</errorWord>
      <group>L1_Format</group>
      <groupName>格式问题</groupName>
      <ability>L2_HalfPunc</ability>
      <abilityName>全半角检查</abilityName>
      <candidateList>
        <item>42</item>
      </candidateList>
      <explain>文本全半角错误。</explain>
      <paraID>1DB3BCCE</paraID>
      <start>2</start>
      <end>4</end>
      <status>ignored</status>
      <modifiedWord/>
      <trackRevisions>false</trackRevisions>
    </reviewItem>
    <reviewItem>
      <errorID>a97f9c29-1e37-42c6-8b31-85bed0f85760</errorID>
      <errorWord>，就</errorWord>
      <group>L1_Word</group>
      <groupName>字词问题</groupName>
      <ability>L2_Typo</ability>
      <abilityName>字词错误</abilityName>
      <candidateList>
        <item>，</item>
      </candidateList>
      <explain/>
      <paraID>466692B4</paraID>
      <start>22</start>
      <end>24</end>
      <status>ignored</status>
      <modifiedWord/>
      <trackRevisions>false</trackRevisions>
    </reviewItem>
    <reviewItem>
      <errorID>9e959d38-9684-49b1-bbbb-99d8d12b3368</errorID>
      <errorWord>４３</errorWord>
      <group>L1_Format</group>
      <groupName>格式问题</groupName>
      <ability>L2_HalfPunc</ability>
      <abilityName>全半角检查</abilityName>
      <candidateList>
        <item>43</item>
      </candidateList>
      <explain>文本全半角错误。</explain>
      <paraID>3B743176</paraID>
      <start>2</start>
      <end>4</end>
      <status>ignored</status>
      <modifiedWord/>
      <trackRevisions>false</trackRevisions>
    </reviewItem>
    <reviewItem>
      <errorID>eb586841-4f13-4b0c-8e40-82512d15b3fe</errorID>
      <errorWord>了现</errorWord>
      <group>L1_Word</group>
      <groupName>字词问题</groupName>
      <ability>L2_Typo</ability>
      <abilityName>字词错误</abilityName>
      <candidateList>
        <item>发现</item>
      </candidateList>
      <explain/>
      <paraID> 28DCAF7</paraID>
      <start>9</start>
      <end>13</end>
      <status>modified</status>
      <modifiedWord>发现</modifiedWord>
      <trackRevisions>true</trackRevisions>
    </reviewItem>
    <reviewItem>
      <errorID>e1430e41-24da-40ac-816c-b3ba0f2400de</errorID>
      <errorWord>４４</errorWord>
      <group>L1_Format</group>
      <groupName>格式问题</groupName>
      <ability>L2_HalfPunc</ability>
      <abilityName>全半角检查</abilityName>
      <candidateList>
        <item>44</item>
      </candidateList>
      <explain>文本全半角错误。</explain>
      <paraID>4BE00E6A</paraID>
      <start>2</start>
      <end>4</end>
      <status>ignored</status>
      <modifiedWord/>
      <trackRevisions>false</trackRevisions>
    </reviewItem>
    <reviewItem>
      <errorID>06cbc548-5167-404e-87bd-ddfcb86f77a0</errorID>
      <errorWord>人</errorWord>
      <group>L1_Word</group>
      <groupName>字词问题</groupName>
      <ability>L2_Typo</ability>
      <abilityName>字词错误</abilityName>
      <candidateList>
        <item>人与</item>
      </candidateList>
      <explain/>
      <paraID>695F21BF</paraID>
      <start>8</start>
      <end>9</end>
      <status>ignored</status>
      <modifiedWord/>
      <trackRevisions>false</trackRevisions>
    </reviewItem>
    <reviewItem>
      <errorID>42b011a1-1dcc-4f21-b6dd-82300d8d7367</errorID>
      <errorWord>完</errorWord>
      <group>L1_Word</group>
      <groupName>字词问题</groupName>
      <ability>L2_Typo</ability>
      <abilityName>字词错误</abilityName>
      <candidateList>
        <item>完成</item>
      </candidateList>
      <explain>〈动〉按照预期的目的结束；做成：～任务｜～作业｜计划完得成。</explain>
      <paraID>7DB9EA9D</paraID>
      <start>21</start>
      <end>22</end>
      <status>ignored</status>
      <modifiedWord/>
      <trackRevisions>false</trackRevisions>
    </reviewItem>
    <reviewItem>
      <errorID>67bc5fd1-50e1-43e0-992e-a01187802b1d</errorID>
      <errorWord>４５</errorWord>
      <group>L1_Format</group>
      <groupName>格式问题</groupName>
      <ability>L2_HalfPunc</ability>
      <abilityName>全半角检查</abilityName>
      <candidateList>
        <item>45</item>
      </candidateList>
      <explain>文本全半角错误。</explain>
      <paraID>64FB614E</paraID>
      <start>2</start>
      <end>4</end>
      <status>ignored</status>
      <modifiedWord/>
      <trackRevisions>false</trackRevisions>
    </reviewItem>
    <reviewItem>
      <errorID>9e82481c-5b1a-4c08-879c-6f4a5d7bc2bd</errorID>
      <errorWord>４６</errorWord>
      <group>L1_Format</group>
      <groupName>格式问题</groupName>
      <ability>L2_HalfPunc</ability>
      <abilityName>全半角检查</abilityName>
      <candidateList>
        <item>46</item>
      </candidateList>
      <explain>文本全半角错误。</explain>
      <paraID>5BEDD450</paraID>
      <start>2</start>
      <end>4</end>
      <status>ignored</status>
      <modifiedWord/>
      <trackRevisions>false</trackRevisions>
    </reviewItem>
    <reviewItem>
      <errorID>04886099-611d-43bb-a604-723f76775931</errorID>
      <errorWord>４７</errorWord>
      <group>L1_Format</group>
      <groupName>格式问题</groupName>
      <ability>L2_HalfPunc</ability>
      <abilityName>全半角检查</abilityName>
      <candidateList>
        <item>47</item>
      </candidateList>
      <explain>文本全半角错误。</explain>
      <paraID>3A95E935</paraID>
      <start>2</start>
      <end>4</end>
      <status>ignored</status>
      <modifiedWord/>
      <trackRevisions>false</trackRevisions>
    </reviewItem>
    <reviewItem>
      <errorID>0d9a90b4-7b2a-4a9f-bfed-c41d71adc9bb</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5247D0BB</paraID>
      <start>0</start>
      <end>2</end>
      <status>ignored</status>
      <modifiedWord/>
      <trackRevisions>false</trackRevisions>
    </reviewItem>
    <reviewItem>
      <errorID>e4b78cec-e2a2-4400-a560-9182213df0ec</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3E879505</paraID>
      <start>0</start>
      <end>2</end>
      <status>ignored</status>
      <modifiedWord/>
      <trackRevisions>false</trackRevisions>
    </reviewItem>
    <reviewItem>
      <errorID>2a13cc57-bd67-499e-8b21-e39df614566f</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7D1488E3</paraID>
      <start>0</start>
      <end>2</end>
      <status>ignored</status>
      <modifiedWord/>
      <trackRevisions>false</trackRevisions>
    </reviewItem>
    <reviewItem>
      <errorID>f9e84c44-2f8d-45ff-b0c1-5ce3909179cf</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651C7D8B</paraID>
      <start>0</start>
      <end>2</end>
      <status>ignored</status>
      <modifiedWord/>
      <trackRevisions>false</trackRevisions>
    </reviewItem>
    <reviewItem>
      <errorID>52ce53d0-b642-4b86-b899-29f5ad95603c</errorID>
      <errorWord>:</errorWord>
      <group>L1_Format</group>
      <groupName>格式问题</groupName>
      <ability>L2_HalfPunc</ability>
      <abilityName>全半角检查</abilityName>
      <candidateList>
        <item>：</item>
      </candidateList>
      <explain>文本全半角错误。</explain>
      <paraID>215F1464</paraID>
      <start>2</start>
      <end>3</end>
      <status>ignored</status>
      <modifiedWord/>
      <trackRevisions>false</trackRevisions>
    </reviewItem>
    <reviewItem>
      <errorID>330f1217-d40a-4779-afaf-e5fe68dad764</errorID>
      <errorWord>:</errorWord>
      <group>L1_Format</group>
      <groupName>格式问题</groupName>
      <ability>L2_HalfPunc</ability>
      <abilityName>全半角检查</abilityName>
      <candidateList>
        <item>：</item>
      </candidateList>
      <explain>文本全半角错误。</explain>
      <paraID>215F1464</paraID>
      <start>11</start>
      <end>12</end>
      <status>ignored</status>
      <modifiedWord/>
      <trackRevisions>false</trackRevisions>
    </reviewItem>
    <reviewItem>
      <errorID>811d92e3-d2a0-4051-8ecc-22d21d160a15</errorID>
      <errorWord>:</errorWord>
      <group>L1_Format</group>
      <groupName>格式问题</groupName>
      <ability>L2_HalfPunc</ability>
      <abilityName>全半角检查</abilityName>
      <candidateList>
        <item>：</item>
      </candidateList>
      <explain>文本全半角错误。</explain>
      <paraID>19DE46A9</paraID>
      <start>8</start>
      <end>9</end>
      <status>ignored</status>
      <modifiedWord/>
      <trackRevisions>false</trackRevisions>
    </reviewItem>
    <reviewItem>
      <errorID>181ed4e2-7dba-43ce-b35c-aa273a3aa6a4</errorID>
      <errorWord>:</errorWord>
      <group>L1_Format</group>
      <groupName>格式问题</groupName>
      <ability>L2_HalfPunc</ability>
      <abilityName>全半角检查</abilityName>
      <candidateList>
        <item>：</item>
      </candidateList>
      <explain>文本全半角错误。</explain>
      <paraID>34055608</paraID>
      <start>16</start>
      <end>17</end>
      <status>ignored</status>
      <modifiedWord/>
      <trackRevisions>false</trackRevisions>
    </reviewItem>
    <reviewItem>
      <errorID>dff961a8-8598-494f-8757-85b6b82f837d</errorID>
      <errorWord>:</errorWord>
      <group>L1_Format</group>
      <groupName>格式问题</groupName>
      <ability>L2_HalfPunc</ability>
      <abilityName>全半角检查</abilityName>
      <candidateList>
        <item>：</item>
      </candidateList>
      <explain>文本全半角错误。</explain>
      <paraID>307D679E</paraID>
      <start>2</start>
      <end>3</end>
      <status>ignored</status>
      <modifiedWord/>
      <trackRevisions>false</trackRevisions>
    </reviewItem>
    <reviewItem>
      <errorID>ac1b3956-7e97-492e-9937-f35a3a495067</errorID>
      <errorWord>:</errorWord>
      <group>L1_Format</group>
      <groupName>格式问题</groupName>
      <ability>L2_HalfPunc</ability>
      <abilityName>全半角检查</abilityName>
      <candidateList>
        <item>：</item>
      </candidateList>
      <explain>文本全半角错误。</explain>
      <paraID>70A0ACE0</paraID>
      <start>2</start>
      <end>3</end>
      <status>ignored</status>
      <modifiedWord/>
      <trackRevisions>false</trackRevisions>
    </reviewItem>
    <reviewItem>
      <errorID>4e1d9640-17b4-4e71-8aa6-1b5b6ce26677</errorID>
      <errorWord>其它</errorWord>
      <group>L1_Word</group>
      <groupName>字词问题</groupName>
      <ability>L2_Alias</ability>
      <abilityName>也作/曾用词</abilityName>
      <candidateList>
        <item>其他</item>
      </candidateList>
      <explain>词汇[其它]为不规范表述或旧称，其规范书面表述为[其他]。</explain>
      <paraID>70A0ACE0</paraID>
      <start>32</start>
      <end>34</end>
      <status>ignored</status>
      <modifiedWord/>
      <trackRevisions>false</trackRevisions>
    </reviewItem>
    <reviewItem>
      <errorID>eacd380d-1ac0-434b-b458-687d8c9d0fa0</errorID>
      <errorWord>:</errorWord>
      <group>L1_Format</group>
      <groupName>格式问题</groupName>
      <ability>L2_HalfPunc</ability>
      <abilityName>全半角检查</abilityName>
      <candidateList>
        <item>：</item>
      </candidateList>
      <explain>文本全半角错误。</explain>
      <paraID>5E3C372F</paraID>
      <start>16</start>
      <end>17</end>
      <status>ignored</status>
      <modifiedWord/>
      <trackRevisions>false</trackRevisions>
    </reviewItem>
    <reviewItem>
      <errorID>bfb35fc2-8409-4c4e-97e8-9a894e6c8bf8</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6ABD7FC4</paraID>
      <start>0</start>
      <end>2</end>
      <status>ignored</status>
      <modifiedWord/>
      <trackRevisions>false</trackRevisions>
    </reviewItem>
    <reviewItem>
      <errorID>13a88502-3581-4289-8041-9e7ba7656a68</errorID>
      <errorWord>:</errorWord>
      <group>L1_Format</group>
      <groupName>格式问题</groupName>
      <ability>L2_HalfPunc</ability>
      <abilityName>全半角检查</abilityName>
      <candidateList>
        <item>：</item>
      </candidateList>
      <explain>文本全半角错误。</explain>
      <paraID>5D7143C9</paraID>
      <start>5</start>
      <end>6</end>
      <status>ignored</status>
      <modifiedWord/>
      <trackRevisions>false</trackRevisions>
    </reviewItem>
    <reviewItem>
      <errorID>ddf48937-ce39-4ca4-84ee-5f6aa57badb5</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71BD7D12</paraID>
      <start>0</start>
      <end>2</end>
      <status>ignored</status>
      <modifiedWord/>
      <trackRevisions>false</trackRevisions>
    </reviewItem>
    <reviewItem>
      <errorID>2ea3b4d5-8638-45ef-8912-779b3b07e9c1</errorID>
      <errorWord>交验</errorWord>
      <group>L1_Word</group>
      <groupName>字词问题</groupName>
      <ability>L2_Typo</ability>
      <abilityName>字词错误</abilityName>
      <candidateList>
        <item>校验</item>
      </candidateList>
      <explain>存在发音相同字词的误用。</explain>
      <paraID>26ED1D16</paraID>
      <start>13</start>
      <end>15</end>
      <status>ignored</status>
      <modifiedWord/>
      <trackRevisions>false</trackRevisions>
    </reviewItem>
    <reviewItem>
      <errorID>e8fb8018-6e04-457c-a477-4820885531e8</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4939B8F2</paraID>
      <start>0</start>
      <end>2</end>
      <status>ignored</status>
      <modifiedWord/>
      <trackRevisions>false</trackRevisions>
    </reviewItem>
    <reviewItem>
      <errorID>713307e6-fa50-4436-8ed7-269ad1a854d9</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2867266A</paraID>
      <start>0</start>
      <end>2</end>
      <status>ignored</status>
      <modifiedWord/>
      <trackRevisions>false</trackRevisions>
    </reviewItem>
    <reviewItem>
      <errorID>04222445-db68-4894-b242-649f47515370</errorID>
      <errorWord>[2001]1273号</errorWord>
      <group>L1_Knowledge</group>
      <groupName>知识性问题</groupName>
      <ability>L2_Knowledge</ability>
      <abilityName>其他知识</abilityName>
      <candidateList>
        <item>〔2001〕1273号</item>
      </candidateList>
      <explain>发文字号格式错误。</explain>
      <paraID>7D7938B9</paraID>
      <start>98</start>
      <end>109</end>
      <status>ignored</status>
      <modifiedWord/>
      <trackRevisions>false</trackRevisions>
    </reviewItem>
    <reviewItem>
      <errorID>0dd6803b-65e9-4b7b-82f0-01ca12ec0b83</errorID>
      <errorWord>8．</errorWord>
      <group>L1_Format</group>
      <groupName>格式问题</groupName>
      <ability>L2_Ordinal</ability>
      <abilityName>序号格式</abilityName>
      <candidateList>
        <item>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52B88724</paraID>
      <start>0</start>
      <end>2</end>
      <status>ignored</status>
      <modifiedWord/>
      <trackRevisions>false</trackRevisions>
    </reviewItem>
    <reviewItem>
      <errorID>8409a506-4885-4343-b095-8bd89855a6a3</errorID>
      <errorWord>9．</errorWord>
      <group>L1_Format</group>
      <groupName>格式问题</groupName>
      <ability>L2_Ordinal</ability>
      <abilityName>序号格式</abilityName>
      <candidateList>
        <item>9.</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1892AD3F</paraID>
      <start>0</start>
      <end>2</end>
      <status>ignored</status>
      <modifiedWord/>
      <trackRevisions>false</trackRevisions>
    </reviewItem>
    <reviewItem>
      <errorID>40d97829-04e0-4c17-88d0-3a3635aae650</errorID>
      <errorWord>10．</errorWord>
      <group>L1_Format</group>
      <groupName>格式问题</groupName>
      <ability>L2_Ordinal</ability>
      <abilityName>序号格式</abilityName>
      <candidateList>
        <item>10.</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1A834B4B</paraID>
      <start>0</start>
      <end>3</end>
      <status>ignored</status>
      <modifiedWord/>
      <trackRevisions>false</trackRevisions>
    </reviewItem>
    <reviewItem>
      <errorID>aaa713ec-513e-409f-a6c8-567568e8d1f9</errorID>
      <errorWord>11．</errorWord>
      <group>L1_Format</group>
      <groupName>格式问题</groupName>
      <ability>L2_Ordinal</ability>
      <abilityName>序号格式</abilityName>
      <candidateList>
        <item>11.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D8AA3BD</paraID>
      <start>0</start>
      <end>3</end>
      <status>ignored</status>
      <modifiedWord/>
      <trackRevisions>false</trackRevisions>
    </reviewItem>
    <reviewItem>
      <errorID>abbe0fbe-b0cd-42f7-84a5-bb06d3444e91</errorID>
      <errorWord>)</errorWord>
      <group>L1_Format</group>
      <groupName>格式问题</groupName>
      <ability>L2_HalfPunc</ability>
      <abilityName>全半角检查</abilityName>
      <candidateList>
        <item>）</item>
      </candidateList>
      <explain>文本全半角错误。</explain>
      <paraID>238048FB</paraID>
      <start>2</start>
      <end>3</end>
      <status>ignored</status>
      <modifiedWord/>
      <trackRevisions>false</trackRevisions>
    </reviewItem>
    <reviewItem>
      <errorID>a18b5625-986c-4e2e-858f-48bdf5197ac9</errorID>
      <errorWord>12．</errorWord>
      <group>L1_Format</group>
      <groupName>格式问题</groupName>
      <ability>L2_Ordinal</ability>
      <abilityName>序号格式</abilityName>
      <candidateList>
        <item>12.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4B0BAD7B</paraID>
      <start>0</start>
      <end>3</end>
      <status>ignored</status>
      <modifiedWord/>
      <trackRevisions>false</trackRevisions>
    </reviewItem>
    <reviewItem>
      <errorID>ff7ee9b7-9ea1-4c50-8e16-e73370abd01e</errorID>
      <errorWord>;</errorWord>
      <group>L1_Format</group>
      <groupName>格式问题</groupName>
      <ability>L2_HalfPunc</ability>
      <abilityName>全半角检查</abilityName>
      <candidateList>
        <item>；</item>
      </candidateList>
      <explain>文本全半角错误。</explain>
      <paraID>6E4C3007</paraID>
      <start>145</start>
      <end>146</end>
      <status>ignored</status>
      <modifiedWord/>
      <trackRevisions>false</trackRevisions>
    </reviewItem>
    <reviewItem>
      <errorID>46f083bf-9360-49a9-9a8a-a870a7301c09</errorID>
      <errorWord>;</errorWord>
      <group>L1_Format</group>
      <groupName>格式问题</groupName>
      <ability>L2_HalfPunc</ability>
      <abilityName>全半角检查</abilityName>
      <candidateList>
        <item>；</item>
      </candidateList>
      <explain>文本全半角错误。</explain>
      <paraID>6E4C3007</paraID>
      <start>171</start>
      <end>172</end>
      <status>ignored</status>
      <modifiedWord/>
      <trackRevisions>false</trackRevisions>
    </reviewItem>
    <reviewItem>
      <errorID>39f1b7e1-2dc6-47a2-95de-5425df754b10</errorID>
      <errorWord>13．</errorWord>
      <group>L1_Format</group>
      <groupName>格式问题</groupName>
      <ability>L2_Ordinal</ability>
      <abilityName>序号格式</abilityName>
      <candidateList>
        <item>13.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2DF4BBE2</paraID>
      <start>0</start>
      <end>3</end>
      <status>ignored</status>
      <modifiedWord/>
      <trackRevisions>false</trackRevisions>
    </reviewItem>
    <reviewItem>
      <errorID>abce01d4-7129-43ee-8606-e9408138d778</errorID>
      <errorWord>/。</errorWord>
      <group>L1_Punc</group>
      <groupName>标点问题</groupName>
      <ability>L2_Punc</ability>
      <abilityName>标点符号检查</abilityName>
      <candidateList>
        <item>/</item>
      </candidateList>
      <explain/>
      <paraID>39422B5B</paraID>
      <start>14</start>
      <end>16</end>
      <status>ignored</status>
      <modifiedWord/>
      <trackRevisions>false</trackRevisions>
    </reviewItem>
    <reviewItem>
      <errorID>3ad4d06b-0d60-438c-a0ad-60748842c65d</errorID>
      <errorWord>14．</errorWord>
      <group>L1_Format</group>
      <groupName>格式问题</groupName>
      <ability>L2_Ordinal</ability>
      <abilityName>序号格式</abilityName>
      <candidateList>
        <item>14.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3E387520</paraID>
      <start>0</start>
      <end>3</end>
      <status>ignored</status>
      <modifiedWord/>
      <trackRevisions>false</trackRevisions>
    </reviewItem>
    <reviewItem>
      <errorID>304e304b-ae08-4fda-a7ca-b6e6689f501a</errorID>
      <errorWord>15．</errorWord>
      <group>L1_Format</group>
      <groupName>格式问题</groupName>
      <ability>L2_Ordinal</ability>
      <abilityName>序号格式</abilityName>
      <candidateList>
        <item>15.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52B5AA0A</paraID>
      <start>0</start>
      <end>3</end>
      <status>ignored</status>
      <modifiedWord/>
      <trackRevisions>false</trackRevisions>
    </reviewItem>
    <reviewItem>
      <errorID>6e8ff48b-7a2a-47f7-863a-0b280d051cfd</errorID>
      <errorWord>16．</errorWord>
      <group>L1_Format</group>
      <groupName>格式问题</groupName>
      <ability>L2_Ordinal</ability>
      <abilityName>序号格式</abilityName>
      <candidateList>
        <item>16.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59263656</paraID>
      <start>0</start>
      <end>3</end>
      <status>ignored</status>
      <modifiedWord/>
      <trackRevisions>false</trackRevisions>
    </reviewItem>
    <reviewItem>
      <errorID>a3c82417-5445-44bc-bbe0-de15aa673a5d</errorID>
      <errorWord>17．</errorWord>
      <group>L1_Format</group>
      <groupName>格式问题</groupName>
      <ability>L2_Ordinal</ability>
      <abilityName>序号格式</abilityName>
      <candidateList>
        <item>17.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45068E5B</paraID>
      <start>0</start>
      <end>3</end>
      <status>ignored</status>
      <modifiedWord/>
      <trackRevisions>false</trackRevisions>
    </reviewItem>
    <reviewItem>
      <errorID>62086062-fbc4-42ca-bc84-0c672fd91636</errorID>
      <errorWord>18．</errorWord>
      <group>L1_Format</group>
      <groupName>格式问题</groupName>
      <ability>L2_Ordinal</ability>
      <abilityName>序号格式</abilityName>
      <candidateList>
        <item>18.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7B126090</paraID>
      <start>0</start>
      <end>3</end>
      <status>ignored</status>
      <modifiedWord/>
      <trackRevisions>false</trackRevisions>
    </reviewItem>
    <reviewItem>
      <errorID>d3682a37-5890-4157-8d52-fbff6c4039b9</errorID>
      <errorWord>19．</errorWord>
      <group>L1_Format</group>
      <groupName>格式问题</groupName>
      <ability>L2_Ordinal</ability>
      <abilityName>序号格式</abilityName>
      <candidateList>
        <item>19.</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5D084C84</paraID>
      <start>0</start>
      <end>3</end>
      <status>ignored</status>
      <modifiedWord/>
      <trackRevisions>false</trackRevisions>
    </reviewItem>
    <reviewItem>
      <errorID>1678b0a5-0248-487f-9d31-fba53f2dbc58</errorID>
      <errorWord>20．</errorWord>
      <group>L1_Format</group>
      <groupName>格式问题</groupName>
      <ability>L2_Ordinal</ability>
      <abilityName>序号格式</abilityName>
      <candidateList>
        <item>20.</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18E020FB</paraID>
      <start>0</start>
      <end>3</end>
      <status>ignored</status>
      <modifiedWord/>
      <trackRevisions>false</trackRevisions>
    </reviewItem>
    <reviewItem>
      <errorID>317c9c04-4e75-4ccc-8e69-112d34326073</errorID>
      <errorWord>不</errorWord>
      <group>L1_Word</group>
      <groupName>字词问题</groupName>
      <ability>L2_Typo</ability>
      <abilityName>字词错误</abilityName>
      <candidateList>
        <item>不方</item>
      </candidateList>
      <explain/>
      <paraID>54E5F524</paraID>
      <start>46</start>
      <end>47</end>
      <status>ignored</status>
      <modifiedWord/>
      <trackRevisions>false</trackRevisions>
    </reviewItem>
    <reviewItem>
      <errorID>9aa3c7e9-9d27-4570-8e8d-75b48739b74f</errorID>
      <errorWord>种</errorWord>
      <group>L1_Knowledge</group>
      <groupName>知识性问题</groupName>
      <ability>L2_Knowledge</ability>
      <abilityName>其他知识</abilityName>
      <candidateList>
        <item>项</item>
      </candidateList>
      <explain/>
      <paraID>54E5F524</paraID>
      <start>58</start>
      <end>59</end>
      <status>ignored</status>
      <modifiedWord/>
      <trackRevisions>false</trackRevisions>
    </reviewItem>
    <reviewItem>
      <errorID>1c987b3c-e5ef-407f-bf52-4821684f6a04</errorID>
      <errorWord>21．</errorWord>
      <group>L1_Format</group>
      <groupName>格式问题</groupName>
      <ability>L2_Ordinal</ability>
      <abilityName>序号格式</abilityName>
      <candidateList>
        <item>21.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77B6301D</paraID>
      <start>0</start>
      <end>3</end>
      <status>ignored</status>
      <modifiedWord/>
      <trackRevisions>false</trackRevisions>
    </reviewItem>
    <reviewItem>
      <errorID>56b76af0-b850-40e4-b579-f637321e46f8</errorID>
      <errorWord>(</errorWord>
      <group>L1_Format</group>
      <groupName>格式问题</groupName>
      <ability>L2_HalfPunc</ability>
      <abilityName>全半角检查</abilityName>
      <candidateList>
        <item>（</item>
      </candidateList>
      <explain>文本全半角错误。</explain>
      <paraID>36EB6284</paraID>
      <start>47</start>
      <end>48</end>
      <status>ignored</status>
      <modifiedWord/>
      <trackRevisions>false</trackRevisions>
    </reviewItem>
    <reviewItem>
      <errorID>ed71826a-f8e1-453e-b14f-3e463653764c</errorID>
      <errorWord>)</errorWord>
      <group>L1_Format</group>
      <groupName>格式问题</groupName>
      <ability>L2_HalfPunc</ability>
      <abilityName>全半角检查</abilityName>
      <candidateList>
        <item>）</item>
      </candidateList>
      <explain>文本全半角错误。</explain>
      <paraID>36EB6284</paraID>
      <start>51</start>
      <end>52</end>
      <status>ignored</status>
      <modifiedWord/>
      <trackRevisions>false</trackRevisions>
    </reviewItem>
    <reviewItem>
      <errorID>9f074ab9-1765-43c0-9dd6-a64bcac4ac07</errorID>
      <errorWord>合符</errorWord>
      <group>L1_Word</group>
      <groupName>字词问题</groupName>
      <ability>L2_Alias</ability>
      <abilityName>也作/曾用词</abilityName>
      <candidateList>
        <item>合乎</item>
      </candidateList>
      <explain>词汇[合符]为不规范表述或旧称，其规范书面表述为[合乎]。</explain>
      <paraID>  5E81EC</paraID>
      <start>20</start>
      <end>22</end>
      <status>ignored</status>
      <modifiedWord/>
      <trackRevisions>false</trackRevisions>
    </reviewItem>
    <reviewItem>
      <errorID>a01ca4a0-90c4-4711-94a0-7894b9eab1f4</errorID>
      <errorWord>22．</errorWord>
      <group>L1_Format</group>
      <groupName>格式问题</groupName>
      <ability>L2_Ordinal</ability>
      <abilityName>序号格式</abilityName>
      <candidateList>
        <item>22.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5C829F2E</paraID>
      <start>0</start>
      <end>3</end>
      <status>ignored</status>
      <modifiedWord/>
      <trackRevisions>false</trackRevisions>
    </reviewItem>
    <reviewItem>
      <errorID>8dec8fb2-e3de-4934-93cc-f68b298df6be</errorID>
      <errorWord>23．</errorWord>
      <group>L1_Format</group>
      <groupName>格式问题</groupName>
      <ability>L2_Ordinal</ability>
      <abilityName>序号格式</abilityName>
      <candidateList>
        <item>23.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77D0F2A8</paraID>
      <start>0</start>
      <end>3</end>
      <status>ignored</status>
      <modifiedWord/>
      <trackRevisions>false</trackRevisions>
    </reviewItem>
    <reviewItem>
      <errorID>95c23cb2-17b3-424a-a099-b5ec3c17dc5c</errorID>
      <errorWord>24．</errorWord>
      <group>L1_Format</group>
      <groupName>格式问题</groupName>
      <ability>L2_Ordinal</ability>
      <abilityName>序号格式</abilityName>
      <candidateList>
        <item>24.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473D1F83</paraID>
      <start>0</start>
      <end>3</end>
      <status>ignored</status>
      <modifiedWord/>
      <trackRevisions>false</trackRevisions>
    </reviewItem>
    <reviewItem>
      <errorID>a6e749e7-257c-4f5f-95a4-e8172e19ee46</errorID>
      <errorWord>26．</errorWord>
      <group>L1_Format</group>
      <groupName>格式问题</groupName>
      <ability>L2_Ordinal</ability>
      <abilityName>序号格式</abilityName>
      <candidateList>
        <item>26.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324AF466</paraID>
      <start>0</start>
      <end>3</end>
      <status>ignored</status>
      <modifiedWord/>
      <trackRevisions>false</trackRevisions>
    </reviewItem>
    <reviewItem>
      <errorID>1b01e1dc-0b50-40d4-9214-72a10a4243ad</errorID>
      <errorWord>-</errorWord>
      <group>L1_Format</group>
      <groupName>格式问题</groupName>
      <ability>L2_HalfPunc</ability>
      <abilityName>全半角检查</abilityName>
      <candidateList>
        <item>－</item>
      </candidateList>
      <explain>文本全半角错误。</explain>
      <paraID>7A12520A</paraID>
      <start>15</start>
      <end>16</end>
      <status>ignored</status>
      <modifiedWord/>
      <trackRevisions>false</trackRevisions>
    </reviewItem>
    <reviewItem>
      <errorID>76092d73-bd62-4216-9242-00d3fdcff535</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3613C2F4</paraID>
      <start>0</start>
      <end>2</end>
      <status>ignored</status>
      <modifiedWord/>
      <trackRevisions>false</trackRevisions>
    </reviewItem>
    <reviewItem>
      <errorID>735bd54b-e822-42a4-8c2c-ea84d5c52141</errorID>
      <errorWord>出现其</errorWord>
      <group>L1_Word</group>
      <groupName>字词问题</groupName>
      <ability>L2_Typo</ability>
      <abilityName>字词错误</abilityName>
      <candidateList>
        <item>出现</item>
      </candidateList>
      <explain>〈动〉❶显露出来：比赛开始前半小时运动员已经～在运动场上了。❷产生出来：近年来～了许多优秀作品。</explain>
      <paraID>53274CCF</paraID>
      <start>46</start>
      <end>49</end>
      <status>ignored</status>
      <modifiedWord/>
      <trackRevisions>false</trackRevisions>
    </reviewItem>
    <reviewItem>
      <errorID>294a01be-2513-4000-a211-c6da374b3330</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C9306A2</paraID>
      <start>0</start>
      <end>2</end>
      <status>ignored</status>
      <modifiedWord/>
      <trackRevisions>false</trackRevisions>
    </reviewItem>
    <reviewItem>
      <errorID>824b22ff-514b-4a0e-b265-cfc0b95b45ad</errorID>
      <errorWord>其它</errorWord>
      <group>L1_Word</group>
      <groupName>字词问题</groupName>
      <ability>L2_Alias</ability>
      <abilityName>也作/曾用词</abilityName>
      <candidateList>
        <item>其他</item>
      </candidateList>
      <explain>词汇[其它]为不规范表述或旧称，其规范书面表述为[其他]。</explain>
      <paraID>54A47D15</paraID>
      <start>3</start>
      <end>5</end>
      <status>ignored</status>
      <modifiedWord/>
      <trackRevisions>false</trackRevisions>
    </reviewItem>
    <reviewItem>
      <errorID>20627f15-b852-41e2-a07c-140bbd4030c7</errorID>
      <errorWord>其它</errorWord>
      <group>L1_Word</group>
      <groupName>字词问题</groupName>
      <ability>L2_Alias</ability>
      <abilityName>也作/曾用词</abilityName>
      <candidateList>
        <item>其他</item>
      </candidateList>
      <explain>词汇[其它]为不规范表述或旧称，其规范书面表述为[其他]。</explain>
      <paraID>7FC037EA</paraID>
      <start>10</start>
      <end>12</end>
      <status>ignored</status>
      <modifiedWord/>
      <trackRevisions>false</trackRevisions>
    </reviewItem>
    <reviewItem>
      <errorID>ab5dd60e-429c-4dac-8103-f67b00905764</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7E9556DE</paraID>
      <start>0</start>
      <end>2</end>
      <status>ignored</status>
      <modifiedWord/>
      <trackRevisions>false</trackRevisions>
    </reviewItem>
    <reviewItem>
      <errorID>e0e251cb-c9ac-4c06-b9a6-19590586d59a</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31E7C95C</paraID>
      <start>0</start>
      <end>2</end>
      <status>ignored</status>
      <modifiedWord/>
      <trackRevisions>false</trackRevisions>
    </reviewItem>
    <reviewItem>
      <errorID>7d598ec5-39bd-469d-9198-360879111280</errorID>
      <errorWord>应</errorWord>
      <group>L1_Word</group>
      <groupName>字词问题</groupName>
      <ability>L2_Typo</ability>
      <abilityName>字词错误</abilityName>
      <candidateList>
        <item>应当</item>
      </candidateList>
      <explain/>
      <paraID>3B44C516</paraID>
      <start>33</start>
      <end>34</end>
      <status>ignored</status>
      <modifiedWord/>
      <trackRevisions>false</trackRevisions>
    </reviewItem>
    <reviewItem>
      <errorID>4262c040-169e-453b-9c49-8bfbaae706eb</errorID>
      <errorWord>-</errorWord>
      <group>L1_Format</group>
      <groupName>格式问题</groupName>
      <ability>L2_HalfPunc</ability>
      <abilityName>全半角检查</abilityName>
      <candidateList>
        <item>－</item>
      </candidateList>
      <explain>文本全半角错误。</explain>
      <paraID>5DFA5A5B</paraID>
      <start>17</start>
      <end>18</end>
      <status>ignored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6fcbbb7-68e5-4248-821b-ce45206e2ab9}">
  <ds:schemaRefs/>
</ds:datastoreItem>
</file>

<file path=docProps/app.xml><?xml version="1.0" encoding="utf-8"?>
<Properties xmlns="http://schemas.openxmlformats.org/officeDocument/2006/extended-properties" xmlns:vt="http://schemas.openxmlformats.org/officeDocument/2006/docPropsVTypes">
  <Template>Normal.dotm</Template>
  <Company>Yms7.Com</Company>
  <Pages>157</Pages>
  <Words>8204</Words>
  <Characters>8671</Characters>
  <Lines>62</Lines>
  <Paragraphs>17</Paragraphs>
  <TotalTime>5</TotalTime>
  <ScaleCrop>false</ScaleCrop>
  <LinksUpToDate>false</LinksUpToDate>
  <CharactersWithSpaces>9201</CharactersWithSpaces>
  <Application>WPS Office_12.8.2.20793_F1E327BC-269C-435d-A152-05C5408002CA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2021-09-01T19:29:00Z</dcterms:created>
  <dc:creator>Administrator</dc:creator>
  <cp:lastModifiedBy>梁子亮</cp:lastModifiedBy>
  <cp:lastPrinted>2026-04-03T08:34:00Z</cp:lastPrinted>
  <dcterms:modified xsi:type="dcterms:W3CDTF">2026-04-15T01:13:39Z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2052-12.8.2.20793</vt:lpwstr>
  </property>
  <property fmtid="{D5CDD505-2E9C-101B-9397-08002B2CF9AE}" pid="3" name="ICV">
    <vt:lpwstr>F9C9622D6E144825A4D5D16840531E29_13</vt:lpwstr>
  </property>
  <property fmtid="{D5CDD505-2E9C-101B-9397-08002B2CF9AE}" pid="4" name="KSOTemplateDocerSaveRecord">
    <vt:lpwstr>eyJoZGlkIjoiZjgwMzBjOWYwMTMxNWM1MzZmOGI2NDgyNWJmNzk1NjkiLCJ1c2VySWQiOiIzODg3NTI5MTQifQ==</vt:lpwstr>
  </property>
</Properties>
</file>